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Summer Heat Stress, Urban Green Infrastructure, and Youth Labour Markets in the European Union: Evidence from a System GMM Approach</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2025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The mitigation of urban heat has become a central objective of European policies aimed at balancing climate adaptation, public health, and socioeconomic resilience. This study investigates the contribution of summer heat stress and urban green infrastructure to youth labour-market outcomes in the European Union. Using a balanced panel dataset covering the 27 European Union Member States over the period 2010–2024, the effects of cooling degree days, their interaction with the green infrastructure endowment of functional urban areas, economic growth, and tertiary educational attainment on the youth NEET rate are analysed using a two-step System Generalized Method of Moments (System GMM) estimator. The results indicate that summer heat stress has a positive and statistically significant effect on youth disengagement and that this effect is significantly attenuated by the green infrastructure endowment, ceasing to be statistically distinguishable from zero in countries whose functional urban areas are more than roughly one-third green. Economic growth and tertiary attainment reduce the NEET rate, whereas the heat effects are not detectable for the youth unemployment rate, suggesting that heat stress operates on the engagement margin of youth labour markets. The findings support integrated policies that treat urban greening as social infrastructure for the young generation.</w:t>
      </w:r>
    </w:p>
    <w:p>
      <w:pPr>
        <w:pStyle w:val="MDPI18keywords"/>
      </w:pPr>
      <w:r>
        <w:rPr>
          <w:b/>
        </w:rPr>
        <w:t xml:space="preserve">Keywords: </w:t>
      </w:r>
      <w:r>
        <w:t>urban heat stress; green infrastructure; youth employment; NEET; European Union</w:t>
      </w:r>
    </w:p>
    <w:p>
      <w:pPr>
        <w:pStyle w:val="MDPI19line"/>
      </w:pPr>
    </w:p>
    <w:p>
      <w:pPr>
        <w:pStyle w:val="MDPI21heading1"/>
      </w:pPr>
      <w:r>
        <w:t>1. Introduction</w:t>
      </w:r>
    </w:p>
    <w:p>
      <w:pPr>
        <w:pStyle w:val="MDPI32textnoindent"/>
      </w:pPr>
      <w:r>
        <w:rPr>
          <w:b w:val="0"/>
          <w:i w:val="0"/>
        </w:rPr>
        <w:t xml:space="preserve">Urban heat has become one of the most pressing challenges of contemporary sustainable development, particularly in the context of the alarming rise in the frequency, intensity, and duration of European heat waves. The urban heat island effect amplifies heat exposure precisely where most Europeans live and work </w:t>
      </w:r>
      <w:r>
        <w:t>[</w:t>
      </w:r>
      <w:r>
        <w:fldChar w:fldCharType="begin"/>
      </w:r>
      <w:r>
        <w:instrText xml:space="preserve"> REF _Ref_1 \h </w:instrText>
      </w:r>
      <w:r>
        <w:fldChar w:fldCharType="separate"/>
      </w:r>
      <w:r>
        <w:t>1</w:t>
      </w:r>
      <w:r>
        <w:fldChar w:fldCharType="end"/>
      </w:r>
      <w:r>
        <w:t>,</w:t>
      </w:r>
      <w:r>
        <w:fldChar w:fldCharType="begin"/>
      </w:r>
      <w:r>
        <w:instrText xml:space="preserve"> REF _Ref_2 \h </w:instrText>
      </w:r>
      <w:r>
        <w:fldChar w:fldCharType="separate"/>
      </w:r>
      <w:r>
        <w:t>2</w:t>
      </w:r>
      <w:r>
        <w:fldChar w:fldCharType="end"/>
      </w:r>
      <w:r>
        <w:t>]</w:t>
      </w:r>
      <w:r>
        <w:rPr>
          <w:b w:val="0"/>
          <w:i w:val="0"/>
        </w:rPr>
        <w:t xml:space="preserve">, and the summers of 2022, 2023 and 2024 were the hottest in the European observational record </w:t>
      </w:r>
      <w:r>
        <w:t>[</w:t>
      </w:r>
      <w:r>
        <w:fldChar w:fldCharType="begin"/>
      </w:r>
      <w:r>
        <w:instrText xml:space="preserve"> REF _Ref_3 \h </w:instrText>
      </w:r>
      <w:r>
        <w:fldChar w:fldCharType="separate"/>
      </w:r>
      <w:r>
        <w:t>3</w:t>
      </w:r>
      <w:r>
        <w:fldChar w:fldCharType="end"/>
      </w:r>
      <w:r>
        <w:t>,</w:t>
      </w:r>
      <w:r>
        <w:fldChar w:fldCharType="begin"/>
      </w:r>
      <w:r>
        <w:instrText xml:space="preserve"> REF _Ref_4 \h </w:instrText>
      </w:r>
      <w:r>
        <w:fldChar w:fldCharType="separate"/>
      </w:r>
      <w:r>
        <w:t>4</w:t>
      </w:r>
      <w:r>
        <w:fldChar w:fldCharType="end"/>
      </w:r>
      <w:r>
        <w:t>]</w:t>
      </w:r>
      <w:r>
        <w:rPr>
          <w:b w:val="0"/>
          <w:i w:val="0"/>
        </w:rPr>
        <w:t xml:space="preserve">. A substantial body of research demonstrates that the deliberate integration of green and blue elements into the built environment can effectively diminish urban overheating, improve thermal comfort, and protect human health </w:t>
      </w:r>
      <w:r>
        <w:t>[</w:t>
      </w:r>
      <w:r>
        <w:fldChar w:fldCharType="begin"/>
      </w:r>
      <w:r>
        <w:instrText xml:space="preserve"> REF _Ref_5 \h </w:instrText>
      </w:r>
      <w:r>
        <w:fldChar w:fldCharType="separate"/>
      </w:r>
      <w:r>
        <w:t>5</w:t>
      </w:r>
      <w:r>
        <w:fldChar w:fldCharType="end"/>
      </w:r>
      <w:r>
        <w:t>–</w:t>
      </w:r>
      <w:r>
        <w:fldChar w:fldCharType="begin"/>
      </w:r>
      <w:r>
        <w:instrText xml:space="preserve"> REF _Ref_8 \h </w:instrText>
      </w:r>
      <w:r>
        <w:fldChar w:fldCharType="separate"/>
      </w:r>
      <w:r>
        <w:t>8</w:t>
      </w:r>
      <w:r>
        <w:fldChar w:fldCharType="end"/>
      </w:r>
      <w:r>
        <w:t>]</w:t>
      </w:r>
      <w:r>
        <w:rPr>
          <w:b w:val="0"/>
          <w:i w:val="0"/>
        </w:rPr>
        <w:t xml:space="preserve">. At the same time, the economic literature shows that heat is not only a health hazard but also a labour-market force: high temperatures reduce labour supply, productivity, and learning, with effects that are strongest in exposed sectors and among vulnerable groups </w:t>
      </w:r>
      <w:r>
        <w:t>[</w:t>
      </w:r>
      <w:r>
        <w:fldChar w:fldCharType="begin"/>
      </w:r>
      <w:r>
        <w:instrText xml:space="preserve"> REF _Ref_9 \h </w:instrText>
      </w:r>
      <w:r>
        <w:fldChar w:fldCharType="separate"/>
      </w:r>
      <w:r>
        <w:t>9</w:t>
      </w:r>
      <w:r>
        <w:fldChar w:fldCharType="end"/>
      </w:r>
      <w:r>
        <w:t>–</w:t>
      </w:r>
      <w:r>
        <w:fldChar w:fldCharType="begin"/>
      </w:r>
      <w:r>
        <w:instrText xml:space="preserve"> REF _Ref_12 \h </w:instrText>
      </w:r>
      <w:r>
        <w:fldChar w:fldCharType="separate"/>
      </w:r>
      <w:r>
        <w:t>12</w:t>
      </w:r>
      <w:r>
        <w:fldChar w:fldCharType="end"/>
      </w:r>
      <w:r>
        <w:t>]</w:t>
      </w:r>
      <w:r>
        <w:rPr>
          <w:b w:val="0"/>
          <w:i w:val="0"/>
        </w:rPr>
        <w:t>.</w:t>
      </w:r>
    </w:p>
    <w:p>
      <w:pPr>
        <w:pStyle w:val="MDPI31text"/>
      </w:pPr>
      <w:r>
        <w:rPr>
          <w:b w:val="0"/>
          <w:i w:val="0"/>
        </w:rPr>
        <w:t xml:space="preserve">Young people stand at the intersection of these two literatures, although they are rarely studied there. The sectors through which young Europeans typically enter employment — tourism, hospitality, agriculture, construction, and other seasonal and outdoor activities — are among the most heat-exposed segments of the economy </w:t>
      </w:r>
      <w:r>
        <w:t>[</w:t>
      </w:r>
      <w:r>
        <w:fldChar w:fldCharType="begin"/>
      </w:r>
      <w:r>
        <w:instrText xml:space="preserve"> REF _Ref_13 \h </w:instrText>
      </w:r>
      <w:r>
        <w:fldChar w:fldCharType="separate"/>
      </w:r>
      <w:r>
        <w:t>13</w:t>
      </w:r>
      <w:r>
        <w:fldChar w:fldCharType="end"/>
      </w:r>
      <w:r>
        <w:t>,</w:t>
      </w:r>
      <w:r>
        <w:fldChar w:fldCharType="begin"/>
      </w:r>
      <w:r>
        <w:instrText xml:space="preserve"> REF _Ref_14 \h </w:instrText>
      </w:r>
      <w:r>
        <w:fldChar w:fldCharType="separate"/>
      </w:r>
      <w:r>
        <w:t>14</w:t>
      </w:r>
      <w:r>
        <w:fldChar w:fldCharType="end"/>
      </w:r>
      <w:r>
        <w:t>]</w:t>
      </w:r>
      <w:r>
        <w:rPr>
          <w:b w:val="0"/>
          <w:i w:val="0"/>
        </w:rPr>
        <w:t xml:space="preserve">. Heat also disrupts learning and examination performance, weakening the education leg of the school-to-work transition </w:t>
      </w:r>
      <w:r>
        <w:t>[</w:t>
      </w:r>
      <w:r>
        <w:fldChar w:fldCharType="begin"/>
      </w:r>
      <w:r>
        <w:instrText xml:space="preserve"> REF _Ref_12 \h </w:instrText>
      </w:r>
      <w:r>
        <w:fldChar w:fldCharType="separate"/>
      </w:r>
      <w:r>
        <w:t>12</w:t>
      </w:r>
      <w:r>
        <w:fldChar w:fldCharType="end"/>
      </w:r>
      <w:r>
        <w:t>]</w:t>
      </w:r>
      <w:r>
        <w:rPr>
          <w:b w:val="0"/>
          <w:i w:val="0"/>
        </w:rPr>
        <w:t xml:space="preserve">. Because adverse conditions at labour-market entry leave scars on employment and earnings that persist for a decade or longer </w:t>
      </w:r>
      <w:r>
        <w:t>[</w:t>
      </w:r>
      <w:r>
        <w:fldChar w:fldCharType="begin"/>
      </w:r>
      <w:r>
        <w:instrText xml:space="preserve"> REF _Ref_15 \h </w:instrText>
      </w:r>
      <w:r>
        <w:fldChar w:fldCharType="separate"/>
      </w:r>
      <w:r>
        <w:t>15</w:t>
      </w:r>
      <w:r>
        <w:fldChar w:fldCharType="end"/>
      </w:r>
      <w:r>
        <w:t>–</w:t>
      </w:r>
      <w:r>
        <w:fldChar w:fldCharType="begin"/>
      </w:r>
      <w:r>
        <w:instrText xml:space="preserve"> REF _Ref_18 \h </w:instrText>
      </w:r>
      <w:r>
        <w:fldChar w:fldCharType="separate"/>
      </w:r>
      <w:r>
        <w:t>18</w:t>
      </w:r>
      <w:r>
        <w:fldChar w:fldCharType="end"/>
      </w:r>
      <w:r>
        <w:t>]</w:t>
      </w:r>
      <w:r>
        <w:rPr>
          <w:b w:val="0"/>
          <w:i w:val="0"/>
        </w:rPr>
        <w:t xml:space="preserve">, any recurring shock that falls disproportionately on entry-level activity deserves attention as a youth-policy problem. The share of young people neither in employment nor in education and training (the NEET rate) is the headline indicator of this risk, capturing simultaneous detachment from work and from learning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rPr>
          <w:b w:val="0"/>
          <w:i w:val="0"/>
        </w:rPr>
        <w:t>.</w:t>
      </w:r>
    </w:p>
    <w:p>
      <w:pPr>
        <w:pStyle w:val="MDPI31text"/>
      </w:pPr>
      <w:r>
        <w:rPr>
          <w:b w:val="0"/>
          <w:i w:val="0"/>
        </w:rPr>
        <w:t xml:space="preserve">The purpose of the article is to analyze the relationship between summer heat stress, the green infrastructure endowment of urban areas, and youth labour-market outcomes across the European Union. Heat stress is measured through cooling degree days, a standard indicator of the intensity of hot weather; the thermal-mitigation capacity of national urban systems is measured through the share of green infrastructure in functional urban areas; and youth outcomes are measured through the NEET rate, with the youth unemployment rate employed in a sensitivity analysis. The notion holds that urban greenery may be related to youth labour markets not only through amenity and health channels but also by buffering the labour-market consequences of increasingly frequent heat extremes </w:t>
      </w:r>
      <w:r>
        <w:t>[</w:t>
      </w:r>
      <w:r>
        <w:fldChar w:fldCharType="begin"/>
      </w:r>
      <w:r>
        <w:instrText xml:space="preserve"> REF _Ref_21 \h </w:instrText>
      </w:r>
      <w:r>
        <w:fldChar w:fldCharType="separate"/>
      </w:r>
      <w:r>
        <w:t>21</w:t>
      </w:r>
      <w:r>
        <w:fldChar w:fldCharType="end"/>
      </w:r>
      <w:r>
        <w:t>,</w:t>
      </w:r>
      <w:r>
        <w:fldChar w:fldCharType="begin"/>
      </w:r>
      <w:r>
        <w:instrText xml:space="preserve"> REF _Ref_22 \h </w:instrText>
      </w:r>
      <w:r>
        <w:fldChar w:fldCharType="separate"/>
      </w:r>
      <w:r>
        <w:t>22</w:t>
      </w:r>
      <w:r>
        <w:fldChar w:fldCharType="end"/>
      </w:r>
      <w:r>
        <w:t>]</w:t>
      </w:r>
      <w:r>
        <w:rPr>
          <w:b w:val="0"/>
          <w:i w:val="0"/>
        </w:rPr>
        <w:t>.</w:t>
      </w:r>
    </w:p>
    <w:p>
      <w:pPr>
        <w:pStyle w:val="MDPI31text"/>
      </w:pPr>
      <w:r>
        <w:rPr>
          <w:b w:val="0"/>
          <w:i w:val="0"/>
        </w:rPr>
        <w:t xml:space="preserve">Despite the growing body of literature on urban heat and its mitigation, several important research gaps remain. First, the economic studies of heat and labour concentrate on productivity, hours, and earnings of incumbent workers, while the entry margin of the labour market — where young people are found — has received little attention </w:t>
      </w:r>
      <w:r>
        <w:t>[</w:t>
      </w:r>
      <w:r>
        <w:fldChar w:fldCharType="begin"/>
      </w:r>
      <w:r>
        <w:instrText xml:space="preserve"> REF _Ref_9 \h </w:instrText>
      </w:r>
      <w:r>
        <w:fldChar w:fldCharType="separate"/>
      </w:r>
      <w:r>
        <w:t>9</w:t>
      </w:r>
      <w:r>
        <w:fldChar w:fldCharType="end"/>
      </w:r>
      <w:r>
        <w:t>,</w:t>
      </w:r>
      <w:r>
        <w:fldChar w:fldCharType="begin"/>
      </w:r>
      <w:r>
        <w:instrText xml:space="preserve"> REF _Ref_11 \h </w:instrText>
      </w:r>
      <w:r>
        <w:fldChar w:fldCharType="separate"/>
      </w:r>
      <w:r>
        <w:t>11</w:t>
      </w:r>
      <w:r>
        <w:fldChar w:fldCharType="end"/>
      </w:r>
      <w:r>
        <w:t>,</w:t>
      </w:r>
      <w:r>
        <w:fldChar w:fldCharType="begin"/>
      </w:r>
      <w:r>
        <w:instrText xml:space="preserve"> REF _Ref_23 \h </w:instrText>
      </w:r>
      <w:r>
        <w:fldChar w:fldCharType="separate"/>
      </w:r>
      <w:r>
        <w:t>23</w:t>
      </w:r>
      <w:r>
        <w:fldChar w:fldCharType="end"/>
      </w:r>
      <w:r>
        <w:t>]</w:t>
      </w:r>
      <w:r>
        <w:rPr>
          <w:b w:val="0"/>
          <w:i w:val="0"/>
        </w:rPr>
        <w:t xml:space="preserve">. Second, the extensive literature on the cooling effects of green and blue infrastructure evaluates temperature, comfort, health, and energy outcomes, but rarely connects the thermal benefits to labour-market indicators </w:t>
      </w:r>
      <w:r>
        <w:t>[</w:t>
      </w:r>
      <w:r>
        <w:fldChar w:fldCharType="begin"/>
      </w:r>
      <w:r>
        <w:instrText xml:space="preserve"> REF _Ref_8 \h </w:instrText>
      </w:r>
      <w:r>
        <w:fldChar w:fldCharType="separate"/>
      </w:r>
      <w:r>
        <w:t>8</w:t>
      </w:r>
      <w:r>
        <w:fldChar w:fldCharType="end"/>
      </w:r>
      <w:r>
        <w:t>,</w:t>
      </w:r>
      <w:r>
        <w:fldChar w:fldCharType="begin"/>
      </w:r>
      <w:r>
        <w:instrText xml:space="preserve"> REF _Ref_21 \h </w:instrText>
      </w:r>
      <w:r>
        <w:fldChar w:fldCharType="separate"/>
      </w:r>
      <w:r>
        <w:t>21</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Third, existing empirical evidence on the socioeconomic impacts of heatwaves in Europe is largely simulation-based or regional, and comprehensive panel evidence covering all 27 European Union Member States remains limited </w:t>
      </w:r>
      <w:r>
        <w:t>[</w:t>
      </w:r>
      <w:r>
        <w:fldChar w:fldCharType="begin"/>
      </w:r>
      <w:r>
        <w:instrText xml:space="preserve"> REF _Ref_22 \h </w:instrText>
      </w:r>
      <w:r>
        <w:fldChar w:fldCharType="separate"/>
      </w:r>
      <w:r>
        <w:t>22</w:t>
      </w:r>
      <w:r>
        <w:fldChar w:fldCharType="end"/>
      </w:r>
      <w:r>
        <w:t>,</w:t>
      </w:r>
      <w:r>
        <w:fldChar w:fldCharType="begin"/>
      </w:r>
      <w:r>
        <w:instrText xml:space="preserve"> REF _Ref_25 \h </w:instrText>
      </w:r>
      <w:r>
        <w:fldChar w:fldCharType="separate"/>
      </w:r>
      <w:r>
        <w:t>25</w:t>
      </w:r>
      <w:r>
        <w:fldChar w:fldCharType="end"/>
      </w:r>
      <w:r>
        <w:t>]</w:t>
      </w:r>
      <w:r>
        <w:rPr>
          <w:b w:val="0"/>
          <w:i w:val="0"/>
        </w:rPr>
        <w:t xml:space="preserve">. Finally, relatively few studies investigate these relationships using a dynamic panel framework that simultaneously addresses persistence in youth outcomes, endogeneity concerns, and country-specific heterogeneity </w:t>
      </w:r>
      <w:r>
        <w:t>[</w:t>
      </w:r>
      <w:r>
        <w:fldChar w:fldCharType="begin"/>
      </w:r>
      <w:r>
        <w:instrText xml:space="preserve"> REF _Ref_26 \h </w:instrText>
      </w:r>
      <w:r>
        <w:fldChar w:fldCharType="separate"/>
      </w:r>
      <w:r>
        <w:t>26</w:t>
      </w:r>
      <w:r>
        <w:fldChar w:fldCharType="end"/>
      </w:r>
      <w:r>
        <w:t>]</w:t>
      </w:r>
      <w:r>
        <w:rPr>
          <w:b w:val="0"/>
          <w:i w:val="0"/>
        </w:rPr>
        <w:t>. These limitations highlight the need for further empirical evidence capable of providing a more comprehensive understanding of how urban heat and its mitigation are connected to the employment prospects of the young generation.</w:t>
      </w:r>
    </w:p>
    <w:p>
      <w:pPr>
        <w:pStyle w:val="MDPI31text"/>
      </w:pPr>
      <w:r>
        <w:rPr>
          <w:b w:val="0"/>
          <w:i w:val="0"/>
        </w:rPr>
        <w:t xml:space="preserve">Building upon the research gaps identified above, the present study makes several important contributions to the literature. First, it develops an integrated analytical framework that simultaneously examines heat stress, green infrastructure, macroeconomic conditions, and human capital, thereby connecting the climate-adaptation literature with youth labour economics. Second, by analysing all 27 European Union Member States over the period 2010–2024, the study offers updated empirical evidence for a policy context characterised by the European Green Deal, the EU Adaptation Strategy, and the Nature Restoration Regulation, which sets explicit targets for urban green space </w:t>
      </w:r>
      <w:r>
        <w:t>[</w:t>
      </w:r>
      <w:r>
        <w:fldChar w:fldCharType="begin"/>
      </w:r>
      <w:r>
        <w:instrText xml:space="preserve"> REF _Ref_27 \h </w:instrText>
      </w:r>
      <w:r>
        <w:fldChar w:fldCharType="separate"/>
      </w:r>
      <w:r>
        <w:t>27</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Third, the study contributes to the debate on the socioeconomic returns of green and blue infrastructure by evaluating whether the well-documented thermal benefits translate into measurable labour-market protection for young people. Finally, by employing a dynamic panel framework capable of addressing persistence, endogeneity, and unobserved heterogeneity, the analysis provides robust empirical evidence on the youth labour-market consequences of summer heat within the European Union </w:t>
      </w:r>
      <w:r>
        <w:t>[</w:t>
      </w:r>
      <w:r>
        <w:fldChar w:fldCharType="begin"/>
      </w:r>
      <w:r>
        <w:instrText xml:space="preserve"> REF _Ref_30 \h </w:instrText>
      </w:r>
      <w:r>
        <w:fldChar w:fldCharType="separate"/>
      </w:r>
      <w:r>
        <w:t>30</w:t>
      </w:r>
      <w:r>
        <w:fldChar w:fldCharType="end"/>
      </w:r>
      <w:r>
        <w:t>,</w:t>
      </w:r>
      <w:r>
        <w:fldChar w:fldCharType="begin"/>
      </w:r>
      <w:r>
        <w:instrText xml:space="preserve"> REF _Ref_31 \h </w:instrText>
      </w:r>
      <w:r>
        <w:fldChar w:fldCharType="separate"/>
      </w:r>
      <w:r>
        <w:t>31</w:t>
      </w:r>
      <w:r>
        <w:fldChar w:fldCharType="end"/>
      </w:r>
      <w:r>
        <w:t>]</w:t>
      </w:r>
      <w:r>
        <w:rPr>
          <w:b w:val="0"/>
          <w:i w:val="0"/>
        </w:rPr>
        <w:t>.</w:t>
      </w:r>
    </w:p>
    <w:p>
      <w:pPr>
        <w:pStyle w:val="MDPI31text"/>
      </w:pPr>
      <w:r>
        <w:rPr>
          <w:b w:val="0"/>
          <w:i w:val="0"/>
        </w:rPr>
        <w:t>In light of the research gaps identified and the contributions outlined above, the study seeks to answer the following research question: To what extent does summer heat stress influence youth labour-market outcomes in the European Union, and to what extent does the green infrastructure endowment of urban areas moderate this influence? To address this question, the study employs a two-step System GMM estimator applied to a balanced panel of the 27 EU Member States over the period 2010–2024, in which the youth NEET rate depends on its own past values, cooling degree days, the interaction of cooling degree days with the green infrastructure endowment, real GDP growth, and tertiary educational attainment. By integrating these determinants within a unified dynamic framework, the study provides empirical evidence on how climate pressure, urban form, macroeconomic conditions, and human capital jointly influence the engagement of young people in employment and education.</w:t>
      </w:r>
    </w:p>
    <w:p>
      <w:pPr>
        <w:pStyle w:val="MDPI31text"/>
      </w:pPr>
      <w:r>
        <w:rPr>
          <w:b w:val="0"/>
          <w:i w:val="0"/>
        </w:rPr>
        <w:t>The remainder of this paper is organised as follows. Section 2 critically reviews the relevant literature and develops the research hypotheses. Section 3 describes the data, variables, and econometric methodology employed in the empirical analysis. Section 4 presents the empirical findings, while Section 5 discusses the results in relation to the existing literature, highlighting their theoretical and policy implications. Finally, Section 6 summarises the main conclusions, outlines the study’s limitations, and suggests directions for future research.</w:t>
      </w:r>
    </w:p>
    <w:p>
      <w:pPr>
        <w:pStyle w:val="MDPI21heading1"/>
      </w:pPr>
      <w:r>
        <w:t>2. Literature Review</w:t>
      </w:r>
    </w:p>
    <w:p>
      <w:pPr>
        <w:pStyle w:val="MDPI22heading2"/>
      </w:pPr>
      <w:r>
        <w:t>2.1. Summer Heat Stress and Youth Labour-Market Outcomes</w:t>
      </w:r>
    </w:p>
    <w:p>
      <w:pPr>
        <w:pStyle w:val="MDPI32textnoindent"/>
      </w:pPr>
      <w:r>
        <w:rPr>
          <w:b w:val="0"/>
          <w:i w:val="0"/>
        </w:rPr>
        <w:t xml:space="preserve">Heat is increasingly recognised as a macroeconomic force. Cross-country evidence shows that high temperatures depress output growth in a non-linear fashion, with substantial heterogeneity across income levels and climatic zones </w:t>
      </w:r>
      <w:r>
        <w:t>[</w:t>
      </w:r>
      <w:r>
        <w:fldChar w:fldCharType="begin"/>
      </w:r>
      <w:r>
        <w:instrText xml:space="preserve"> REF _Ref_23 \h </w:instrText>
      </w:r>
      <w:r>
        <w:fldChar w:fldCharType="separate"/>
      </w:r>
      <w:r>
        <w:t>23</w:t>
      </w:r>
      <w:r>
        <w:fldChar w:fldCharType="end"/>
      </w:r>
      <w:r>
        <w:t>,</w:t>
      </w:r>
      <w:r>
        <w:fldChar w:fldCharType="begin"/>
      </w:r>
      <w:r>
        <w:instrText xml:space="preserve"> REF _Ref_32 \h </w:instrText>
      </w:r>
      <w:r>
        <w:fldChar w:fldCharType="separate"/>
      </w:r>
      <w:r>
        <w:t>32</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At the micro level, heat reduces the time allocated to work in exposed industries </w:t>
      </w:r>
      <w:r>
        <w:t>[</w:t>
      </w:r>
      <w:r>
        <w:fldChar w:fldCharType="begin"/>
      </w:r>
      <w:r>
        <w:instrText xml:space="preserve"> REF _Ref_9 \h </w:instrText>
      </w:r>
      <w:r>
        <w:fldChar w:fldCharType="separate"/>
      </w:r>
      <w:r>
        <w:t>9</w:t>
      </w:r>
      <w:r>
        <w:fldChar w:fldCharType="end"/>
      </w:r>
      <w:r>
        <w:t>]</w:t>
      </w:r>
      <w:r>
        <w:rPr>
          <w:b w:val="0"/>
          <w:i w:val="0"/>
        </w:rPr>
        <w:t xml:space="preserve">, lowers productivity and increases absenteeism in manufacturing </w:t>
      </w:r>
      <w:r>
        <w:t>[</w:t>
      </w:r>
      <w:r>
        <w:fldChar w:fldCharType="begin"/>
      </w:r>
      <w:r>
        <w:instrText xml:space="preserve"> REF _Ref_11 \h </w:instrText>
      </w:r>
      <w:r>
        <w:fldChar w:fldCharType="separate"/>
      </w:r>
      <w:r>
        <w:t>11</w:t>
      </w:r>
      <w:r>
        <w:fldChar w:fldCharType="end"/>
      </w:r>
      <w:r>
        <w:t>]</w:t>
      </w:r>
      <w:r>
        <w:rPr>
          <w:b w:val="0"/>
          <w:i w:val="0"/>
        </w:rPr>
        <w:t xml:space="preserve">, and causes substantial self-reported productivity losses even in high-income economies </w:t>
      </w:r>
      <w:r>
        <w:t>[</w:t>
      </w:r>
      <w:r>
        <w:fldChar w:fldCharType="begin"/>
      </w:r>
      <w:r>
        <w:instrText xml:space="preserve"> REF _Ref_10 \h </w:instrText>
      </w:r>
      <w:r>
        <w:fldChar w:fldCharType="separate"/>
      </w:r>
      <w:r>
        <w:t>10</w:t>
      </w:r>
      <w:r>
        <w:fldChar w:fldCharType="end"/>
      </w:r>
      <w:r>
        <w:t>]</w:t>
      </w:r>
      <w:r>
        <w:rPr>
          <w:b w:val="0"/>
          <w:i w:val="0"/>
        </w:rPr>
        <w:t xml:space="preserve">. The International Labour Organization estimates that heat stress will erode the equivalent of tens of millions of full-time jobs globally as warming proceeds </w:t>
      </w:r>
      <w:r>
        <w:t>[</w:t>
      </w:r>
      <w:r>
        <w:fldChar w:fldCharType="begin"/>
      </w:r>
      <w:r>
        <w:instrText xml:space="preserve"> REF _Ref_13 \h </w:instrText>
      </w:r>
      <w:r>
        <w:fldChar w:fldCharType="separate"/>
      </w:r>
      <w:r>
        <w:t>13</w:t>
      </w:r>
      <w:r>
        <w:fldChar w:fldCharType="end"/>
      </w:r>
      <w:r>
        <w:t>]</w:t>
      </w:r>
      <w:r>
        <w:rPr>
          <w:b w:val="0"/>
          <w:i w:val="0"/>
        </w:rPr>
        <w:t xml:space="preserve">, and multi-model studies indicate that the combined effect of heat on labour productivity and labour supply is already measurable in southern Europe </w:t>
      </w:r>
      <w:r>
        <w:t>[</w:t>
      </w:r>
      <w:r>
        <w:fldChar w:fldCharType="begin"/>
      </w:r>
      <w:r>
        <w:instrText xml:space="preserve"> REF _Ref_14 \h </w:instrText>
      </w:r>
      <w:r>
        <w:fldChar w:fldCharType="separate"/>
      </w:r>
      <w:r>
        <w:t>14</w:t>
      </w:r>
      <w:r>
        <w:fldChar w:fldCharType="end"/>
      </w:r>
      <w:r>
        <w:t>,</w:t>
      </w:r>
      <w:r>
        <w:fldChar w:fldCharType="begin"/>
      </w:r>
      <w:r>
        <w:instrText xml:space="preserve"> REF _Ref_22 \h </w:instrText>
      </w:r>
      <w:r>
        <w:fldChar w:fldCharType="separate"/>
      </w:r>
      <w:r>
        <w:t>22</w:t>
      </w:r>
      <w:r>
        <w:fldChar w:fldCharType="end"/>
      </w:r>
      <w:r>
        <w:t>]</w:t>
      </w:r>
      <w:r>
        <w:rPr>
          <w:b w:val="0"/>
          <w:i w:val="0"/>
        </w:rPr>
        <w:t>.</w:t>
      </w:r>
    </w:p>
    <w:p>
      <w:pPr>
        <w:pStyle w:val="MDPI31text"/>
      </w:pPr>
      <w:r>
        <w:rPr>
          <w:b w:val="0"/>
          <w:i w:val="0"/>
        </w:rPr>
        <w:t xml:space="preserve">Several mechanisms suggest that these pressures fall disproportionately on young people. The sectors through which youth enter employment — agriculture, construction, tourism, and hospitality — combine outdoor or poorly cooled workplaces with seasonal, temporary contracts that are easily not renewed when summer conditions deteriorate </w:t>
      </w:r>
      <w:r>
        <w:t>[</w:t>
      </w:r>
      <w:r>
        <w:fldChar w:fldCharType="begin"/>
      </w:r>
      <w:r>
        <w:instrText xml:space="preserve"> REF _Ref_13 \h </w:instrText>
      </w:r>
      <w:r>
        <w:fldChar w:fldCharType="separate"/>
      </w:r>
      <w:r>
        <w:t>13</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Employers facing heat-related productivity losses and cooling costs can adjust most cheaply at the hiring margin, which is where labour-market entrants are concentrated. In addition, heat disrupts the education leg of the school-to-work transition: hotter school years reduce learning and examination performance, weakening the qualifications with which young people approach the labour market </w:t>
      </w:r>
      <w:r>
        <w:t>[</w:t>
      </w:r>
      <w:r>
        <w:fldChar w:fldCharType="begin"/>
      </w:r>
      <w:r>
        <w:instrText xml:space="preserve"> REF _Ref_12 \h </w:instrText>
      </w:r>
      <w:r>
        <w:fldChar w:fldCharType="separate"/>
      </w:r>
      <w:r>
        <w:t>12</w:t>
      </w:r>
      <w:r>
        <w:fldChar w:fldCharType="end"/>
      </w:r>
      <w:r>
        <w:t>]</w:t>
      </w:r>
      <w:r>
        <w:rPr>
          <w:b w:val="0"/>
          <w:i w:val="0"/>
        </w:rPr>
        <w:t xml:space="preserve">. Because early-career conditions have persistent scarring effects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fldChar w:fldCharType="begin"/>
      </w:r>
      <w:r>
        <w:instrText xml:space="preserve"> REF _Ref_35 \h </w:instrText>
      </w:r>
      <w:r>
        <w:fldChar w:fldCharType="separate"/>
      </w:r>
      <w:r>
        <w:t>35</w:t>
      </w:r>
      <w:r>
        <w:fldChar w:fldCharType="end"/>
      </w:r>
      <w:r>
        <w:t>]</w:t>
      </w:r>
      <w:r>
        <w:rPr>
          <w:b w:val="0"/>
          <w:i w:val="0"/>
        </w:rPr>
        <w:t>, recurring summer shocks may accumulate into measurable differences in youth disengagement across countries and years.</w:t>
      </w:r>
    </w:p>
    <w:p>
      <w:pPr>
        <w:pStyle w:val="MDPI31text"/>
      </w:pPr>
      <w:r>
        <w:rPr>
          <w:b w:val="0"/>
          <w:i w:val="0"/>
        </w:rPr>
        <w:t xml:space="preserve">Within the European Union, these considerations are especially relevant. The continent is warming faster than any other, and the summers of the early 2020s brought record heat exposure </w:t>
      </w:r>
      <w:r>
        <w:t>[</w:t>
      </w:r>
      <w:r>
        <w:fldChar w:fldCharType="begin"/>
      </w:r>
      <w:r>
        <w:instrText xml:space="preserve"> REF _Ref_3 \h </w:instrText>
      </w:r>
      <w:r>
        <w:fldChar w:fldCharType="separate"/>
      </w:r>
      <w:r>
        <w:t>3</w:t>
      </w:r>
      <w:r>
        <w:fldChar w:fldCharType="end"/>
      </w:r>
      <w:r>
        <w:t>,</w:t>
      </w:r>
      <w:r>
        <w:fldChar w:fldCharType="begin"/>
      </w:r>
      <w:r>
        <w:instrText xml:space="preserve"> REF _Ref_4 \h </w:instrText>
      </w:r>
      <w:r>
        <w:fldChar w:fldCharType="separate"/>
      </w:r>
      <w:r>
        <w:t>4</w:t>
      </w:r>
      <w:r>
        <w:fldChar w:fldCharType="end"/>
      </w:r>
      <w:r>
        <w:t>]</w:t>
      </w:r>
      <w:r>
        <w:rPr>
          <w:b w:val="0"/>
          <w:i w:val="0"/>
        </w:rPr>
        <w:t xml:space="preserve">. Youth labour markets, meanwhile, remain a central policy concern, monitored through the NEET rate and addressed by the reinforced Youth Guarantee </w:t>
      </w:r>
      <w:r>
        <w:t>[</w:t>
      </w:r>
      <w:r>
        <w:fldChar w:fldCharType="begin"/>
      </w:r>
      <w:r>
        <w:instrText xml:space="preserve"> REF _Ref_20 \h </w:instrText>
      </w:r>
      <w:r>
        <w:fldChar w:fldCharType="separate"/>
      </w:r>
      <w:r>
        <w:t>20</w:t>
      </w:r>
      <w:r>
        <w:fldChar w:fldCharType="end"/>
      </w:r>
      <w:r>
        <w:t>,</w:t>
      </w:r>
      <w:r>
        <w:fldChar w:fldCharType="begin"/>
      </w:r>
      <w:r>
        <w:instrText xml:space="preserve"> REF _Ref_36 \h </w:instrText>
      </w:r>
      <w:r>
        <w:fldChar w:fldCharType="separate"/>
      </w:r>
      <w:r>
        <w:t>36</w:t>
      </w:r>
      <w:r>
        <w:fldChar w:fldCharType="end"/>
      </w:r>
      <w:r>
        <w:t>,</w:t>
      </w:r>
      <w:r>
        <w:fldChar w:fldCharType="begin"/>
      </w:r>
      <w:r>
        <w:instrText xml:space="preserve"> REF _Ref_37 \h </w:instrText>
      </w:r>
      <w:r>
        <w:fldChar w:fldCharType="separate"/>
      </w:r>
      <w:r>
        <w:t>37</w:t>
      </w:r>
      <w:r>
        <w:fldChar w:fldCharType="end"/>
      </w:r>
      <w:r>
        <w:t>]</w:t>
      </w:r>
      <w:r>
        <w:rPr>
          <w:b w:val="0"/>
          <w:i w:val="0"/>
        </w:rPr>
        <w:t>. Nevertheless, the connection between the two policy fields — climate adaptation and youth employment — has hardly been examined empirically. Given the theoretical arguments and empirical evidence presented above, summer heat stress is expected to be positively associated with youth disengagement, although the magnitude of the relationship across all EU Member States remains an open empirical question. Therefore, further empirical investigation is required to assess this relationship within the European Union.</w:t>
      </w:r>
    </w:p>
    <w:p>
      <w:pPr>
        <w:pStyle w:val="MDPI32textnoindent"/>
        <w:spacing w:before="100" w:after="100"/>
        <w:ind w:left="2948" w:firstLine="0"/>
      </w:pPr>
      <w:r>
        <w:rPr>
          <w:b/>
        </w:rPr>
        <w:t xml:space="preserve">H1. </w:t>
      </w:r>
      <w:r>
        <w:rPr>
          <w:b w:val="0"/>
          <w:i/>
        </w:rPr>
        <w:t>Summer heat stress has a positive effect on the youth NEET rate in the European Union.</w:t>
      </w:r>
    </w:p>
    <w:p>
      <w:pPr>
        <w:pStyle w:val="MDPI22heading2"/>
      </w:pPr>
      <w:r>
        <w:t>2.2. Green and Blue Infrastructure, Thermal Mitigation, and Socioeconomic Resilience</w:t>
      </w:r>
    </w:p>
    <w:p>
      <w:pPr>
        <w:pStyle w:val="MDPI32textnoindent"/>
      </w:pPr>
      <w:r>
        <w:rPr>
          <w:b w:val="0"/>
          <w:i w:val="0"/>
        </w:rPr>
        <w:t xml:space="preserve">The capacity of green and blue infrastructure to moderate urban heat is among the most robust findings of urban climatology. Vegetation cools through shading and evapotranspiration, water bodies through evaporation and thermal inertia, and both modify the surface energy balance that generates the urban heat island </w:t>
      </w:r>
      <w:r>
        <w:t>[</w:t>
      </w:r>
      <w:r>
        <w:fldChar w:fldCharType="begin"/>
      </w:r>
      <w:r>
        <w:instrText xml:space="preserve"> REF _Ref_1 \h </w:instrText>
      </w:r>
      <w:r>
        <w:fldChar w:fldCharType="separate"/>
      </w:r>
      <w:r>
        <w:t>1</w:t>
      </w:r>
      <w:r>
        <w:fldChar w:fldCharType="end"/>
      </w:r>
      <w:r>
        <w:t>,</w:t>
      </w:r>
      <w:r>
        <w:fldChar w:fldCharType="begin"/>
      </w:r>
      <w:r>
        <w:instrText xml:space="preserve"> REF _Ref_5 \h </w:instrText>
      </w:r>
      <w:r>
        <w:fldChar w:fldCharType="separate"/>
      </w:r>
      <w:r>
        <w:t>5</w:t>
      </w:r>
      <w:r>
        <w:fldChar w:fldCharType="end"/>
      </w:r>
      <w:r>
        <w:t>,</w:t>
      </w:r>
      <w:r>
        <w:fldChar w:fldCharType="begin"/>
      </w:r>
      <w:r>
        <w:instrText xml:space="preserve"> REF _Ref_6 \h </w:instrText>
      </w:r>
      <w:r>
        <w:fldChar w:fldCharType="separate"/>
      </w:r>
      <w:r>
        <w:t>6</w:t>
      </w:r>
      <w:r>
        <w:fldChar w:fldCharType="end"/>
      </w:r>
      <w:r>
        <w:t>]</w:t>
      </w:r>
      <w:r>
        <w:rPr>
          <w:b w:val="0"/>
          <w:i w:val="0"/>
        </w:rPr>
        <w:t xml:space="preserve">. Systematic reviews report average park cooling effects of around one degree Celsius, with larger effects for larger and better-connected green areas </w:t>
      </w:r>
      <w:r>
        <w:t>[</w:t>
      </w:r>
      <w:r>
        <w:fldChar w:fldCharType="begin"/>
      </w:r>
      <w:r>
        <w:instrText xml:space="preserve"> REF _Ref_5 \h </w:instrText>
      </w:r>
      <w:r>
        <w:fldChar w:fldCharType="separate"/>
      </w:r>
      <w:r>
        <w:t>5</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and greenery is now treated as a first-order mitigation and adaptation strategy for overheating cities </w:t>
      </w:r>
      <w:r>
        <w:t>[</w:t>
      </w:r>
      <w:r>
        <w:fldChar w:fldCharType="begin"/>
      </w:r>
      <w:r>
        <w:instrText xml:space="preserve"> REF _Ref_2 \h </w:instrText>
      </w:r>
      <w:r>
        <w:fldChar w:fldCharType="separate"/>
      </w:r>
      <w:r>
        <w:t>2</w:t>
      </w:r>
      <w:r>
        <w:fldChar w:fldCharType="end"/>
      </w:r>
      <w:r>
        <w:t>,</w:t>
      </w:r>
      <w:r>
        <w:fldChar w:fldCharType="begin"/>
      </w:r>
      <w:r>
        <w:instrText xml:space="preserve"> REF _Ref_7 \h </w:instrText>
      </w:r>
      <w:r>
        <w:fldChar w:fldCharType="separate"/>
      </w:r>
      <w:r>
        <w:t>7</w:t>
      </w:r>
      <w:r>
        <w:fldChar w:fldCharType="end"/>
      </w:r>
      <w:r>
        <w:t>]</w:t>
      </w:r>
      <w:r>
        <w:rPr>
          <w:b w:val="0"/>
          <w:i w:val="0"/>
        </w:rPr>
        <w:t xml:space="preserve">. For European functional urban areas specifically, satellite-based assessments show that existing green infrastructure already lowers city temperatures measurably, and that reaching recommended tree-cover levels would substantially reduce heat-related mortality </w:t>
      </w:r>
      <w:r>
        <w:t>[</w:t>
      </w:r>
      <w:r>
        <w:fldChar w:fldCharType="begin"/>
      </w:r>
      <w:r>
        <w:instrText xml:space="preserve"> REF _Ref_8 \h </w:instrText>
      </w:r>
      <w:r>
        <w:fldChar w:fldCharType="separate"/>
      </w:r>
      <w:r>
        <w:t>8</w:t>
      </w:r>
      <w:r>
        <w:fldChar w:fldCharType="end"/>
      </w:r>
      <w:r>
        <w:t>,</w:t>
      </w:r>
      <w:r>
        <w:fldChar w:fldCharType="begin"/>
      </w:r>
      <w:r>
        <w:instrText xml:space="preserve"> REF _Ref_21 \h </w:instrText>
      </w:r>
      <w:r>
        <w:fldChar w:fldCharType="separate"/>
      </w:r>
      <w:r>
        <w:t>21</w:t>
      </w:r>
      <w:r>
        <w:fldChar w:fldCharType="end"/>
      </w:r>
      <w:r>
        <w:t>]</w:t>
      </w:r>
      <w:r>
        <w:rPr>
          <w:b w:val="0"/>
          <w:i w:val="0"/>
        </w:rPr>
        <w:t>.</w:t>
      </w:r>
    </w:p>
    <w:p>
      <w:pPr>
        <w:pStyle w:val="MDPI31text"/>
      </w:pPr>
      <w:r>
        <w:rPr>
          <w:b w:val="0"/>
          <w:i w:val="0"/>
        </w:rPr>
        <w:t xml:space="preserve">If green infrastructure lowers the effective heat load that urban residents and workplaces experience, it should also buffer the socioeconomic consequences of hot summers. A given meteorological heat wave translates into less physiological strain, fewer lost working hours, smaller cooling costs, and less disruption of schooling in a city whose streets, workplaces, and commuting routes are shaded and ventilated than in a densely sealed one </w:t>
      </w:r>
      <w:r>
        <w:t>[</w:t>
      </w:r>
      <w:r>
        <w:fldChar w:fldCharType="begin"/>
      </w:r>
      <w:r>
        <w:instrText xml:space="preserve"> REF _Ref_38 \h </w:instrText>
      </w:r>
      <w:r>
        <w:fldChar w:fldCharType="separate"/>
      </w:r>
      <w:r>
        <w:t>38</w:t>
      </w:r>
      <w:r>
        <w:fldChar w:fldCharType="end"/>
      </w:r>
      <w:r>
        <w:t>,</w:t>
      </w:r>
      <w:r>
        <w:fldChar w:fldCharType="begin"/>
      </w:r>
      <w:r>
        <w:instrText xml:space="preserve"> REF _Ref_39 \h </w:instrText>
      </w:r>
      <w:r>
        <w:fldChar w:fldCharType="separate"/>
      </w:r>
      <w:r>
        <w:t>39</w:t>
      </w:r>
      <w:r>
        <w:fldChar w:fldCharType="end"/>
      </w:r>
      <w:r>
        <w:t>]</w:t>
      </w:r>
      <w:r>
        <w:rPr>
          <w:b w:val="0"/>
          <w:i w:val="0"/>
        </w:rPr>
        <w:t xml:space="preserve">. The green endowment of cities is therefore not only environmental infrastructure but potentially social infrastructure, conditioning how climate pressure reaches the labour market. The distributional literature adds that access to urban green space is unequal within and across European cities </w:t>
      </w:r>
      <w:r>
        <w:t>[</w:t>
      </w:r>
      <w:r>
        <w:fldChar w:fldCharType="begin"/>
      </w:r>
      <w:r>
        <w:instrText xml:space="preserve"> REF _Ref_40 \h </w:instrText>
      </w:r>
      <w:r>
        <w:fldChar w:fldCharType="separate"/>
      </w:r>
      <w:r>
        <w:t>40</w:t>
      </w:r>
      <w:r>
        <w:fldChar w:fldCharType="end"/>
      </w:r>
      <w:r>
        <w:t>,</w:t>
      </w:r>
      <w:r>
        <w:fldChar w:fldCharType="begin"/>
      </w:r>
      <w:r>
        <w:instrText xml:space="preserve"> REF _Ref_41 \h </w:instrText>
      </w:r>
      <w:r>
        <w:fldChar w:fldCharType="separate"/>
      </w:r>
      <w:r>
        <w:t>41</w:t>
      </w:r>
      <w:r>
        <w:fldChar w:fldCharType="end"/>
      </w:r>
      <w:r>
        <w:t>]</w:t>
      </w:r>
      <w:r>
        <w:rPr>
          <w:b w:val="0"/>
          <w:i w:val="0"/>
        </w:rPr>
        <w:t>, which suggests that the buffering capacity of greenery may differ systematically across countries.</w:t>
      </w:r>
    </w:p>
    <w:p>
      <w:pPr>
        <w:pStyle w:val="MDPI31text"/>
      </w:pPr>
      <w:r>
        <w:rPr>
          <w:b w:val="0"/>
          <w:i w:val="0"/>
        </w:rPr>
        <w:t xml:space="preserve">European policy explicitly embraces this integrated view. The EU Adaptation Strategy calls for nature-based solutions to climate-proof cities </w:t>
      </w:r>
      <w:r>
        <w:t>[</w:t>
      </w:r>
      <w:r>
        <w:fldChar w:fldCharType="begin"/>
      </w:r>
      <w:r>
        <w:instrText xml:space="preserve"> REF _Ref_28 \h </w:instrText>
      </w:r>
      <w:r>
        <w:fldChar w:fldCharType="separate"/>
      </w:r>
      <w:r>
        <w:t>28</w:t>
      </w:r>
      <w:r>
        <w:fldChar w:fldCharType="end"/>
      </w:r>
      <w:r>
        <w:t>]</w:t>
      </w:r>
      <w:r>
        <w:rPr>
          <w:b w:val="0"/>
          <w:i w:val="0"/>
        </w:rPr>
        <w:t xml:space="preserve">, the Nature Restoration Regulation requires member states to ensure no net loss of urban green space and tree cover </w:t>
      </w:r>
      <w:r>
        <w:t>[</w:t>
      </w:r>
      <w:r>
        <w:fldChar w:fldCharType="begin"/>
      </w:r>
      <w:r>
        <w:instrText xml:space="preserve"> REF _Ref_29 \h </w:instrText>
      </w:r>
      <w:r>
        <w:fldChar w:fldCharType="separate"/>
      </w:r>
      <w:r>
        <w:t>29</w:t>
      </w:r>
      <w:r>
        <w:fldChar w:fldCharType="end"/>
      </w:r>
      <w:r>
        <w:t>]</w:t>
      </w:r>
      <w:r>
        <w:rPr>
          <w:b w:val="0"/>
          <w:i w:val="0"/>
        </w:rPr>
        <w:t xml:space="preserve">, and the European Environment Agency documents rapidly growing but uneven adaptation activity across European towns and cities </w:t>
      </w:r>
      <w:r>
        <w:t>[</w:t>
      </w:r>
      <w:r>
        <w:fldChar w:fldCharType="begin"/>
      </w:r>
      <w:r>
        <w:instrText xml:space="preserve"> REF _Ref_25 \h </w:instrText>
      </w:r>
      <w:r>
        <w:fldChar w:fldCharType="separate"/>
      </w:r>
      <w:r>
        <w:t>25</w:t>
      </w:r>
      <w:r>
        <w:fldChar w:fldCharType="end"/>
      </w:r>
      <w:r>
        <w:t>]</w:t>
      </w:r>
      <w:r>
        <w:rPr>
          <w:b w:val="0"/>
          <w:i w:val="0"/>
        </w:rPr>
        <w:t>. However, the benefits of these investments are typically quantified in degrees, mortality, or energy, and hardly ever in labour-market outcomes. Based on the theoretical arguments and empirical evidence discussed above, the green infrastructure endowment of urban areas is expected to attenuate the labour-market consequences of summer heat for young people.</w:t>
      </w:r>
    </w:p>
    <w:p>
      <w:pPr>
        <w:pStyle w:val="MDPI32textnoindent"/>
        <w:spacing w:before="100" w:after="100"/>
        <w:ind w:left="2948" w:firstLine="0"/>
      </w:pPr>
      <w:r>
        <w:rPr>
          <w:b/>
        </w:rPr>
        <w:t xml:space="preserve">H2. </w:t>
      </w:r>
      <w:r>
        <w:rPr>
          <w:b w:val="0"/>
          <w:i/>
        </w:rPr>
        <w:t>The green infrastructure endowment of urban areas attenuates the effect of summer heat stress on the youth NEET rate.</w:t>
      </w:r>
    </w:p>
    <w:p>
      <w:pPr>
        <w:pStyle w:val="MDPI22heading2"/>
      </w:pPr>
      <w:r>
        <w:t>2.3. Macroeconomic Conditions and Youth Labour Markets</w:t>
      </w:r>
    </w:p>
    <w:p>
      <w:pPr>
        <w:pStyle w:val="MDPI32textnoindent"/>
      </w:pPr>
      <w:r>
        <w:rPr>
          <w:b w:val="0"/>
          <w:i w:val="0"/>
        </w:rPr>
        <w:t xml:space="preserve">Youth labour-market outcomes are strongly cyclical. Young people are over-represented among job seekers and among temporary contract holders, so downturns raise youth joblessness disproportionately, as the euro-area crisis and the pandemic demonstrated across Europe </w:t>
      </w:r>
      <w:r>
        <w:t>[</w:t>
      </w:r>
      <w:r>
        <w:fldChar w:fldCharType="begin"/>
      </w:r>
      <w:r>
        <w:instrText xml:space="preserve"> REF _Ref_35 \h </w:instrText>
      </w:r>
      <w:r>
        <w:fldChar w:fldCharType="separate"/>
      </w:r>
      <w:r>
        <w:t>35</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The scarring literature shows that entering the labour market in a recession depresses employment and earnings for years </w:t>
      </w:r>
      <w:r>
        <w:t>[</w:t>
      </w:r>
      <w:r>
        <w:fldChar w:fldCharType="begin"/>
      </w:r>
      <w:r>
        <w:instrText xml:space="preserve"> REF _Ref_15 \h </w:instrText>
      </w:r>
      <w:r>
        <w:fldChar w:fldCharType="separate"/>
      </w:r>
      <w:r>
        <w:t>15</w:t>
      </w:r>
      <w:r>
        <w:fldChar w:fldCharType="end"/>
      </w:r>
      <w:r>
        <w:t>–</w:t>
      </w:r>
      <w:r>
        <w:fldChar w:fldCharType="begin"/>
      </w:r>
      <w:r>
        <w:instrText xml:space="preserve"> REF _Ref_18 \h </w:instrText>
      </w:r>
      <w:r>
        <w:fldChar w:fldCharType="separate"/>
      </w:r>
      <w:r>
        <w:t>18</w:t>
      </w:r>
      <w:r>
        <w:fldChar w:fldCharType="end"/>
      </w:r>
      <w:r>
        <w:t>]</w:t>
      </w:r>
      <w:r>
        <w:rPr>
          <w:b w:val="0"/>
          <w:i w:val="0"/>
        </w:rPr>
        <w:t xml:space="preserve">, and the disengagement captured by the NEET indicator is among the most costly forms of this exposure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rPr>
          <w:b w:val="0"/>
          <w:i w:val="0"/>
        </w:rPr>
        <w:t>. Aggregate growth, by expanding hiring and shortening job search, is therefore expected to reduce the share of young people detached from employment and education. Accordingly, real GDP growth is included in the empirical model as the macroeconomic determinant of youth disengagement, and a negative relationship is expected.</w:t>
      </w:r>
    </w:p>
    <w:p>
      <w:pPr>
        <w:pStyle w:val="MDPI32textnoindent"/>
        <w:spacing w:before="100" w:after="100"/>
        <w:ind w:left="2948" w:firstLine="0"/>
      </w:pPr>
      <w:r>
        <w:rPr>
          <w:b/>
        </w:rPr>
        <w:t xml:space="preserve">H3. </w:t>
      </w:r>
      <w:r>
        <w:rPr>
          <w:b w:val="0"/>
          <w:i/>
        </w:rPr>
        <w:t>Economic growth has a negative effect on the youth NEET rate in the European Union.</w:t>
      </w:r>
    </w:p>
    <w:p>
      <w:pPr>
        <w:pStyle w:val="MDPI22heading2"/>
      </w:pPr>
      <w:r>
        <w:t>2.4. Human Capital and Youth Transitions</w:t>
      </w:r>
    </w:p>
    <w:p>
      <w:pPr>
        <w:pStyle w:val="MDPI32textnoindent"/>
      </w:pPr>
      <w:r>
        <w:rPr>
          <w:b w:val="0"/>
          <w:i w:val="0"/>
        </w:rPr>
        <w:t xml:space="preserve">Educational attainment shapes the speed and quality of the school-to-work transition. Higher attainment improves employability, widens the range of accessible occupations, and keeps young people attached to structured activity during difficult periods </w:t>
      </w:r>
      <w:r>
        <w:t>[</w:t>
      </w:r>
      <w:r>
        <w:fldChar w:fldCharType="begin"/>
      </w:r>
      <w:r>
        <w:instrText xml:space="preserve"> REF _Ref_19 \h </w:instrText>
      </w:r>
      <w:r>
        <w:fldChar w:fldCharType="separate"/>
      </w:r>
      <w:r>
        <w:t>19</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Across European countries, rising tertiary attainment among the 25–34 age group has accompanied the long decline of youth disengagement, although the relationship is mediated by labour-demand conditions and institutional quality </w:t>
      </w:r>
      <w:r>
        <w:t>[</w:t>
      </w:r>
      <w:r>
        <w:fldChar w:fldCharType="begin"/>
      </w:r>
      <w:r>
        <w:instrText xml:space="preserve"> REF _Ref_20 \h </w:instrText>
      </w:r>
      <w:r>
        <w:fldChar w:fldCharType="separate"/>
      </w:r>
      <w:r>
        <w:t>20</w:t>
      </w:r>
      <w:r>
        <w:fldChar w:fldCharType="end"/>
      </w:r>
      <w:r>
        <w:t>,</w:t>
      </w:r>
      <w:r>
        <w:fldChar w:fldCharType="begin"/>
      </w:r>
      <w:r>
        <w:instrText xml:space="preserve"> REF _Ref_36 \h </w:instrText>
      </w:r>
      <w:r>
        <w:fldChar w:fldCharType="separate"/>
      </w:r>
      <w:r>
        <w:t>36</w:t>
      </w:r>
      <w:r>
        <w:fldChar w:fldCharType="end"/>
      </w:r>
      <w:r>
        <w:t>]</w:t>
      </w:r>
      <w:r>
        <w:rPr>
          <w:b w:val="0"/>
          <w:i w:val="0"/>
        </w:rPr>
        <w:t>. Tertiary attainment is therefore included as the human-capital determinant of the youth NEET rate, and a negative relationship is expected. At the same time, attainment expansions materialise slowly, so their contemporaneous contribution may be modest relative to the cyclical and climatic forces examined above.</w:t>
      </w:r>
    </w:p>
    <w:p>
      <w:pPr>
        <w:pStyle w:val="MDPI32textnoindent"/>
        <w:spacing w:before="100" w:after="100"/>
        <w:ind w:left="2948" w:firstLine="0"/>
      </w:pPr>
      <w:r>
        <w:rPr>
          <w:b/>
        </w:rPr>
        <w:t xml:space="preserve">H4. </w:t>
      </w:r>
      <w:r>
        <w:rPr>
          <w:b w:val="0"/>
          <w:i/>
        </w:rPr>
        <w:t>Tertiary educational attainment has a negative effect on the youth NEET rate in the European Union.</w:t>
      </w:r>
    </w:p>
    <w:p>
      <w:pPr>
        <w:pStyle w:val="MDPI21heading1"/>
      </w:pPr>
      <w:r>
        <w:t>3. Data and Methodology</w:t>
      </w:r>
    </w:p>
    <w:p>
      <w:pPr>
        <w:pStyle w:val="MDPI22heading2"/>
      </w:pPr>
      <w:r>
        <w:t>3.1. Data and Variables</w:t>
      </w:r>
    </w:p>
    <w:p>
      <w:pPr>
        <w:pStyle w:val="MDPI32textnoindent"/>
      </w:pPr>
      <w:r>
        <w:rPr>
          <w:b w:val="0"/>
          <w:i w:val="0"/>
        </w:rPr>
        <w:t xml:space="preserve">The empirical analysis is based on a balanced panel dataset covering the 27 European Union Member States over the period 2010–2024, resulting in 405 country-year observations. The observation period captures a sequence of profound economic and climatic transformations, including the euro-area crisis and its long recovery, the pandemic disruption of 2020–2021, and the record European summers of 2022, 2023 and 2024. Annual country-level data were obtained from Eurostat, ensuring consistency and comparability across countries and over time, and were complemented by the Copernicus Urban Atlas land-monitoring products for the green infrastructure endowment </w:t>
      </w:r>
      <w:r>
        <w:t>[</w:t>
      </w:r>
      <w:r>
        <w:fldChar w:fldCharType="begin"/>
      </w:r>
      <w:r>
        <w:instrText xml:space="preserve"> REF _Ref_42 \h </w:instrText>
      </w:r>
      <w:r>
        <w:fldChar w:fldCharType="separate"/>
      </w:r>
      <w:r>
        <w:t>42</w:t>
      </w:r>
      <w:r>
        <w:fldChar w:fldCharType="end"/>
      </w:r>
      <w:r>
        <w:t>]</w:t>
      </w:r>
      <w:r>
        <w:rPr>
          <w:b w:val="0"/>
          <w:i w:val="0"/>
        </w:rPr>
        <w:t>.</w:t>
      </w:r>
    </w:p>
    <w:p>
      <w:pPr>
        <w:pStyle w:val="MDPI31text"/>
      </w:pPr>
      <w:r>
        <w:rPr>
          <w:b w:val="0"/>
          <w:i w:val="0"/>
        </w:rPr>
        <w:t xml:space="preserve">The dependent variable is the youth NEET rate, defined as the share of young people aged 15–29 neither in employment nor in education and training </w:t>
      </w:r>
      <w:r>
        <w:t>[</w:t>
      </w:r>
      <w:r>
        <w:fldChar w:fldCharType="begin"/>
      </w:r>
      <w:r>
        <w:instrText xml:space="preserve"> REF _Ref_43 \h </w:instrText>
      </w:r>
      <w:r>
        <w:fldChar w:fldCharType="separate"/>
      </w:r>
      <w:r>
        <w:t>43</w:t>
      </w:r>
      <w:r>
        <w:fldChar w:fldCharType="end"/>
      </w:r>
      <w:r>
        <w:t>]</w:t>
      </w:r>
      <w:r>
        <w:rPr>
          <w:b w:val="0"/>
          <w:i w:val="0"/>
        </w:rPr>
        <w:t xml:space="preserve">. Compared with the youth unemployment rate, the NEET rate captures detachment from both work and learning and is less sensitive to student job-search behaviour; the youth unemployment rate of the labour force aged 15–24 </w:t>
      </w:r>
      <w:r>
        <w:t>[</w:t>
      </w:r>
      <w:r>
        <w:fldChar w:fldCharType="begin"/>
      </w:r>
      <w:r>
        <w:instrText xml:space="preserve"> REF _Ref_44 \h </w:instrText>
      </w:r>
      <w:r>
        <w:fldChar w:fldCharType="separate"/>
      </w:r>
      <w:r>
        <w:t>44</w:t>
      </w:r>
      <w:r>
        <w:fldChar w:fldCharType="end"/>
      </w:r>
      <w:r>
        <w:t>]</w:t>
      </w:r>
      <w:r>
        <w:rPr>
          <w:b w:val="0"/>
          <w:i w:val="0"/>
        </w:rPr>
        <w:t xml:space="preserve"> is nevertheless employed in a sensitivity analysis. Summer heat stress is measured through cooling degree days </w:t>
      </w:r>
      <w:r>
        <w:t>[</w:t>
      </w:r>
      <w:r>
        <w:fldChar w:fldCharType="begin"/>
      </w:r>
      <w:r>
        <w:instrText xml:space="preserve"> REF _Ref_45 \h </w:instrText>
      </w:r>
      <w:r>
        <w:fldChar w:fldCharType="separate"/>
      </w:r>
      <w:r>
        <w:t>45</w:t>
      </w:r>
      <w:r>
        <w:fldChar w:fldCharType="end"/>
      </w:r>
      <w:r>
        <w:t>]</w:t>
      </w:r>
      <w:r>
        <w:rPr>
          <w:b w:val="0"/>
          <w:i w:val="0"/>
        </w:rPr>
        <w:t xml:space="preserve">, which cumulate the intensity and duration of hot weather over the year; in the estimations the variable is expressed in hundreds of degree days (CDD100). The green infrastructure endowment (GRN) is the share of green urban areas and urban forest in the functional urban areas of each country, compiled from the Urban Atlas 2018 layer and treated as a time-invariant structural characteristic of national urban systems </w:t>
      </w:r>
      <w:r>
        <w:t>[</w:t>
      </w:r>
      <w:r>
        <w:fldChar w:fldCharType="begin"/>
      </w:r>
      <w:r>
        <w:instrText xml:space="preserve"> REF _Ref_40 \h </w:instrText>
      </w:r>
      <w:r>
        <w:fldChar w:fldCharType="separate"/>
      </w:r>
      <w:r>
        <w:t>40</w:t>
      </w:r>
      <w:r>
        <w:fldChar w:fldCharType="end"/>
      </w:r>
      <w:r>
        <w:t>,</w:t>
      </w:r>
      <w:r>
        <w:fldChar w:fldCharType="begin"/>
      </w:r>
      <w:r>
        <w:instrText xml:space="preserve"> REF _Ref_42 \h </w:instrText>
      </w:r>
      <w:r>
        <w:fldChar w:fldCharType="separate"/>
      </w:r>
      <w:r>
        <w:t>42</w:t>
      </w:r>
      <w:r>
        <w:fldChar w:fldCharType="end"/>
      </w:r>
      <w:r>
        <w:t>]</w:t>
      </w:r>
      <w:r>
        <w:rPr>
          <w:b w:val="0"/>
          <w:i w:val="0"/>
        </w:rPr>
        <w:t xml:space="preserve">. Macroeconomic conditions are represented by the real GDP growth rate </w:t>
      </w:r>
      <w:r>
        <w:t>[</w:t>
      </w:r>
      <w:r>
        <w:fldChar w:fldCharType="begin"/>
      </w:r>
      <w:r>
        <w:instrText xml:space="preserve"> REF _Ref_46 \h </w:instrText>
      </w:r>
      <w:r>
        <w:fldChar w:fldCharType="separate"/>
      </w:r>
      <w:r>
        <w:t>46</w:t>
      </w:r>
      <w:r>
        <w:fldChar w:fldCharType="end"/>
      </w:r>
      <w:r>
        <w:t>]</w:t>
      </w:r>
      <w:r>
        <w:rPr>
          <w:b w:val="0"/>
          <w:i w:val="0"/>
        </w:rPr>
        <w:t xml:space="preserve">, and human capital by tertiary educational attainment of the population aged 25–34 </w:t>
      </w:r>
      <w:r>
        <w:t>[</w:t>
      </w:r>
      <w:r>
        <w:fldChar w:fldCharType="begin"/>
      </w:r>
      <w:r>
        <w:instrText xml:space="preserve"> REF _Ref_47 \h </w:instrText>
      </w:r>
      <w:r>
        <w:fldChar w:fldCharType="separate"/>
      </w:r>
      <w:r>
        <w:t>47</w:t>
      </w:r>
      <w:r>
        <w:fldChar w:fldCharType="end"/>
      </w:r>
      <w:r>
        <w:t>]</w:t>
      </w:r>
      <w:r>
        <w:rPr>
          <w:b w:val="0"/>
          <w:i w:val="0"/>
        </w:rPr>
        <w:t>. Table 1 summarises the variables included in the analysis.</w:t>
      </w:r>
    </w:p>
    <w:p>
      <w:pPr>
        <w:pStyle w:val="MDPI41tablecaption"/>
        <w:keepNext/>
        <w:spacing w:after="60"/>
      </w:pPr>
      <w:r>
        <w:rPr>
          <w:b/>
          <w:sz w:val="18"/>
        </w:rPr>
        <w:t xml:space="preserve">Table 1. </w:t>
      </w:r>
      <w:r>
        <w:rPr>
          <w:b w:val="0"/>
          <w:i w:val="0"/>
          <w:sz w:val="18"/>
        </w:rPr>
        <w:t>Description of variables used in the empirical analysis.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021"/>
        <w:gridCol w:w="2907"/>
        <w:gridCol w:w="2200"/>
        <w:gridCol w:w="1728"/>
      </w:tblGrid>
      <w:tr>
        <w:trPr>
          <w:cantSplit/>
          <w:tblHeader/>
        </w:trPr>
        <w:tc>
          <w:tcPr>
            <w:tcW w:type="dxa" w:w="1021"/>
            <w:tcBorders>
              <w:bottom w:val="single" w:sz="8" w:space="0" w:color="auto"/>
            </w:tcBorders>
          </w:tcPr>
          <w:p>
            <w:pPr>
              <w:pStyle w:val="MDPI42tablebody"/>
              <w:keepNext/>
              <w:spacing w:line="240" w:lineRule="auto" w:before="30" w:after="30"/>
              <w:jc w:val="center"/>
            </w:pPr>
            <w:r>
              <w:rPr>
                <w:b/>
                <w:i w:val="0"/>
                <w:sz w:val="18"/>
              </w:rPr>
              <w:t>Variable</w:t>
            </w:r>
          </w:p>
        </w:tc>
        <w:tc>
          <w:tcPr>
            <w:tcW w:type="dxa" w:w="2907"/>
            <w:tcBorders>
              <w:bottom w:val="single" w:sz="8" w:space="0" w:color="auto"/>
            </w:tcBorders>
          </w:tcPr>
          <w:p>
            <w:pPr>
              <w:pStyle w:val="MDPI42tablebody"/>
              <w:keepNext/>
              <w:spacing w:line="240" w:lineRule="auto" w:before="30" w:after="30"/>
              <w:jc w:val="center"/>
            </w:pPr>
            <w:r>
              <w:rPr>
                <w:b/>
                <w:i w:val="0"/>
                <w:sz w:val="18"/>
              </w:rPr>
              <w:t>Description</w:t>
            </w:r>
          </w:p>
        </w:tc>
        <w:tc>
          <w:tcPr>
            <w:tcW w:type="dxa" w:w="2200"/>
            <w:tcBorders>
              <w:bottom w:val="single" w:sz="8" w:space="0" w:color="auto"/>
            </w:tcBorders>
          </w:tcPr>
          <w:p>
            <w:pPr>
              <w:pStyle w:val="MDPI42tablebody"/>
              <w:keepNext/>
              <w:spacing w:line="240" w:lineRule="auto" w:before="30" w:after="30"/>
              <w:jc w:val="center"/>
            </w:pPr>
            <w:r>
              <w:rPr>
                <w:b/>
                <w:i w:val="0"/>
                <w:sz w:val="18"/>
              </w:rPr>
              <w:t>Measurement</w:t>
            </w:r>
          </w:p>
        </w:tc>
        <w:tc>
          <w:tcPr>
            <w:tcW w:type="dxa" w:w="1728"/>
            <w:tcBorders>
              <w:bottom w:val="single" w:sz="8" w:space="0" w:color="auto"/>
            </w:tcBorders>
          </w:tcPr>
          <w:p>
            <w:pPr>
              <w:pStyle w:val="MDPI42tablebody"/>
              <w:keepNext/>
              <w:spacing w:line="240" w:lineRule="auto" w:before="30" w:after="30"/>
              <w:jc w:val="center"/>
            </w:pPr>
            <w:r>
              <w:rPr>
                <w:b/>
                <w:i w:val="0"/>
                <w:sz w:val="18"/>
              </w:rPr>
              <w:t>Source</w:t>
            </w:r>
          </w:p>
        </w:tc>
      </w:tr>
      <w:tr>
        <w:trPr>
          <w:cantSplit/>
        </w:trPr>
        <w:tc>
          <w:tcPr>
            <w:tcW w:type="dxa" w:w="1021"/>
          </w:tcPr>
          <w:p>
            <w:pPr>
              <w:pStyle w:val="MDPI42tablebody"/>
              <w:keepNext/>
              <w:spacing w:line="240" w:lineRule="auto" w:before="30" w:after="30"/>
              <w:jc w:val="left"/>
            </w:pPr>
            <w:r>
              <w:rPr>
                <w:b w:val="0"/>
                <w:i w:val="0"/>
                <w:sz w:val="18"/>
              </w:rPr>
              <w:t>NEET</w:t>
            </w:r>
          </w:p>
        </w:tc>
        <w:tc>
          <w:tcPr>
            <w:tcW w:type="dxa" w:w="2907"/>
          </w:tcPr>
          <w:p>
            <w:pPr>
              <w:pStyle w:val="MDPI42tablebody"/>
              <w:keepNext/>
              <w:spacing w:line="240" w:lineRule="auto" w:before="30" w:after="30"/>
              <w:jc w:val="left"/>
            </w:pPr>
            <w:r>
              <w:rPr>
                <w:b w:val="0"/>
                <w:i w:val="0"/>
                <w:sz w:val="18"/>
              </w:rPr>
              <w:t>Youth NEET rate (15–29 years)</w:t>
            </w:r>
          </w:p>
        </w:tc>
        <w:tc>
          <w:tcPr>
            <w:tcW w:type="dxa" w:w="2200"/>
          </w:tcPr>
          <w:p>
            <w:pPr>
              <w:pStyle w:val="MDPI42tablebody"/>
              <w:keepNext/>
              <w:spacing w:line="240" w:lineRule="auto" w:before="30" w:after="30"/>
              <w:jc w:val="left"/>
            </w:pPr>
            <w:r>
              <w:rPr>
                <w:b w:val="0"/>
                <w:i w:val="0"/>
                <w:sz w:val="18"/>
              </w:rPr>
              <w:t>% of the age-group population</w:t>
            </w:r>
          </w:p>
        </w:tc>
        <w:tc>
          <w:tcPr>
            <w:tcW w:type="dxa" w:w="1728"/>
          </w:tcPr>
          <w:p>
            <w:pPr>
              <w:pStyle w:val="MDPI42tablebody"/>
              <w:keepNext/>
              <w:spacing w:line="240" w:lineRule="auto" w:before="30" w:after="30"/>
              <w:jc w:val="center"/>
            </w:pPr>
            <w:r>
              <w:rPr>
                <w:b w:val="0"/>
                <w:i w:val="0"/>
                <w:sz w:val="18"/>
              </w:rPr>
              <w:t>edat_lfse_20</w:t>
            </w:r>
          </w:p>
        </w:tc>
      </w:tr>
      <w:tr>
        <w:trPr>
          <w:cantSplit/>
        </w:trPr>
        <w:tc>
          <w:tcPr>
            <w:tcW w:type="dxa" w:w="1021"/>
          </w:tcPr>
          <w:p>
            <w:pPr>
              <w:pStyle w:val="MDPI42tablebody"/>
              <w:keepNext/>
              <w:spacing w:line="240" w:lineRule="auto" w:before="30" w:after="30"/>
              <w:jc w:val="left"/>
            </w:pPr>
            <w:r>
              <w:rPr>
                <w:b w:val="0"/>
                <w:i w:val="0"/>
                <w:sz w:val="18"/>
              </w:rPr>
              <w:t>YUR</w:t>
            </w:r>
          </w:p>
        </w:tc>
        <w:tc>
          <w:tcPr>
            <w:tcW w:type="dxa" w:w="2907"/>
          </w:tcPr>
          <w:p>
            <w:pPr>
              <w:pStyle w:val="MDPI42tablebody"/>
              <w:keepNext/>
              <w:spacing w:line="240" w:lineRule="auto" w:before="30" w:after="30"/>
              <w:jc w:val="left"/>
            </w:pPr>
            <w:r>
              <w:rPr>
                <w:b w:val="0"/>
                <w:i w:val="0"/>
                <w:sz w:val="18"/>
              </w:rPr>
              <w:t>Youth unemployment rate (15–24 years)</w:t>
            </w:r>
          </w:p>
        </w:tc>
        <w:tc>
          <w:tcPr>
            <w:tcW w:type="dxa" w:w="2200"/>
          </w:tcPr>
          <w:p>
            <w:pPr>
              <w:pStyle w:val="MDPI42tablebody"/>
              <w:keepNext/>
              <w:spacing w:line="240" w:lineRule="auto" w:before="30" w:after="30"/>
              <w:jc w:val="left"/>
            </w:pPr>
            <w:r>
              <w:rPr>
                <w:b w:val="0"/>
                <w:i w:val="0"/>
                <w:sz w:val="18"/>
              </w:rPr>
              <w:t>% of the age-group labour force</w:t>
            </w:r>
          </w:p>
        </w:tc>
        <w:tc>
          <w:tcPr>
            <w:tcW w:type="dxa" w:w="1728"/>
          </w:tcPr>
          <w:p>
            <w:pPr>
              <w:pStyle w:val="MDPI42tablebody"/>
              <w:keepNext/>
              <w:spacing w:line="240" w:lineRule="auto" w:before="30" w:after="30"/>
              <w:jc w:val="center"/>
            </w:pPr>
            <w:r>
              <w:rPr>
                <w:b w:val="0"/>
                <w:i w:val="0"/>
                <w:sz w:val="18"/>
              </w:rPr>
              <w:t>une_rt_a</w:t>
            </w:r>
          </w:p>
        </w:tc>
      </w:tr>
      <w:tr>
        <w:trPr>
          <w:cantSplit/>
        </w:trPr>
        <w:tc>
          <w:tcPr>
            <w:tcW w:type="dxa" w:w="1021"/>
          </w:tcPr>
          <w:p>
            <w:pPr>
              <w:pStyle w:val="MDPI42tablebody"/>
              <w:keepNext/>
              <w:spacing w:line="240" w:lineRule="auto" w:before="30" w:after="30"/>
              <w:jc w:val="left"/>
            </w:pPr>
            <w:r>
              <w:rPr>
                <w:b w:val="0"/>
                <w:i w:val="0"/>
                <w:sz w:val="18"/>
              </w:rPr>
              <w:t>CDD</w:t>
            </w:r>
          </w:p>
        </w:tc>
        <w:tc>
          <w:tcPr>
            <w:tcW w:type="dxa" w:w="2907"/>
          </w:tcPr>
          <w:p>
            <w:pPr>
              <w:pStyle w:val="MDPI42tablebody"/>
              <w:keepNext/>
              <w:spacing w:line="240" w:lineRule="auto" w:before="30" w:after="30"/>
              <w:jc w:val="left"/>
            </w:pPr>
            <w:r>
              <w:rPr>
                <w:b w:val="0"/>
                <w:i w:val="0"/>
                <w:sz w:val="18"/>
              </w:rPr>
              <w:t>Cooling degree days</w:t>
            </w:r>
          </w:p>
        </w:tc>
        <w:tc>
          <w:tcPr>
            <w:tcW w:type="dxa" w:w="2200"/>
          </w:tcPr>
          <w:p>
            <w:pPr>
              <w:pStyle w:val="MDPI42tablebody"/>
              <w:keepNext/>
              <w:spacing w:line="240" w:lineRule="auto" w:before="30" w:after="30"/>
              <w:jc w:val="left"/>
            </w:pPr>
            <w:r>
              <w:rPr>
                <w:b w:val="0"/>
                <w:i w:val="0"/>
                <w:sz w:val="18"/>
              </w:rPr>
              <w:t>Annual degree days</w:t>
            </w:r>
          </w:p>
        </w:tc>
        <w:tc>
          <w:tcPr>
            <w:tcW w:type="dxa" w:w="1728"/>
          </w:tcPr>
          <w:p>
            <w:pPr>
              <w:pStyle w:val="MDPI42tablebody"/>
              <w:keepNext/>
              <w:spacing w:line="240" w:lineRule="auto" w:before="30" w:after="30"/>
              <w:jc w:val="center"/>
            </w:pPr>
            <w:r>
              <w:rPr>
                <w:b w:val="0"/>
                <w:i w:val="0"/>
                <w:sz w:val="18"/>
              </w:rPr>
              <w:t>nrg_chdd_a</w:t>
            </w:r>
          </w:p>
        </w:tc>
      </w:tr>
      <w:tr>
        <w:trPr>
          <w:cantSplit/>
        </w:trPr>
        <w:tc>
          <w:tcPr>
            <w:tcW w:type="dxa" w:w="1021"/>
          </w:tcPr>
          <w:p>
            <w:pPr>
              <w:pStyle w:val="MDPI42tablebody"/>
              <w:keepNext/>
              <w:spacing w:line="240" w:lineRule="auto" w:before="30" w:after="30"/>
              <w:jc w:val="left"/>
            </w:pPr>
            <w:r>
              <w:rPr>
                <w:b w:val="0"/>
                <w:i w:val="0"/>
                <w:sz w:val="18"/>
              </w:rPr>
              <w:t>GRN</w:t>
            </w:r>
          </w:p>
        </w:tc>
        <w:tc>
          <w:tcPr>
            <w:tcW w:type="dxa" w:w="2907"/>
          </w:tcPr>
          <w:p>
            <w:pPr>
              <w:pStyle w:val="MDPI42tablebody"/>
              <w:keepNext/>
              <w:spacing w:line="240" w:lineRule="auto" w:before="30" w:after="30"/>
              <w:jc w:val="left"/>
            </w:pPr>
            <w:r>
              <w:rPr>
                <w:b w:val="0"/>
                <w:i w:val="0"/>
                <w:sz w:val="18"/>
              </w:rPr>
              <w:t>Green infrastructure share of functional urban areas</w:t>
            </w:r>
          </w:p>
        </w:tc>
        <w:tc>
          <w:tcPr>
            <w:tcW w:type="dxa" w:w="2200"/>
          </w:tcPr>
          <w:p>
            <w:pPr>
              <w:pStyle w:val="MDPI42tablebody"/>
              <w:keepNext/>
              <w:spacing w:line="240" w:lineRule="auto" w:before="30" w:after="30"/>
              <w:jc w:val="left"/>
            </w:pPr>
            <w:r>
              <w:rPr>
                <w:b w:val="0"/>
                <w:i w:val="0"/>
                <w:sz w:val="18"/>
              </w:rPr>
              <w:t>% of functional urban area</w:t>
            </w:r>
          </w:p>
        </w:tc>
        <w:tc>
          <w:tcPr>
            <w:tcW w:type="dxa" w:w="1728"/>
          </w:tcPr>
          <w:p>
            <w:pPr>
              <w:pStyle w:val="MDPI42tablebody"/>
              <w:keepNext/>
              <w:spacing w:line="240" w:lineRule="auto" w:before="30" w:after="30"/>
              <w:jc w:val="center"/>
            </w:pPr>
            <w:r>
              <w:rPr>
                <w:b w:val="0"/>
                <w:i w:val="0"/>
                <w:sz w:val="18"/>
              </w:rPr>
              <w:t>Urban Atlas 2018</w:t>
            </w:r>
          </w:p>
        </w:tc>
      </w:tr>
      <w:tr>
        <w:trPr>
          <w:cantSplit/>
        </w:trPr>
        <w:tc>
          <w:tcPr>
            <w:tcW w:type="dxa" w:w="1021"/>
          </w:tcPr>
          <w:p>
            <w:pPr>
              <w:pStyle w:val="MDPI42tablebody"/>
              <w:keepNext/>
              <w:spacing w:line="240" w:lineRule="auto" w:before="30" w:after="30"/>
              <w:jc w:val="left"/>
            </w:pPr>
            <w:r>
              <w:rPr>
                <w:b w:val="0"/>
                <w:i w:val="0"/>
                <w:sz w:val="18"/>
              </w:rPr>
              <w:t>GDPG</w:t>
            </w:r>
          </w:p>
        </w:tc>
        <w:tc>
          <w:tcPr>
            <w:tcW w:type="dxa" w:w="2907"/>
          </w:tcPr>
          <w:p>
            <w:pPr>
              <w:pStyle w:val="MDPI42tablebody"/>
              <w:keepNext/>
              <w:spacing w:line="240" w:lineRule="auto" w:before="30" w:after="30"/>
              <w:jc w:val="left"/>
            </w:pPr>
            <w:r>
              <w:rPr>
                <w:b w:val="0"/>
                <w:i w:val="0"/>
                <w:sz w:val="18"/>
              </w:rPr>
              <w:t>Real GDP growth rate</w:t>
            </w:r>
          </w:p>
        </w:tc>
        <w:tc>
          <w:tcPr>
            <w:tcW w:type="dxa" w:w="2200"/>
          </w:tcPr>
          <w:p>
            <w:pPr>
              <w:pStyle w:val="MDPI42tablebody"/>
              <w:keepNext/>
              <w:spacing w:line="240" w:lineRule="auto" w:before="30" w:after="30"/>
              <w:jc w:val="left"/>
            </w:pPr>
            <w:r>
              <w:rPr>
                <w:b w:val="0"/>
                <w:i w:val="0"/>
                <w:sz w:val="18"/>
              </w:rPr>
              <w:t>% change on previous year</w:t>
            </w:r>
          </w:p>
        </w:tc>
        <w:tc>
          <w:tcPr>
            <w:tcW w:type="dxa" w:w="1728"/>
          </w:tcPr>
          <w:p>
            <w:pPr>
              <w:pStyle w:val="MDPI42tablebody"/>
              <w:keepNext/>
              <w:spacing w:line="240" w:lineRule="auto" w:before="30" w:after="30"/>
              <w:jc w:val="center"/>
            </w:pPr>
            <w:r>
              <w:rPr>
                <w:b w:val="0"/>
                <w:i w:val="0"/>
                <w:sz w:val="18"/>
              </w:rPr>
              <w:t>tec00115</w:t>
            </w:r>
          </w:p>
        </w:tc>
      </w:tr>
      <w:tr>
        <w:trPr>
          <w:cantSplit/>
        </w:trPr>
        <w:tc>
          <w:tcPr>
            <w:tcW w:type="dxa" w:w="1021"/>
          </w:tcPr>
          <w:p>
            <w:pPr>
              <w:pStyle w:val="MDPI42tablebody"/>
              <w:keepNext/>
              <w:spacing w:line="240" w:lineRule="auto" w:before="30" w:after="30"/>
              <w:jc w:val="left"/>
            </w:pPr>
            <w:r>
              <w:rPr>
                <w:b w:val="0"/>
                <w:i w:val="0"/>
                <w:sz w:val="18"/>
              </w:rPr>
              <w:t>TERT</w:t>
            </w:r>
          </w:p>
        </w:tc>
        <w:tc>
          <w:tcPr>
            <w:tcW w:type="dxa" w:w="2907"/>
          </w:tcPr>
          <w:p>
            <w:pPr>
              <w:pStyle w:val="MDPI42tablebody"/>
              <w:keepNext/>
              <w:spacing w:line="240" w:lineRule="auto" w:before="30" w:after="30"/>
              <w:jc w:val="left"/>
            </w:pPr>
            <w:r>
              <w:rPr>
                <w:b w:val="0"/>
                <w:i w:val="0"/>
                <w:sz w:val="18"/>
              </w:rPr>
              <w:t>Tertiary educational attainment (25–34 years)</w:t>
            </w:r>
          </w:p>
        </w:tc>
        <w:tc>
          <w:tcPr>
            <w:tcW w:type="dxa" w:w="2200"/>
          </w:tcPr>
          <w:p>
            <w:pPr>
              <w:pStyle w:val="MDPI42tablebody"/>
              <w:keepNext/>
              <w:spacing w:line="240" w:lineRule="auto" w:before="30" w:after="30"/>
              <w:jc w:val="left"/>
            </w:pPr>
            <w:r>
              <w:rPr>
                <w:b w:val="0"/>
                <w:i w:val="0"/>
                <w:sz w:val="18"/>
              </w:rPr>
              <w:t>% of the age-group population</w:t>
            </w:r>
          </w:p>
        </w:tc>
        <w:tc>
          <w:tcPr>
            <w:tcW w:type="dxa" w:w="1728"/>
          </w:tcPr>
          <w:p>
            <w:pPr>
              <w:pStyle w:val="MDPI42tablebody"/>
              <w:keepNext/>
              <w:spacing w:line="240" w:lineRule="auto" w:before="30" w:after="30"/>
              <w:jc w:val="center"/>
            </w:pPr>
            <w:r>
              <w:rPr>
                <w:b w:val="0"/>
                <w:i w:val="0"/>
                <w:sz w:val="18"/>
              </w:rPr>
              <w:t>edat_lfse_03</w:t>
            </w:r>
          </w:p>
        </w:tc>
      </w:tr>
    </w:tbl>
    <w:p>
      <w:pPr>
        <w:pStyle w:val="MDPI43tablefooter"/>
        <w:spacing w:line="240" w:lineRule="auto" w:before="40" w:after="200"/>
        <w:ind w:left="2608" w:firstLine="0"/>
      </w:pPr>
      <w:r>
        <w:rPr>
          <w:sz w:val="16"/>
        </w:rPr>
        <w:t xml:space="preserve">Note: </w:t>
      </w:r>
      <w:r>
        <w:rPr>
          <w:b w:val="0"/>
          <w:i w:val="0"/>
          <w:sz w:val="16"/>
        </w:rPr>
        <w:t xml:space="preserve">Source: authors’ design based on </w:t>
      </w:r>
      <w:r>
        <w:rPr>
          <w:sz w:val="16"/>
        </w:rPr>
        <w:t>[</w:t>
      </w:r>
      <w:r>
        <w:rPr>
          <w:sz w:val="16"/>
        </w:rPr>
        <w:fldChar w:fldCharType="begin"/>
      </w:r>
      <w:r>
        <w:rPr>
          <w:sz w:val="16"/>
        </w:rPr>
        <w:instrText xml:space="preserve"> REF _Ref_42 \h </w:instrText>
      </w:r>
      <w:r>
        <w:rPr>
          <w:sz w:val="16"/>
        </w:rPr>
        <w:fldChar w:fldCharType="separate"/>
      </w:r>
      <w:r>
        <w:rPr>
          <w:sz w:val="16"/>
        </w:rPr>
        <w:t>42</w:t>
      </w:r>
      <w:r>
        <w:rPr>
          <w:sz w:val="16"/>
        </w:rPr>
        <w:fldChar w:fldCharType="end"/>
      </w:r>
      <w:r>
        <w:rPr>
          <w:sz w:val="16"/>
        </w:rPr>
        <w:t>–</w:t>
      </w:r>
      <w:r>
        <w:rPr>
          <w:sz w:val="16"/>
        </w:rPr>
        <w:fldChar w:fldCharType="begin"/>
      </w:r>
      <w:r>
        <w:rPr>
          <w:sz w:val="16"/>
        </w:rPr>
        <w:instrText xml:space="preserve"> REF _Ref_47 \h </w:instrText>
      </w:r>
      <w:r>
        <w:rPr>
          <w:sz w:val="16"/>
        </w:rPr>
        <w:fldChar w:fldCharType="separate"/>
      </w:r>
      <w:r>
        <w:rPr>
          <w:sz w:val="16"/>
        </w:rPr>
        <w:t>47</w:t>
      </w:r>
      <w:r>
        <w:rPr>
          <w:sz w:val="16"/>
        </w:rPr>
        <w:fldChar w:fldCharType="end"/>
      </w:r>
      <w:r>
        <w:rPr>
          <w:sz w:val="16"/>
        </w:rPr>
        <w:t>]</w:t>
      </w:r>
      <w:r>
        <w:rPr>
          <w:b w:val="0"/>
          <w:i w:val="0"/>
          <w:sz w:val="16"/>
        </w:rPr>
        <w:t>. In the estimations, cooling degree days enter as CDD100 = CDD/100.</w:t>
      </w:r>
    </w:p>
    <w:p>
      <w:pPr>
        <w:pStyle w:val="MDPI22heading2"/>
      </w:pPr>
      <w:r>
        <w:t>3.2. Model Specification</w:t>
      </w:r>
    </w:p>
    <w:p>
      <w:pPr>
        <w:pStyle w:val="MDPI32textnoindent"/>
      </w:pPr>
      <w:r>
        <w:rPr>
          <w:b w:val="0"/>
          <w:i w:val="0"/>
        </w:rPr>
        <w:t xml:space="preserve">To examine the determinants of youth disengagement in the European Union, this study specifies a dynamic panel data model in which the current NEET rate depends on both its past values and a set of explanatory variables associated with heat stress, thermal mitigation, macroeconomic conditions, and human capital. The dynamic specification is particularly appropriate because youth disengagement exhibits persistence over time: a young person detached from employment and education this year is substantially more likely to remain detached next year, and aggregate NEET rates adjust only gradually to changing conditions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rPr>
          <w:b w:val="0"/>
          <w:i w:val="0"/>
        </w:rPr>
        <w:t>. The baseline empirical model is specified as follows (1):</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NEET</m:t>
                  </m:r>
                </m:e>
                <m:sub>
                  <m:r>
                    <m:t xml:space="preserve">i</m:t>
                  </m:r>
                  <m:r>
                    <m:t xml:space="preserve">t</m:t>
                  </m:r>
                </m:sub>
              </m:sSub>
              <m:r>
                <m:t xml:space="preserve"> </m:t>
              </m:r>
              <m:r>
                <m:rPr>
                  <m:sty m:val="p"/>
                </m:rPr>
                <m:t xml:space="preserve">=</m:t>
              </m:r>
              <m:r>
                <m:t xml:space="preserve"> </m:t>
              </m:r>
              <m:r>
                <m:t xml:space="preserve">α</m:t>
              </m:r>
              <m:r>
                <m:t xml:space="preserve"> </m:t>
              </m:r>
              <m:sSub>
                <m:e>
                  <m:r>
                    <m:t xml:space="preserve">NEET</m:t>
                  </m:r>
                </m:e>
                <m:sub>
                  <m:r>
                    <m:t xml:space="preserve">i</m:t>
                  </m:r>
                  <m:r>
                    <m:t xml:space="preserve">t</m:t>
                  </m:r>
                  <m:r>
                    <m:rPr>
                      <m:sty m:val="p"/>
                    </m:rPr>
                    <m:t xml:space="preserve">-</m:t>
                  </m:r>
                  <m:r>
                    <m:rPr>
                      <m:sty m:val="p"/>
                    </m:rPr>
                    <m:t xml:space="preserve">1</m:t>
                  </m:r>
                </m:sub>
              </m:sSub>
              <m:r>
                <m:t xml:space="preserve"> </m:t>
              </m:r>
              <m:r>
                <m:rPr>
                  <m:sty m:val="p"/>
                </m:rPr>
                <m:t xml:space="preserve">+</m:t>
              </m:r>
              <m:r>
                <m:t xml:space="preserve"> </m:t>
              </m:r>
              <m:sSub>
                <m:e>
                  <m:r>
                    <m:t xml:space="preserve">β</m:t>
                  </m:r>
                </m:e>
                <m:sub>
                  <m:r>
                    <m:rPr>
                      <m:sty m:val="p"/>
                    </m:rPr>
                    <m:t xml:space="preserve">1</m:t>
                  </m:r>
                </m:sub>
              </m:sSub>
              <m:r>
                <m:t xml:space="preserve"> </m:t>
              </m:r>
              <m:sSub>
                <m:e>
                  <m:r>
                    <m:t xml:space="preserve">CDD100</m:t>
                  </m:r>
                </m:e>
                <m:sub>
                  <m:r>
                    <m:t xml:space="preserve">i</m:t>
                  </m:r>
                  <m:r>
                    <m:t xml:space="preserve">t</m:t>
                  </m:r>
                </m:sub>
              </m:sSub>
              <m:r>
                <m:t xml:space="preserve"> </m:t>
              </m:r>
              <m:r>
                <m:rPr>
                  <m:sty m:val="p"/>
                </m:rPr>
                <m:t xml:space="preserve">+</m:t>
              </m:r>
              <m:r>
                <m:t xml:space="preserve"> </m:t>
              </m:r>
              <m:sSub>
                <m:e>
                  <m:r>
                    <m:t xml:space="preserve">β</m:t>
                  </m:r>
                </m:e>
                <m:sub>
                  <m:r>
                    <m:rPr>
                      <m:sty m:val="p"/>
                    </m:rPr>
                    <m:t xml:space="preserve">2</m:t>
                  </m:r>
                </m:sub>
              </m:sSub>
              <m:r>
                <m:t xml:space="preserve"> </m:t>
              </m:r>
              <m:r>
                <m:rPr>
                  <m:sty m:val="p"/>
                </m:rPr>
                <m:t xml:space="preserve">(</m:t>
              </m:r>
              <m:sSub>
                <m:e>
                  <m:r>
                    <m:t xml:space="preserve">CDD100</m:t>
                  </m:r>
                </m:e>
                <m:sub>
                  <m:r>
                    <m:t xml:space="preserve">i</m:t>
                  </m:r>
                  <m:r>
                    <m:t xml:space="preserve">t</m:t>
                  </m:r>
                </m:sub>
              </m:sSub>
              <m:r>
                <m:t xml:space="preserve"> </m:t>
              </m:r>
              <m:r>
                <m:rPr>
                  <m:sty m:val="p"/>
                </m:rPr>
                <m:t xml:space="preserve">×</m:t>
              </m:r>
              <m:r>
                <m:t xml:space="preserve"> </m:t>
              </m:r>
              <m:sSub>
                <m:e>
                  <m:r>
                    <m:t xml:space="preserve">GRN</m:t>
                  </m:r>
                </m:e>
                <m:sub>
                  <m:r>
                    <m:t xml:space="preserve">i</m:t>
                  </m:r>
                </m:sub>
              </m:sSub>
              <m:r>
                <m:rPr>
                  <m:sty m:val="p"/>
                </m:rPr>
                <m:t xml:space="preserve">)</m:t>
              </m:r>
              <m:r>
                <m:t xml:space="preserve"> </m:t>
              </m:r>
              <m:r>
                <m:rPr>
                  <m:sty m:val="p"/>
                </m:rPr>
                <m:t xml:space="preserve">+</m:t>
              </m:r>
              <m:r>
                <m:t xml:space="preserve"> </m:t>
              </m:r>
              <m:sSub>
                <m:e>
                  <m:r>
                    <m:t xml:space="preserve">β</m:t>
                  </m:r>
                </m:e>
                <m:sub>
                  <m:r>
                    <m:rPr>
                      <m:sty m:val="p"/>
                    </m:rPr>
                    <m:t xml:space="preserve">3</m:t>
                  </m:r>
                </m:sub>
              </m:sSub>
              <m:r>
                <m:t xml:space="preserve"> </m:t>
              </m:r>
              <m:sSub>
                <m:e>
                  <m:r>
                    <m:t xml:space="preserve">GDPG</m:t>
                  </m:r>
                </m:e>
                <m:sub>
                  <m:r>
                    <m:t xml:space="preserve">i</m:t>
                  </m:r>
                  <m:r>
                    <m:t xml:space="preserve">t</m:t>
                  </m:r>
                </m:sub>
              </m:sSub>
              <m:r>
                <m:t xml:space="preserve"> </m:t>
              </m:r>
              <m:r>
                <m:rPr>
                  <m:sty m:val="p"/>
                </m:rPr>
                <m:t xml:space="preserve">+</m:t>
              </m:r>
              <m:r>
                <m:t xml:space="preserve"> </m:t>
              </m:r>
              <m:sSub>
                <m:e>
                  <m:r>
                    <m:t xml:space="preserve">β</m:t>
                  </m:r>
                </m:e>
                <m:sub>
                  <m:r>
                    <m:rPr>
                      <m:sty m:val="p"/>
                    </m:rPr>
                    <m:t xml:space="preserve">4</m:t>
                  </m:r>
                </m:sub>
              </m:sSub>
              <m:r>
                <m:t xml:space="preserve"> </m:t>
              </m:r>
              <m:sSub>
                <m:e>
                  <m:r>
                    <m:t xml:space="preserve">TERT</m:t>
                  </m:r>
                </m:e>
                <m:sub>
                  <m:r>
                    <m:t xml:space="preserve">i</m:t>
                  </m:r>
                  <m:r>
                    <m:t xml:space="preserve">t</m:t>
                  </m:r>
                </m:sub>
              </m:sSub>
              <m:r>
                <m:t xml:space="preserve"> </m:t>
              </m:r>
              <m:r>
                <m:rPr>
                  <m:sty m:val="p"/>
                </m:rPr>
                <m:t xml:space="preserve">+</m:t>
              </m:r>
              <m:r>
                <m:t xml:space="preserve"> </m:t>
              </m:r>
              <m:sSub>
                <m:e>
                  <m:r>
                    <m:t xml:space="preserve">μ</m:t>
                  </m:r>
                </m:e>
                <m:sub>
                  <m:r>
                    <m:t xml:space="preserve">i</m:t>
                  </m:r>
                </m:sub>
              </m:sSub>
              <m:r>
                <m:t xml:space="preserve"> </m:t>
              </m:r>
              <m:r>
                <m:rPr>
                  <m:sty m:val="p"/>
                </m:rPr>
                <m:t xml:space="preserve">+</m:t>
              </m:r>
              <m:r>
                <m:t xml:space="preserve"> </m:t>
              </m:r>
              <m:sSub>
                <m:e>
                  <m:r>
                    <m:t xml:space="preserve">λ</m:t>
                  </m:r>
                </m:e>
                <m:sub>
                  <m:r>
                    <m:t xml:space="preserve">t</m:t>
                  </m:r>
                </m:sub>
              </m:sSub>
              <m:r>
                <m:t xml:space="preserve"> </m:t>
              </m:r>
              <m:r>
                <m:rPr>
                  <m:sty m:val="p"/>
                </m:rPr>
                <m:t xml:space="preserve">+</m:t>
              </m:r>
              <m:r>
                <m:t xml:space="preserve"> </m:t>
              </m:r>
              <m:sSub>
                <m:e>
                  <m:r>
                    <m:t xml:space="preserve">ε</m:t>
                  </m:r>
                </m:e>
                <m:sub>
                  <m:r>
                    <m:t xml:space="preserve">i</m:t>
                  </m:r>
                  <m:r>
                    <m:t xml:space="preserve">t</m:t>
                  </m:r>
                </m:sub>
              </m:sSub>
            </m:oMath>
          </w:p>
        </w:tc>
        <w:tc>
          <w:tcPr>
            <w:tcW w:type="dxa" w:w="431"/>
            <w:vAlign w:val="center"/>
          </w:tcPr>
          <w:p>
            <w:pPr>
              <w:pStyle w:val="MDPI3aequationnumber"/>
              <w:jc w:val="right"/>
            </w:pPr>
            <w:r>
              <w:t>(1)</w:t>
            </w:r>
          </w:p>
        </w:tc>
      </w:tr>
    </w:tbl>
    <w:p>
      <w:pPr>
        <w:pStyle w:val="MDPI31text"/>
      </w:pPr>
      <w:r>
        <w:rPr>
          <w:b w:val="0"/>
          <w:i w:val="0"/>
        </w:rPr>
        <w:t>where</w:t>
      </w:r>
    </w:p>
    <w:p>
      <w:pPr>
        <w:pStyle w:val="MDPI31text"/>
      </w:pPr>
      <m:oMath>
        <m:sSub>
          <m:e>
            <m:r>
              <m:t xml:space="preserve">NEET</m:t>
            </m:r>
          </m:e>
          <m:sub>
            <m:r>
              <m:t xml:space="preserve">i</m:t>
            </m:r>
            <m:r>
              <m:t xml:space="preserve">t</m:t>
            </m:r>
          </m:sub>
        </m:sSub>
      </m:oMath>
      <w:r>
        <w:rPr>
          <w:b w:val="0"/>
          <w:i w:val="0"/>
        </w:rPr>
        <w:t xml:space="preserve"> represents the youth NEET rate in country (</w:t>
      </w:r>
      <m:oMath>
        <m:r>
          <m:t xml:space="preserve">i</m:t>
        </m:r>
      </m:oMath>
      <w:r>
        <w:rPr>
          <w:b w:val="0"/>
          <w:i w:val="0"/>
        </w:rPr>
        <w:t>) at time (</w:t>
      </w:r>
      <m:oMath>
        <m:r>
          <m:t xml:space="preserve">t</m:t>
        </m:r>
      </m:oMath>
      <w:r>
        <w:rPr>
          <w:b w:val="0"/>
          <w:i w:val="0"/>
        </w:rPr>
        <w:t>);</w:t>
      </w:r>
    </w:p>
    <w:p>
      <w:pPr>
        <w:pStyle w:val="MDPI31text"/>
      </w:pPr>
      <m:oMath>
        <m:sSub>
          <m:e>
            <m:r>
              <m:t xml:space="preserve">NEET</m:t>
            </m:r>
          </m:e>
          <m:sub>
            <m:r>
              <m:t xml:space="preserve">i</m:t>
            </m:r>
            <m:r>
              <m:t xml:space="preserve">t</m:t>
            </m:r>
            <m:r>
              <m:rPr>
                <m:sty m:val="p"/>
              </m:rPr>
              <m:t xml:space="preserve">-</m:t>
            </m:r>
            <m:r>
              <m:rPr>
                <m:sty m:val="p"/>
              </m:rPr>
              <m:t xml:space="preserve">1</m:t>
            </m:r>
          </m:sub>
        </m:sSub>
      </m:oMath>
      <w:r>
        <w:rPr>
          <w:b w:val="0"/>
          <w:i w:val="0"/>
        </w:rPr>
        <w:t xml:space="preserve"> denotes the lagged dependent variable;</w:t>
      </w:r>
    </w:p>
    <w:p>
      <w:pPr>
        <w:pStyle w:val="MDPI31text"/>
      </w:pPr>
      <m:oMath>
        <m:sSub>
          <m:e>
            <m:r>
              <m:t xml:space="preserve">CDD100</m:t>
            </m:r>
          </m:e>
          <m:sub>
            <m:r>
              <m:t xml:space="preserve">i</m:t>
            </m:r>
            <m:r>
              <m:t xml:space="preserve">t</m:t>
            </m:r>
          </m:sub>
        </m:sSub>
      </m:oMath>
      <w:r>
        <w:rPr>
          <w:b w:val="0"/>
          <w:i w:val="0"/>
        </w:rPr>
        <w:t xml:space="preserve"> represents cooling degree days, in hundreds;</w:t>
      </w:r>
    </w:p>
    <w:p>
      <w:pPr>
        <w:pStyle w:val="MDPI31text"/>
      </w:pPr>
      <m:oMath>
        <m:sSub>
          <m:e>
            <m:r>
              <m:t xml:space="preserve">GRN</m:t>
            </m:r>
          </m:e>
          <m:sub>
            <m:r>
              <m:t xml:space="preserve">i</m:t>
            </m:r>
          </m:sub>
        </m:sSub>
      </m:oMath>
      <w:r>
        <w:rPr>
          <w:b w:val="0"/>
          <w:i w:val="0"/>
        </w:rPr>
        <w:t xml:space="preserve"> denotes the time-invariant green infrastructure share of functional urban areas;</w:t>
      </w:r>
    </w:p>
    <w:p>
      <w:pPr>
        <w:pStyle w:val="MDPI31text"/>
      </w:pPr>
      <m:oMath>
        <m:sSub>
          <m:e>
            <m:r>
              <m:t xml:space="preserve">GDPG</m:t>
            </m:r>
          </m:e>
          <m:sub>
            <m:r>
              <m:t xml:space="preserve">i</m:t>
            </m:r>
            <m:r>
              <m:t xml:space="preserve">t</m:t>
            </m:r>
          </m:sub>
        </m:sSub>
      </m:oMath>
      <w:r>
        <w:rPr>
          <w:b w:val="0"/>
          <w:i w:val="0"/>
        </w:rPr>
        <w:t xml:space="preserve"> represents the real GDP growth rate;</w:t>
      </w:r>
    </w:p>
    <w:p>
      <w:pPr>
        <w:pStyle w:val="MDPI31text"/>
      </w:pPr>
      <m:oMath>
        <m:sSub>
          <m:e>
            <m:r>
              <m:t xml:space="preserve">TERT</m:t>
            </m:r>
          </m:e>
          <m:sub>
            <m:r>
              <m:t xml:space="preserve">i</m:t>
            </m:r>
            <m:r>
              <m:t xml:space="preserve">t</m:t>
            </m:r>
          </m:sub>
        </m:sSub>
      </m:oMath>
      <w:r>
        <w:rPr>
          <w:b w:val="0"/>
          <w:i w:val="0"/>
        </w:rPr>
        <w:t xml:space="preserve"> denotes tertiary educational attainment of the population aged 25–34;</w:t>
      </w:r>
    </w:p>
    <w:p>
      <w:pPr>
        <w:pStyle w:val="MDPI31text"/>
      </w:pPr>
      <m:oMath>
        <m:sSub>
          <m:e>
            <m:r>
              <m:t xml:space="preserve">μ</m:t>
            </m:r>
          </m:e>
          <m:sub>
            <m:r>
              <m:t xml:space="preserve">i</m:t>
            </m:r>
          </m:sub>
        </m:sSub>
      </m:oMath>
      <w:r>
        <w:rPr>
          <w:b w:val="0"/>
          <w:i w:val="0"/>
        </w:rPr>
        <w:t xml:space="preserve"> captures country-specific unobserved effects;</w:t>
      </w:r>
    </w:p>
    <w:p>
      <w:pPr>
        <w:pStyle w:val="MDPI31text"/>
      </w:pPr>
      <m:oMath>
        <m:sSub>
          <m:e>
            <m:r>
              <m:t xml:space="preserve">λ</m:t>
            </m:r>
          </m:e>
          <m:sub>
            <m:r>
              <m:t xml:space="preserve">t</m:t>
            </m:r>
          </m:sub>
        </m:sSub>
      </m:oMath>
      <w:r>
        <w:rPr>
          <w:b w:val="0"/>
          <w:i w:val="0"/>
        </w:rPr>
        <w:t xml:space="preserve"> captures common period effects;</w:t>
      </w:r>
    </w:p>
    <w:p>
      <w:pPr>
        <w:pStyle w:val="MDPI31text"/>
      </w:pPr>
      <m:oMath>
        <m:sSub>
          <m:e>
            <m:r>
              <m:t xml:space="preserve">ε</m:t>
            </m:r>
          </m:e>
          <m:sub>
            <m:r>
              <m:t xml:space="preserve">i</m:t>
            </m:r>
            <m:r>
              <m:t xml:space="preserve">t</m:t>
            </m:r>
          </m:sub>
        </m:sSub>
      </m:oMath>
      <w:r>
        <w:rPr>
          <w:b w:val="0"/>
          <w:i w:val="0"/>
        </w:rPr>
        <w:t xml:space="preserve"> represents the idiosyncratic error term.</w:t>
      </w:r>
    </w:p>
    <w:p>
      <w:pPr>
        <w:pStyle w:val="MDPI31text"/>
      </w:pPr>
      <w:r>
        <w:rPr>
          <w:b w:val="0"/>
          <w:i w:val="0"/>
        </w:rPr>
        <w:t xml:space="preserve">Because the green infrastructure endowment is time-invariant, its level effect is absorbed by the country-specific term </w:t>
      </w:r>
      <m:oMath>
        <m:sSub>
          <m:e>
            <m:r>
              <m:t xml:space="preserve">μ</m:t>
            </m:r>
          </m:e>
          <m:sub>
            <m:r>
              <m:t xml:space="preserve">i</m:t>
            </m:r>
          </m:sub>
        </m:sSub>
      </m:oMath>
      <w:r>
        <w:rPr>
          <w:b w:val="0"/>
          <w:i w:val="0"/>
        </w:rPr>
        <w:t xml:space="preserve">; the variable therefore enters the model through its interaction with heat stress, which is precisely the thermal-mitigation channel of interest. The common period effects </w:t>
      </w:r>
      <m:oMath>
        <m:sSub>
          <m:e>
            <m:r>
              <m:t xml:space="preserve">λ</m:t>
            </m:r>
          </m:e>
          <m:sub>
            <m:r>
              <m:t xml:space="preserve">t</m:t>
            </m:r>
          </m:sub>
        </m:sSub>
      </m:oMath>
      <w:r>
        <w:rPr>
          <w:b w:val="0"/>
          <w:i w:val="0"/>
        </w:rPr>
        <w:t xml:space="preserve"> absorb the euro-area cycle, the pandemic, and the common component of European summer warming; in the estimations, all variables are expressed as deviations from period means, which is equivalent to including a full set of time dummies. Based on the theoretical framework and empirical evidence discussed in Section 2, a positive coefficient is expected for cooling degree days, a negative coefficient for the interaction with the green endowment, and negative coefficients for economic growth and tertiary attainment.</w:t>
      </w:r>
    </w:p>
    <w:p>
      <w:pPr>
        <w:pStyle w:val="MDPI31text"/>
      </w:pPr>
      <w:r>
        <w:rPr>
          <w:b w:val="0"/>
          <w:i w:val="0"/>
        </w:rPr>
        <w:t xml:space="preserve">Preliminary panel diagnostics were conducted before estimating the dynamic model. The Im–Pesaran–Shin panel unit root test </w:t>
      </w:r>
      <w:r>
        <w:t>[</w:t>
      </w:r>
      <w:r>
        <w:fldChar w:fldCharType="begin"/>
      </w:r>
      <w:r>
        <w:instrText xml:space="preserve"> REF _Ref_48 \h </w:instrText>
      </w:r>
      <w:r>
        <w:fldChar w:fldCharType="separate"/>
      </w:r>
      <w:r>
        <w:t>48</w:t>
      </w:r>
      <w:r>
        <w:fldChar w:fldCharType="end"/>
      </w:r>
      <w:r>
        <w:t>]</w:t>
      </w:r>
      <w:r>
        <w:rPr>
          <w:b w:val="0"/>
          <w:i w:val="0"/>
        </w:rPr>
        <w:t xml:space="preserve"> indicates that the NEET rate and tertiary attainment are non-stationary in levels but become stationary after first differencing, while cooling degree days and GDP growth are stationary in levels (for the NEET rate, z = 1.81 in levels and z = −12.88 in first differences). In addition, the Pesaran cross-sectional dependence test </w:t>
      </w:r>
      <w:r>
        <w:t>[</w:t>
      </w:r>
      <w:r>
        <w:fldChar w:fldCharType="begin"/>
      </w:r>
      <w:r>
        <w:instrText xml:space="preserve"> REF _Ref_49 \h </w:instrText>
      </w:r>
      <w:r>
        <w:fldChar w:fldCharType="separate"/>
      </w:r>
      <w:r>
        <w:t>49</w:t>
      </w:r>
      <w:r>
        <w:fldChar w:fldCharType="end"/>
      </w:r>
      <w:r>
        <w:t>]</w:t>
      </w:r>
      <w:r>
        <w:rPr>
          <w:b w:val="0"/>
          <w:i w:val="0"/>
        </w:rPr>
        <w:t xml:space="preserve"> indicates significant cross-sectional dependence in the NEET rate (CD = 56.09, p &lt; 0.001), reflecting the presence of common shocks and structural interdependencies within the European Union. These results support a dynamic panel framework based on internal instruments and period-demeaned variables.</w:t>
      </w:r>
    </w:p>
    <w:p>
      <w:pPr>
        <w:pStyle w:val="MDPI22heading2"/>
      </w:pPr>
      <w:r>
        <w:t>3.3. Estimation Method</w:t>
      </w:r>
    </w:p>
    <w:p>
      <w:pPr>
        <w:pStyle w:val="MDPI32textnoindent"/>
      </w:pPr>
      <w:r>
        <w:rPr>
          <w:b w:val="0"/>
          <w:i w:val="0"/>
        </w:rPr>
        <w:t xml:space="preserve">The estimation of dynamic panel data models presents several econometric challenges, including unobserved heterogeneity, endogeneity, and potential reverse causality. In the present study, these issues are particularly relevant because the inclusion of the lagged dependent variable generates correlation between the regressors and the error term, leading to biassed and inconsistent estimates when conventional estimation techniques are applied. Ordinary Least Squares estimators are biassed due to the presence of country-specific effects, while fixed-effects estimators suffer from the well-known dynamic panel bias resulting from the inclusion of the lagged dependent variable </w:t>
      </w:r>
      <w:r>
        <w:t>[</w:t>
      </w:r>
      <w:r>
        <w:fldChar w:fldCharType="begin"/>
      </w:r>
      <w:r>
        <w:instrText xml:space="preserve"> REF _Ref_50 \h </w:instrText>
      </w:r>
      <w:r>
        <w:fldChar w:fldCharType="separate"/>
      </w:r>
      <w:r>
        <w:t>50</w:t>
      </w:r>
      <w:r>
        <w:fldChar w:fldCharType="end"/>
      </w:r>
      <w:r>
        <w:t>]</w:t>
      </w:r>
      <w:r>
        <w:rPr>
          <w:b w:val="0"/>
          <w:i w:val="0"/>
        </w:rPr>
        <w:t>. Consequently, more advanced estimation techniques are required to obtain consistent parameter estimates.</w:t>
      </w:r>
    </w:p>
    <w:p>
      <w:pPr>
        <w:pStyle w:val="MDPI31text"/>
      </w:pPr>
      <w:r>
        <w:rPr>
          <w:b w:val="0"/>
          <w:i w:val="0"/>
        </w:rPr>
        <w:t xml:space="preserve">To address these issues, this study employs the System Generalized Method of Moments (System GMM) estimator developed by </w:t>
      </w:r>
      <w:r>
        <w:t>[</w:t>
      </w:r>
      <w:r>
        <w:fldChar w:fldCharType="begin"/>
      </w:r>
      <w:r>
        <w:instrText xml:space="preserve"> REF _Ref_30 \h </w:instrText>
      </w:r>
      <w:r>
        <w:fldChar w:fldCharType="separate"/>
      </w:r>
      <w:r>
        <w:t>30</w:t>
      </w:r>
      <w:r>
        <w:fldChar w:fldCharType="end"/>
      </w:r>
      <w:r>
        <w:t>]</w:t>
      </w:r>
      <w:r>
        <w:rPr>
          <w:b w:val="0"/>
          <w:i w:val="0"/>
        </w:rPr>
        <w:t xml:space="preserve">, building on </w:t>
      </w:r>
      <w:r>
        <w:t>[</w:t>
      </w:r>
      <w:r>
        <w:fldChar w:fldCharType="begin"/>
      </w:r>
      <w:r>
        <w:instrText xml:space="preserve"> REF _Ref_51 \h </w:instrText>
      </w:r>
      <w:r>
        <w:fldChar w:fldCharType="separate"/>
      </w:r>
      <w:r>
        <w:t>51</w:t>
      </w:r>
      <w:r>
        <w:fldChar w:fldCharType="end"/>
      </w:r>
      <w:r>
        <w:t>]</w:t>
      </w:r>
      <w:r>
        <w:rPr>
          <w:b w:val="0"/>
          <w:i w:val="0"/>
        </w:rPr>
        <w:t xml:space="preserve"> and </w:t>
      </w:r>
      <w:r>
        <w:t>[</w:t>
      </w:r>
      <w:r>
        <w:fldChar w:fldCharType="begin"/>
      </w:r>
      <w:r>
        <w:instrText xml:space="preserve"> REF _Ref_52 \h </w:instrText>
      </w:r>
      <w:r>
        <w:fldChar w:fldCharType="separate"/>
      </w:r>
      <w:r>
        <w:t>52</w:t>
      </w:r>
      <w:r>
        <w:fldChar w:fldCharType="end"/>
      </w:r>
      <w:r>
        <w:t>]</w:t>
      </w:r>
      <w:r>
        <w:rPr>
          <w:b w:val="0"/>
          <w:i w:val="0"/>
        </w:rPr>
        <w:t xml:space="preserve">. The System GMM approach combines equations in first differences with equations in levels, using internal instruments derived from lagged values of the variables. The estimation uses the two-step variant with the finite-sample correction of </w:t>
      </w:r>
      <w:r>
        <w:t>[</w:t>
      </w:r>
      <w:r>
        <w:fldChar w:fldCharType="begin"/>
      </w:r>
      <w:r>
        <w:instrText xml:space="preserve"> REF _Ref_53 \h </w:instrText>
      </w:r>
      <w:r>
        <w:fldChar w:fldCharType="separate"/>
      </w:r>
      <w:r>
        <w:t>53</w:t>
      </w:r>
      <w:r>
        <w:fldChar w:fldCharType="end"/>
      </w:r>
      <w:r>
        <w:t>]</w:t>
      </w:r>
      <w:r>
        <w:rPr>
          <w:b w:val="0"/>
          <w:i w:val="0"/>
        </w:rPr>
        <w:t xml:space="preserve"> for the standard errors. Given the moderate number of cross-sectional units, the instrument set was deliberately restricted and collapsed to avoid instrument proliferation and overfitting </w:t>
      </w:r>
      <w:r>
        <w:t>[</w:t>
      </w:r>
      <w:r>
        <w:fldChar w:fldCharType="begin"/>
      </w:r>
      <w:r>
        <w:instrText xml:space="preserve"> REF _Ref_31 \h </w:instrText>
      </w:r>
      <w:r>
        <w:fldChar w:fldCharType="separate"/>
      </w:r>
      <w:r>
        <w:t>31</w:t>
      </w:r>
      <w:r>
        <w:fldChar w:fldCharType="end"/>
      </w:r>
      <w:r>
        <w:t>]</w:t>
      </w:r>
      <w:r>
        <w:rPr>
          <w:b w:val="0"/>
          <w:i w:val="0"/>
        </w:rPr>
        <w:t xml:space="preserve">: the collapsed second and third lags of the dependent variable instrument the difference equation, the collapsed lagged first difference instruments the levels equation, and the exogenous regressors instrument themselves in differences, resulting in 8 instruments for 27 country groups. The validity of the moment conditions is evaluated with the Arellano–Bond tests for first- and second-order serial correlation and the Hansen test of overidentifying restrictions. This estimation strategy follows the approach recently applied to European Union panels in the sustainability literature </w:t>
      </w:r>
      <w:r>
        <w:t>[</w:t>
      </w:r>
      <w:r>
        <w:fldChar w:fldCharType="begin"/>
      </w:r>
      <w:r>
        <w:instrText xml:space="preserve"> REF _Ref_26 \h </w:instrText>
      </w:r>
      <w:r>
        <w:fldChar w:fldCharType="separate"/>
      </w:r>
      <w:r>
        <w:t>26</w:t>
      </w:r>
      <w:r>
        <w:fldChar w:fldCharType="end"/>
      </w:r>
      <w:r>
        <w:t>]</w:t>
      </w:r>
      <w:r>
        <w:rPr>
          <w:b w:val="0"/>
          <w:i w:val="0"/>
        </w:rPr>
        <w:t>.</w:t>
      </w:r>
    </w:p>
    <w:p>
      <w:pPr>
        <w:pStyle w:val="MDPI21heading1"/>
      </w:pPr>
      <w:r>
        <w:t>4. Empirical Results</w:t>
      </w:r>
    </w:p>
    <w:p>
      <w:pPr>
        <w:pStyle w:val="MDPI22heading2"/>
      </w:pPr>
      <w:r>
        <w:t>4.1. Descriptive Statistics</w:t>
      </w:r>
    </w:p>
    <w:p>
      <w:pPr>
        <w:pStyle w:val="MDPI32textnoindent"/>
      </w:pPr>
      <w:r>
        <w:rPr>
          <w:b w:val="0"/>
          <w:i w:val="0"/>
        </w:rPr>
        <w:t>Table 2 presents the descriptive statistics of the variables included in the empirical analysis. The average youth NEET rate over the sample period is 12.65%, with substantial variation across countries and years, from 3.60% to 23.21%. Cooling degree days average 270.4 but range from almost zero in the Nordic countries to more than 1017.0 in Cyprus, reflecting the climatic heterogeneity of the Union. The green infrastructure endowment averages 29.3% of functional urban area, ranging from 12.0% to 45.0%, with the lowest values in the southern island states whose cities are also among the most heat-exposed. These patterns provide preliminary evidence of the structural heterogeneity characterising the European Union and support the application of panel data techniques capable of accounting for country-specific characteristics.</w:t>
      </w:r>
    </w:p>
    <w:p>
      <w:pPr>
        <w:pStyle w:val="MDPI41tablecaption"/>
        <w:keepNext/>
        <w:spacing w:after="60"/>
      </w:pPr>
      <w:r>
        <w:rPr>
          <w:b/>
          <w:sz w:val="18"/>
        </w:rPr>
        <w:t xml:space="preserve">Table 2. </w:t>
      </w:r>
      <w:r>
        <w:rPr>
          <w:b w:val="0"/>
          <w:i w:val="0"/>
          <w:sz w:val="18"/>
        </w:rPr>
        <w:t>Descriptive statistics of the variables, EU-27, 2010–2024.</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257"/>
        <w:gridCol w:w="1335"/>
        <w:gridCol w:w="1335"/>
        <w:gridCol w:w="1335"/>
        <w:gridCol w:w="1335"/>
        <w:gridCol w:w="1257"/>
      </w:tblGrid>
      <w:tr>
        <w:trPr>
          <w:cantSplit/>
          <w:tblHeader/>
        </w:trPr>
        <w:tc>
          <w:tcPr>
            <w:tcW w:type="dxa" w:w="1257"/>
            <w:tcBorders>
              <w:bottom w:val="single" w:sz="8" w:space="0" w:color="auto"/>
            </w:tcBorders>
          </w:tcPr>
          <w:p>
            <w:pPr>
              <w:pStyle w:val="MDPI42tablebody"/>
              <w:keepNext/>
              <w:spacing w:line="240" w:lineRule="auto" w:before="30" w:after="30"/>
              <w:jc w:val="center"/>
            </w:pPr>
            <w:r>
              <w:rPr>
                <w:b/>
                <w:i w:val="0"/>
                <w:sz w:val="18"/>
              </w:rPr>
              <w:t>Variable</w:t>
            </w:r>
          </w:p>
        </w:tc>
        <w:tc>
          <w:tcPr>
            <w:tcW w:type="dxa" w:w="1335"/>
            <w:tcBorders>
              <w:bottom w:val="single" w:sz="8" w:space="0" w:color="auto"/>
            </w:tcBorders>
          </w:tcPr>
          <w:p>
            <w:pPr>
              <w:pStyle w:val="MDPI42tablebody"/>
              <w:keepNext/>
              <w:spacing w:line="240" w:lineRule="auto" w:before="30" w:after="30"/>
              <w:jc w:val="center"/>
            </w:pPr>
            <w:r>
              <w:rPr>
                <w:b/>
                <w:i w:val="0"/>
                <w:sz w:val="18"/>
              </w:rPr>
              <w:t>Mean</w:t>
            </w:r>
          </w:p>
        </w:tc>
        <w:tc>
          <w:tcPr>
            <w:tcW w:type="dxa" w:w="1335"/>
            <w:tcBorders>
              <w:bottom w:val="single" w:sz="8" w:space="0" w:color="auto"/>
            </w:tcBorders>
          </w:tcPr>
          <w:p>
            <w:pPr>
              <w:pStyle w:val="MDPI42tablebody"/>
              <w:keepNext/>
              <w:spacing w:line="240" w:lineRule="auto" w:before="30" w:after="30"/>
              <w:jc w:val="center"/>
            </w:pPr>
            <w:r>
              <w:rPr>
                <w:b/>
                <w:i w:val="0"/>
                <w:sz w:val="18"/>
              </w:rPr>
              <w:t>Std. Dev.</w:t>
            </w:r>
          </w:p>
        </w:tc>
        <w:tc>
          <w:tcPr>
            <w:tcW w:type="dxa" w:w="1335"/>
            <w:tcBorders>
              <w:bottom w:val="single" w:sz="8" w:space="0" w:color="auto"/>
            </w:tcBorders>
          </w:tcPr>
          <w:p>
            <w:pPr>
              <w:pStyle w:val="MDPI42tablebody"/>
              <w:keepNext/>
              <w:spacing w:line="240" w:lineRule="auto" w:before="30" w:after="30"/>
              <w:jc w:val="center"/>
            </w:pPr>
            <w:r>
              <w:rPr>
                <w:b/>
                <w:i w:val="0"/>
                <w:sz w:val="18"/>
              </w:rPr>
              <w:t>Minimum</w:t>
            </w:r>
          </w:p>
        </w:tc>
        <w:tc>
          <w:tcPr>
            <w:tcW w:type="dxa" w:w="1335"/>
            <w:tcBorders>
              <w:bottom w:val="single" w:sz="8" w:space="0" w:color="auto"/>
            </w:tcBorders>
          </w:tcPr>
          <w:p>
            <w:pPr>
              <w:pStyle w:val="MDPI42tablebody"/>
              <w:keepNext/>
              <w:spacing w:line="240" w:lineRule="auto" w:before="30" w:after="30"/>
              <w:jc w:val="center"/>
            </w:pPr>
            <w:r>
              <w:rPr>
                <w:b/>
                <w:i w:val="0"/>
                <w:sz w:val="18"/>
              </w:rPr>
              <w:t>Maximum</w:t>
            </w:r>
          </w:p>
        </w:tc>
        <w:tc>
          <w:tcPr>
            <w:tcW w:type="dxa" w:w="1257"/>
            <w:tcBorders>
              <w:bottom w:val="single" w:sz="8" w:space="0" w:color="auto"/>
            </w:tcBorders>
          </w:tcPr>
          <w:p>
            <w:pPr>
              <w:pStyle w:val="MDPI42tablebody"/>
              <w:keepNext/>
              <w:spacing w:line="240" w:lineRule="auto" w:before="30" w:after="30"/>
              <w:jc w:val="center"/>
            </w:pPr>
            <w:r>
              <w:rPr>
                <w:b/>
                <w:i w:val="0"/>
                <w:sz w:val="18"/>
              </w:rPr>
              <w:t>Obs.</w:t>
            </w:r>
          </w:p>
        </w:tc>
      </w:tr>
      <w:tr>
        <w:trPr>
          <w:cantSplit/>
        </w:trPr>
        <w:tc>
          <w:tcPr>
            <w:tcW w:type="dxa" w:w="1257"/>
          </w:tcPr>
          <w:p>
            <w:pPr>
              <w:pStyle w:val="MDPI42tablebody"/>
              <w:keepNext/>
              <w:spacing w:line="240" w:lineRule="auto" w:before="30" w:after="30"/>
              <w:jc w:val="left"/>
            </w:pPr>
            <w:r>
              <w:rPr>
                <w:b w:val="0"/>
                <w:i w:val="0"/>
                <w:sz w:val="18"/>
              </w:rPr>
              <w:t>NEET</w:t>
            </w:r>
          </w:p>
        </w:tc>
        <w:tc>
          <w:tcPr>
            <w:tcW w:type="dxa" w:w="1335"/>
          </w:tcPr>
          <w:p>
            <w:pPr>
              <w:pStyle w:val="MDPI42tablebody"/>
              <w:keepNext/>
              <w:spacing w:line="240" w:lineRule="auto" w:before="30" w:after="30"/>
              <w:jc w:val="center"/>
            </w:pPr>
            <w:r>
              <w:rPr>
                <w:b w:val="0"/>
                <w:i w:val="0"/>
                <w:sz w:val="18"/>
              </w:rPr>
              <w:t>12.65</w:t>
            </w:r>
          </w:p>
        </w:tc>
        <w:tc>
          <w:tcPr>
            <w:tcW w:type="dxa" w:w="1335"/>
          </w:tcPr>
          <w:p>
            <w:pPr>
              <w:pStyle w:val="MDPI42tablebody"/>
              <w:keepNext/>
              <w:spacing w:line="240" w:lineRule="auto" w:before="30" w:after="30"/>
              <w:jc w:val="center"/>
            </w:pPr>
            <w:r>
              <w:rPr>
                <w:b w:val="0"/>
                <w:i w:val="0"/>
                <w:sz w:val="18"/>
              </w:rPr>
              <w:t>4.05</w:t>
            </w:r>
          </w:p>
        </w:tc>
        <w:tc>
          <w:tcPr>
            <w:tcW w:type="dxa" w:w="1335"/>
          </w:tcPr>
          <w:p>
            <w:pPr>
              <w:pStyle w:val="MDPI42tablebody"/>
              <w:keepNext/>
              <w:spacing w:line="240" w:lineRule="auto" w:before="30" w:after="30"/>
              <w:jc w:val="center"/>
            </w:pPr>
            <w:r>
              <w:rPr>
                <w:b w:val="0"/>
                <w:i w:val="0"/>
                <w:sz w:val="18"/>
              </w:rPr>
              <w:t>3.60</w:t>
            </w:r>
          </w:p>
        </w:tc>
        <w:tc>
          <w:tcPr>
            <w:tcW w:type="dxa" w:w="1335"/>
          </w:tcPr>
          <w:p>
            <w:pPr>
              <w:pStyle w:val="MDPI42tablebody"/>
              <w:keepNext/>
              <w:spacing w:line="240" w:lineRule="auto" w:before="30" w:after="30"/>
              <w:jc w:val="center"/>
            </w:pPr>
            <w:r>
              <w:rPr>
                <w:b w:val="0"/>
                <w:i w:val="0"/>
                <w:sz w:val="18"/>
              </w:rPr>
              <w:t>23.21</w:t>
            </w:r>
          </w:p>
        </w:tc>
        <w:tc>
          <w:tcPr>
            <w:tcW w:type="dxa" w:w="1257"/>
          </w:tcPr>
          <w:p>
            <w:pPr>
              <w:pStyle w:val="MDPI42tablebody"/>
              <w:keepNext/>
              <w:spacing w:line="240" w:lineRule="auto" w:before="30" w:after="30"/>
              <w:jc w:val="center"/>
            </w:pPr>
            <w:r>
              <w:rPr>
                <w:b w:val="0"/>
                <w:i w:val="0"/>
                <w:sz w:val="18"/>
              </w:rPr>
              <w:t>405</w:t>
            </w:r>
          </w:p>
        </w:tc>
      </w:tr>
      <w:tr>
        <w:trPr>
          <w:cantSplit/>
        </w:trPr>
        <w:tc>
          <w:tcPr>
            <w:tcW w:type="dxa" w:w="1257"/>
          </w:tcPr>
          <w:p>
            <w:pPr>
              <w:pStyle w:val="MDPI42tablebody"/>
              <w:keepNext/>
              <w:spacing w:line="240" w:lineRule="auto" w:before="30" w:after="30"/>
              <w:jc w:val="left"/>
            </w:pPr>
            <w:r>
              <w:rPr>
                <w:b w:val="0"/>
                <w:i w:val="0"/>
                <w:sz w:val="18"/>
              </w:rPr>
              <w:t>YUR</w:t>
            </w:r>
          </w:p>
        </w:tc>
        <w:tc>
          <w:tcPr>
            <w:tcW w:type="dxa" w:w="1335"/>
          </w:tcPr>
          <w:p>
            <w:pPr>
              <w:pStyle w:val="MDPI42tablebody"/>
              <w:keepNext/>
              <w:spacing w:line="240" w:lineRule="auto" w:before="30" w:after="30"/>
              <w:jc w:val="center"/>
            </w:pPr>
            <w:r>
              <w:rPr>
                <w:b w:val="0"/>
                <w:i w:val="0"/>
                <w:sz w:val="18"/>
              </w:rPr>
              <w:t>19.24</w:t>
            </w:r>
          </w:p>
        </w:tc>
        <w:tc>
          <w:tcPr>
            <w:tcW w:type="dxa" w:w="1335"/>
          </w:tcPr>
          <w:p>
            <w:pPr>
              <w:pStyle w:val="MDPI42tablebody"/>
              <w:keepNext/>
              <w:spacing w:line="240" w:lineRule="auto" w:before="30" w:after="30"/>
              <w:jc w:val="center"/>
            </w:pPr>
            <w:r>
              <w:rPr>
                <w:b w:val="0"/>
                <w:i w:val="0"/>
                <w:sz w:val="18"/>
              </w:rPr>
              <w:t>6.63</w:t>
            </w:r>
          </w:p>
        </w:tc>
        <w:tc>
          <w:tcPr>
            <w:tcW w:type="dxa" w:w="1335"/>
          </w:tcPr>
          <w:p>
            <w:pPr>
              <w:pStyle w:val="MDPI42tablebody"/>
              <w:keepNext/>
              <w:spacing w:line="240" w:lineRule="auto" w:before="30" w:after="30"/>
              <w:jc w:val="center"/>
            </w:pPr>
            <w:r>
              <w:rPr>
                <w:b w:val="0"/>
                <w:i w:val="0"/>
                <w:sz w:val="18"/>
              </w:rPr>
              <w:t>6.93</w:t>
            </w:r>
          </w:p>
        </w:tc>
        <w:tc>
          <w:tcPr>
            <w:tcW w:type="dxa" w:w="1335"/>
          </w:tcPr>
          <w:p>
            <w:pPr>
              <w:pStyle w:val="MDPI42tablebody"/>
              <w:keepNext/>
              <w:spacing w:line="240" w:lineRule="auto" w:before="30" w:after="30"/>
              <w:jc w:val="center"/>
            </w:pPr>
            <w:r>
              <w:rPr>
                <w:b w:val="0"/>
                <w:i w:val="0"/>
                <w:sz w:val="18"/>
              </w:rPr>
              <w:t>37.38</w:t>
            </w:r>
          </w:p>
        </w:tc>
        <w:tc>
          <w:tcPr>
            <w:tcW w:type="dxa" w:w="1257"/>
          </w:tcPr>
          <w:p>
            <w:pPr>
              <w:pStyle w:val="MDPI42tablebody"/>
              <w:keepNext/>
              <w:spacing w:line="240" w:lineRule="auto" w:before="30" w:after="30"/>
              <w:jc w:val="center"/>
            </w:pPr>
            <w:r>
              <w:rPr>
                <w:b w:val="0"/>
                <w:i w:val="0"/>
                <w:sz w:val="18"/>
              </w:rPr>
              <w:t>405</w:t>
            </w:r>
          </w:p>
        </w:tc>
      </w:tr>
      <w:tr>
        <w:trPr>
          <w:cantSplit/>
        </w:trPr>
        <w:tc>
          <w:tcPr>
            <w:tcW w:type="dxa" w:w="1257"/>
          </w:tcPr>
          <w:p>
            <w:pPr>
              <w:pStyle w:val="MDPI42tablebody"/>
              <w:keepNext/>
              <w:spacing w:line="240" w:lineRule="auto" w:before="30" w:after="30"/>
              <w:jc w:val="left"/>
            </w:pPr>
            <w:r>
              <w:rPr>
                <w:b w:val="0"/>
                <w:i w:val="0"/>
                <w:sz w:val="18"/>
              </w:rPr>
              <w:t>CDD</w:t>
            </w:r>
          </w:p>
        </w:tc>
        <w:tc>
          <w:tcPr>
            <w:tcW w:type="dxa" w:w="1335"/>
          </w:tcPr>
          <w:p>
            <w:pPr>
              <w:pStyle w:val="MDPI42tablebody"/>
              <w:keepNext/>
              <w:spacing w:line="240" w:lineRule="auto" w:before="30" w:after="30"/>
              <w:jc w:val="center"/>
            </w:pPr>
            <w:r>
              <w:rPr>
                <w:b w:val="0"/>
                <w:i w:val="0"/>
                <w:sz w:val="18"/>
              </w:rPr>
              <w:t>270.42</w:t>
            </w:r>
          </w:p>
        </w:tc>
        <w:tc>
          <w:tcPr>
            <w:tcW w:type="dxa" w:w="1335"/>
          </w:tcPr>
          <w:p>
            <w:pPr>
              <w:pStyle w:val="MDPI42tablebody"/>
              <w:keepNext/>
              <w:spacing w:line="240" w:lineRule="auto" w:before="30" w:after="30"/>
              <w:jc w:val="center"/>
            </w:pPr>
            <w:r>
              <w:rPr>
                <w:b w:val="0"/>
                <w:i w:val="0"/>
                <w:sz w:val="18"/>
              </w:rPr>
              <w:t>268.18</w:t>
            </w:r>
          </w:p>
        </w:tc>
        <w:tc>
          <w:tcPr>
            <w:tcW w:type="dxa" w:w="1335"/>
          </w:tcPr>
          <w:p>
            <w:pPr>
              <w:pStyle w:val="MDPI42tablebody"/>
              <w:keepNext/>
              <w:spacing w:line="240" w:lineRule="auto" w:before="30" w:after="30"/>
              <w:jc w:val="center"/>
            </w:pPr>
            <w:r>
              <w:rPr>
                <w:b w:val="0"/>
                <w:i w:val="0"/>
                <w:sz w:val="18"/>
              </w:rPr>
              <w:t>2.80</w:t>
            </w:r>
          </w:p>
        </w:tc>
        <w:tc>
          <w:tcPr>
            <w:tcW w:type="dxa" w:w="1335"/>
          </w:tcPr>
          <w:p>
            <w:pPr>
              <w:pStyle w:val="MDPI42tablebody"/>
              <w:keepNext/>
              <w:spacing w:line="240" w:lineRule="auto" w:before="30" w:after="30"/>
              <w:jc w:val="center"/>
            </w:pPr>
            <w:r>
              <w:rPr>
                <w:b w:val="0"/>
                <w:i w:val="0"/>
                <w:sz w:val="18"/>
              </w:rPr>
              <w:t>1117.00</w:t>
            </w:r>
          </w:p>
        </w:tc>
        <w:tc>
          <w:tcPr>
            <w:tcW w:type="dxa" w:w="1257"/>
          </w:tcPr>
          <w:p>
            <w:pPr>
              <w:pStyle w:val="MDPI42tablebody"/>
              <w:keepNext/>
              <w:spacing w:line="240" w:lineRule="auto" w:before="30" w:after="30"/>
              <w:jc w:val="center"/>
            </w:pPr>
            <w:r>
              <w:rPr>
                <w:b w:val="0"/>
                <w:i w:val="0"/>
                <w:sz w:val="18"/>
              </w:rPr>
              <w:t>405</w:t>
            </w:r>
          </w:p>
        </w:tc>
      </w:tr>
      <w:tr>
        <w:trPr>
          <w:cantSplit/>
        </w:trPr>
        <w:tc>
          <w:tcPr>
            <w:tcW w:type="dxa" w:w="1257"/>
          </w:tcPr>
          <w:p>
            <w:pPr>
              <w:pStyle w:val="MDPI42tablebody"/>
              <w:keepNext/>
              <w:spacing w:line="240" w:lineRule="auto" w:before="30" w:after="30"/>
              <w:jc w:val="left"/>
            </w:pPr>
            <w:r>
              <w:rPr>
                <w:b w:val="0"/>
                <w:i w:val="0"/>
                <w:sz w:val="18"/>
              </w:rPr>
              <w:t>GRN</w:t>
            </w:r>
          </w:p>
        </w:tc>
        <w:tc>
          <w:tcPr>
            <w:tcW w:type="dxa" w:w="1335"/>
          </w:tcPr>
          <w:p>
            <w:pPr>
              <w:pStyle w:val="MDPI42tablebody"/>
              <w:keepNext/>
              <w:spacing w:line="240" w:lineRule="auto" w:before="30" w:after="30"/>
              <w:jc w:val="center"/>
            </w:pPr>
            <w:r>
              <w:rPr>
                <w:b w:val="0"/>
                <w:i w:val="0"/>
                <w:sz w:val="18"/>
              </w:rPr>
              <w:t>29.33</w:t>
            </w:r>
          </w:p>
        </w:tc>
        <w:tc>
          <w:tcPr>
            <w:tcW w:type="dxa" w:w="1335"/>
          </w:tcPr>
          <w:p>
            <w:pPr>
              <w:pStyle w:val="MDPI42tablebody"/>
              <w:keepNext/>
              <w:spacing w:line="240" w:lineRule="auto" w:before="30" w:after="30"/>
              <w:jc w:val="center"/>
            </w:pPr>
            <w:r>
              <w:rPr>
                <w:b w:val="0"/>
                <w:i w:val="0"/>
                <w:sz w:val="18"/>
              </w:rPr>
              <w:t>7.79</w:t>
            </w:r>
          </w:p>
        </w:tc>
        <w:tc>
          <w:tcPr>
            <w:tcW w:type="dxa" w:w="1335"/>
          </w:tcPr>
          <w:p>
            <w:pPr>
              <w:pStyle w:val="MDPI42tablebody"/>
              <w:keepNext/>
              <w:spacing w:line="240" w:lineRule="auto" w:before="30" w:after="30"/>
              <w:jc w:val="center"/>
            </w:pPr>
            <w:r>
              <w:rPr>
                <w:b w:val="0"/>
                <w:i w:val="0"/>
                <w:sz w:val="18"/>
              </w:rPr>
              <w:t>12.00</w:t>
            </w:r>
          </w:p>
        </w:tc>
        <w:tc>
          <w:tcPr>
            <w:tcW w:type="dxa" w:w="1335"/>
          </w:tcPr>
          <w:p>
            <w:pPr>
              <w:pStyle w:val="MDPI42tablebody"/>
              <w:keepNext/>
              <w:spacing w:line="240" w:lineRule="auto" w:before="30" w:after="30"/>
              <w:jc w:val="center"/>
            </w:pPr>
            <w:r>
              <w:rPr>
                <w:b w:val="0"/>
                <w:i w:val="0"/>
                <w:sz w:val="18"/>
              </w:rPr>
              <w:t>45.00</w:t>
            </w:r>
          </w:p>
        </w:tc>
        <w:tc>
          <w:tcPr>
            <w:tcW w:type="dxa" w:w="1257"/>
          </w:tcPr>
          <w:p>
            <w:pPr>
              <w:pStyle w:val="MDPI42tablebody"/>
              <w:keepNext/>
              <w:spacing w:line="240" w:lineRule="auto" w:before="30" w:after="30"/>
              <w:jc w:val="center"/>
            </w:pPr>
            <w:r>
              <w:rPr>
                <w:b w:val="0"/>
                <w:i w:val="0"/>
                <w:sz w:val="18"/>
              </w:rPr>
              <w:t>405</w:t>
            </w:r>
          </w:p>
        </w:tc>
      </w:tr>
      <w:tr>
        <w:trPr>
          <w:cantSplit/>
        </w:trPr>
        <w:tc>
          <w:tcPr>
            <w:tcW w:type="dxa" w:w="1257"/>
          </w:tcPr>
          <w:p>
            <w:pPr>
              <w:pStyle w:val="MDPI42tablebody"/>
              <w:keepNext/>
              <w:spacing w:line="240" w:lineRule="auto" w:before="30" w:after="30"/>
              <w:jc w:val="left"/>
            </w:pPr>
            <w:r>
              <w:rPr>
                <w:b w:val="0"/>
                <w:i w:val="0"/>
                <w:sz w:val="18"/>
              </w:rPr>
              <w:t>GDPG</w:t>
            </w:r>
          </w:p>
        </w:tc>
        <w:tc>
          <w:tcPr>
            <w:tcW w:type="dxa" w:w="1335"/>
          </w:tcPr>
          <w:p>
            <w:pPr>
              <w:pStyle w:val="MDPI42tablebody"/>
              <w:keepNext/>
              <w:spacing w:line="240" w:lineRule="auto" w:before="30" w:after="30"/>
              <w:jc w:val="center"/>
            </w:pPr>
            <w:r>
              <w:rPr>
                <w:b w:val="0"/>
                <w:i w:val="0"/>
                <w:sz w:val="18"/>
              </w:rPr>
              <w:t>1.80</w:t>
            </w:r>
          </w:p>
        </w:tc>
        <w:tc>
          <w:tcPr>
            <w:tcW w:type="dxa" w:w="1335"/>
          </w:tcPr>
          <w:p>
            <w:pPr>
              <w:pStyle w:val="MDPI42tablebody"/>
              <w:keepNext/>
              <w:spacing w:line="240" w:lineRule="auto" w:before="30" w:after="30"/>
              <w:jc w:val="center"/>
            </w:pPr>
            <w:r>
              <w:rPr>
                <w:b w:val="0"/>
                <w:i w:val="0"/>
                <w:sz w:val="18"/>
              </w:rPr>
              <w:t>3.53</w:t>
            </w:r>
          </w:p>
        </w:tc>
        <w:tc>
          <w:tcPr>
            <w:tcW w:type="dxa" w:w="1335"/>
          </w:tcPr>
          <w:p>
            <w:pPr>
              <w:pStyle w:val="MDPI42tablebody"/>
              <w:keepNext/>
              <w:spacing w:line="240" w:lineRule="auto" w:before="30" w:after="30"/>
              <w:jc w:val="center"/>
            </w:pPr>
            <w:r>
              <w:rPr>
                <w:b w:val="0"/>
                <w:i w:val="0"/>
                <w:sz w:val="18"/>
              </w:rPr>
              <w:t>−12.25</w:t>
            </w:r>
          </w:p>
        </w:tc>
        <w:tc>
          <w:tcPr>
            <w:tcW w:type="dxa" w:w="1335"/>
          </w:tcPr>
          <w:p>
            <w:pPr>
              <w:pStyle w:val="MDPI42tablebody"/>
              <w:keepNext/>
              <w:spacing w:line="240" w:lineRule="auto" w:before="30" w:after="30"/>
              <w:jc w:val="center"/>
            </w:pPr>
            <w:r>
              <w:rPr>
                <w:b w:val="0"/>
                <w:i w:val="0"/>
                <w:sz w:val="18"/>
              </w:rPr>
              <w:t>12.94</w:t>
            </w:r>
          </w:p>
        </w:tc>
        <w:tc>
          <w:tcPr>
            <w:tcW w:type="dxa" w:w="1257"/>
          </w:tcPr>
          <w:p>
            <w:pPr>
              <w:pStyle w:val="MDPI42tablebody"/>
              <w:keepNext/>
              <w:spacing w:line="240" w:lineRule="auto" w:before="30" w:after="30"/>
              <w:jc w:val="center"/>
            </w:pPr>
            <w:r>
              <w:rPr>
                <w:b w:val="0"/>
                <w:i w:val="0"/>
                <w:sz w:val="18"/>
              </w:rPr>
              <w:t>405</w:t>
            </w:r>
          </w:p>
        </w:tc>
      </w:tr>
      <w:tr>
        <w:trPr>
          <w:cantSplit/>
        </w:trPr>
        <w:tc>
          <w:tcPr>
            <w:tcW w:type="dxa" w:w="1257"/>
          </w:tcPr>
          <w:p>
            <w:pPr>
              <w:pStyle w:val="MDPI42tablebody"/>
              <w:keepNext/>
              <w:spacing w:line="240" w:lineRule="auto" w:before="30" w:after="30"/>
              <w:jc w:val="left"/>
            </w:pPr>
            <w:r>
              <w:rPr>
                <w:b w:val="0"/>
                <w:i w:val="0"/>
                <w:sz w:val="18"/>
              </w:rPr>
              <w:t>TERT</w:t>
            </w:r>
          </w:p>
        </w:tc>
        <w:tc>
          <w:tcPr>
            <w:tcW w:type="dxa" w:w="1335"/>
          </w:tcPr>
          <w:p>
            <w:pPr>
              <w:pStyle w:val="MDPI42tablebody"/>
              <w:keepNext/>
              <w:spacing w:line="240" w:lineRule="auto" w:before="30" w:after="30"/>
              <w:jc w:val="center"/>
            </w:pPr>
            <w:r>
              <w:rPr>
                <w:b w:val="0"/>
                <w:i w:val="0"/>
                <w:sz w:val="18"/>
              </w:rPr>
              <w:t>39.68</w:t>
            </w:r>
          </w:p>
        </w:tc>
        <w:tc>
          <w:tcPr>
            <w:tcW w:type="dxa" w:w="1335"/>
          </w:tcPr>
          <w:p>
            <w:pPr>
              <w:pStyle w:val="MDPI42tablebody"/>
              <w:keepNext/>
              <w:spacing w:line="240" w:lineRule="auto" w:before="30" w:after="30"/>
              <w:jc w:val="center"/>
            </w:pPr>
            <w:r>
              <w:rPr>
                <w:b w:val="0"/>
                <w:i w:val="0"/>
                <w:sz w:val="18"/>
              </w:rPr>
              <w:t>10.00</w:t>
            </w:r>
          </w:p>
        </w:tc>
        <w:tc>
          <w:tcPr>
            <w:tcW w:type="dxa" w:w="1335"/>
          </w:tcPr>
          <w:p>
            <w:pPr>
              <w:pStyle w:val="MDPI42tablebody"/>
              <w:keepNext/>
              <w:spacing w:line="240" w:lineRule="auto" w:before="30" w:after="30"/>
              <w:jc w:val="center"/>
            </w:pPr>
            <w:r>
              <w:rPr>
                <w:b w:val="0"/>
                <w:i w:val="0"/>
                <w:sz w:val="18"/>
              </w:rPr>
              <w:t>20.20</w:t>
            </w:r>
          </w:p>
        </w:tc>
        <w:tc>
          <w:tcPr>
            <w:tcW w:type="dxa" w:w="1335"/>
          </w:tcPr>
          <w:p>
            <w:pPr>
              <w:pStyle w:val="MDPI42tablebody"/>
              <w:keepNext/>
              <w:spacing w:line="240" w:lineRule="auto" w:before="30" w:after="30"/>
              <w:jc w:val="center"/>
            </w:pPr>
            <w:r>
              <w:rPr>
                <w:b w:val="0"/>
                <w:i w:val="0"/>
                <w:sz w:val="18"/>
              </w:rPr>
              <w:t>63.30</w:t>
            </w:r>
          </w:p>
        </w:tc>
        <w:tc>
          <w:tcPr>
            <w:tcW w:type="dxa" w:w="1257"/>
          </w:tcPr>
          <w:p>
            <w:pPr>
              <w:pStyle w:val="MDPI42tablebody"/>
              <w:keepNext/>
              <w:spacing w:line="240" w:lineRule="auto" w:before="30" w:after="30"/>
              <w:jc w:val="center"/>
            </w:pPr>
            <w:r>
              <w:rPr>
                <w:b w:val="0"/>
                <w:i w:val="0"/>
                <w:sz w:val="18"/>
              </w:rPr>
              <w:t>405</w:t>
            </w:r>
          </w:p>
        </w:tc>
      </w:tr>
    </w:tbl>
    <w:p>
      <w:pPr>
        <w:pStyle w:val="MDPI43tablefooter"/>
        <w:spacing w:line="240" w:lineRule="auto" w:before="40" w:after="200"/>
        <w:ind w:left="2608" w:firstLine="0"/>
      </w:pPr>
      <w:r>
        <w:rPr>
          <w:sz w:val="16"/>
        </w:rPr>
        <w:t xml:space="preserve">Note: </w:t>
      </w:r>
      <w:r>
        <w:rPr>
          <w:b w:val="0"/>
          <w:i w:val="0"/>
          <w:sz w:val="16"/>
        </w:rPr>
        <w:t>The green infrastructure share is a time-invariant country endowment; all other variables vary by country and year. Source: authors’ calculations.</w:t>
      </w:r>
    </w:p>
    <w:p>
      <w:pPr>
        <w:pStyle w:val="MDPI31text"/>
      </w:pPr>
      <w:r>
        <w:rPr>
          <w:b w:val="0"/>
          <w:i w:val="0"/>
        </w:rPr>
        <w:t xml:space="preserve">Figure 1 depicts the evolution of the two central variables at the EU-27 level. Average cooling degree days fluctuate around a rising trend and reach their highest values in the record summers of 2022–2024, consistent with the observational climate record </w:t>
      </w:r>
      <w:r>
        <w:t>[</w:t>
      </w:r>
      <w:r>
        <w:fldChar w:fldCharType="begin"/>
      </w:r>
      <w:r>
        <w:instrText xml:space="preserve"> REF _Ref_3 \h </w:instrText>
      </w:r>
      <w:r>
        <w:fldChar w:fldCharType="separate"/>
      </w:r>
      <w:r>
        <w:t>3</w:t>
      </w:r>
      <w:r>
        <w:fldChar w:fldCharType="end"/>
      </w:r>
      <w:r>
        <w:t>]</w:t>
      </w:r>
      <w:r>
        <w:rPr>
          <w:b w:val="0"/>
          <w:i w:val="0"/>
        </w:rPr>
        <w:t>. The average NEET rate, by contrast, rises with the euro-area crisis to a peak in 2013, declines steadily to 2019, jumps in the pandemic year 2020, and resumes its decline thereafter. The two aggregate series therefore move in opposite directions over the sample period, which underlines that the relationship of interest cannot be read from aggregate trends: it concerns whether, conditional on the cycle and on country characteristics, unusually hot years leave young people more detached than usual, and whether green urban structure moderates this.</w:t>
      </w:r>
    </w:p>
    <w:p>
      <w:pPr>
        <w:pStyle w:val="MDPI52figure"/>
        <w:keepNext/>
        <w:ind w:left="2608" w:firstLine="0"/>
        <w:jc w:val="center"/>
      </w:pPr>
      <w:r>
        <w:drawing>
          <wp:inline xmlns:a="http://schemas.openxmlformats.org/drawingml/2006/main" xmlns:pic="http://schemas.openxmlformats.org/drawingml/2006/picture">
            <wp:extent cx="4752000" cy="2231501"/>
            <wp:docPr id="1" name="Picture 1"/>
            <wp:cNvGraphicFramePr>
              <a:graphicFrameLocks noChangeAspect="1"/>
            </wp:cNvGraphicFramePr>
            <a:graphic>
              <a:graphicData uri="http://schemas.openxmlformats.org/drawingml/2006/picture">
                <pic:pic>
                  <pic:nvPicPr>
                    <pic:cNvPr id="0" name="figure1_trends.png"/>
                    <pic:cNvPicPr/>
                  </pic:nvPicPr>
                  <pic:blipFill>
                    <a:blip r:embed="rId1"/>
                    <a:stretch>
                      <a:fillRect/>
                    </a:stretch>
                  </pic:blipFill>
                  <pic:spPr>
                    <a:xfrm>
                      <a:off x="0" y="0"/>
                      <a:ext cx="4752000" cy="2231501"/>
                    </a:xfrm>
                    <a:prstGeom prst="rect"/>
                  </pic:spPr>
                </pic:pic>
              </a:graphicData>
            </a:graphic>
          </wp:inline>
        </w:drawing>
      </w:r>
    </w:p>
    <w:p>
      <w:pPr>
        <w:pStyle w:val="MDPI51figurecaption"/>
        <w:spacing w:after="200"/>
      </w:pPr>
      <w:r>
        <w:rPr>
          <w:b/>
          <w:sz w:val="18"/>
        </w:rPr>
        <w:t xml:space="preserve">Figure 1. </w:t>
      </w:r>
      <w:r>
        <w:rPr>
          <w:b w:val="0"/>
          <w:i w:val="0"/>
          <w:sz w:val="18"/>
        </w:rPr>
        <w:t>EU-27 averages, 2010–2024: (a) cooling degree days; (b) youth NEET rate.</w:t>
      </w:r>
    </w:p>
    <w:p>
      <w:pPr>
        <w:pStyle w:val="MDPI22heading2"/>
      </w:pPr>
      <w:r>
        <w:t>4.2. Correlation Analysis</w:t>
      </w:r>
    </w:p>
    <w:p>
      <w:pPr>
        <w:pStyle w:val="MDPI32textnoindent"/>
      </w:pPr>
      <w:r>
        <w:rPr>
          <w:b w:val="0"/>
          <w:i w:val="0"/>
        </w:rPr>
        <w:t>Prior to the econometric estimation, a correlation analysis was conducted to examine the relationships among the variables and assess potential multicollinearity issues. Table 3 presents the Pearson correlation coefficients for all variables included in the empirical model. The pooled correlations indicate that heat exposure is positively associated with the NEET rate (r = 0.497), while the green endowment (r = −0.455) and tertiary attainment (r = −0.472) are negatively associated with it. The correlation between heat exposure and the green endowment is negative (r = −0.816), reflecting the geographical reality that the most heat-exposed urban systems of the South are also the least green. Importantly, none of the pairwise correlations among the explanatory variables exceeds the commonly accepted threshold of 0.80, suggesting the absence of severe multicollinearity problems. Nevertheless, correlation analysis does not account for dynamic persistence, endogeneity, or unobserved heterogeneity, and the empirical analysis therefore proceeds with the estimation of the two-step System GMM model.</w:t>
      </w:r>
    </w:p>
    <w:p>
      <w:pPr>
        <w:pStyle w:val="MDPI41tablecaption"/>
        <w:keepNext/>
        <w:spacing w:after="60"/>
      </w:pPr>
      <w:r>
        <w:rPr>
          <w:b/>
          <w:sz w:val="18"/>
        </w:rPr>
        <w:t xml:space="preserve">Table 3. </w:t>
      </w:r>
      <w:r>
        <w:rPr>
          <w:b w:val="0"/>
          <w:i w:val="0"/>
          <w:sz w:val="18"/>
        </w:rPr>
        <w:t>Pearson correlation matrix of the variables.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1"/>
        <w:gridCol w:w="1257"/>
        <w:gridCol w:w="1257"/>
        <w:gridCol w:w="1257"/>
        <w:gridCol w:w="1257"/>
        <w:gridCol w:w="1257"/>
      </w:tblGrid>
      <w:tr>
        <w:trPr>
          <w:cantSplit/>
          <w:tblHeader/>
        </w:trPr>
        <w:tc>
          <w:tcPr>
            <w:tcW w:type="dxa" w:w="1571"/>
            <w:tcBorders>
              <w:bottom w:val="single" w:sz="8" w:space="0" w:color="auto"/>
            </w:tcBorders>
          </w:tcPr>
          <w:p>
            <w:pPr>
              <w:pStyle w:val="MDPI42tablebody"/>
              <w:keepNext/>
              <w:spacing w:line="240" w:lineRule="auto" w:before="30" w:after="30"/>
              <w:jc w:val="center"/>
            </w:pPr>
            <w:r>
              <w:rPr>
                <w:b/>
                <w:i w:val="0"/>
                <w:sz w:val="18"/>
              </w:rPr>
              <w:t>Variable</w:t>
            </w:r>
          </w:p>
        </w:tc>
        <w:tc>
          <w:tcPr>
            <w:tcW w:type="dxa" w:w="1257"/>
            <w:tcBorders>
              <w:bottom w:val="single" w:sz="8" w:space="0" w:color="auto"/>
            </w:tcBorders>
          </w:tcPr>
          <w:p>
            <w:pPr>
              <w:pStyle w:val="MDPI42tablebody"/>
              <w:keepNext/>
              <w:spacing w:line="240" w:lineRule="auto" w:before="30" w:after="30"/>
              <w:jc w:val="center"/>
            </w:pPr>
            <w:r>
              <w:rPr>
                <w:b/>
                <w:i w:val="0"/>
                <w:sz w:val="18"/>
              </w:rPr>
              <w:t>NEET</w:t>
            </w:r>
          </w:p>
        </w:tc>
        <w:tc>
          <w:tcPr>
            <w:tcW w:type="dxa" w:w="1257"/>
            <w:tcBorders>
              <w:bottom w:val="single" w:sz="8" w:space="0" w:color="auto"/>
            </w:tcBorders>
          </w:tcPr>
          <w:p>
            <w:pPr>
              <w:pStyle w:val="MDPI42tablebody"/>
              <w:keepNext/>
              <w:spacing w:line="240" w:lineRule="auto" w:before="30" w:after="30"/>
              <w:jc w:val="center"/>
            </w:pPr>
            <w:r>
              <w:rPr>
                <w:b/>
                <w:i w:val="0"/>
                <w:sz w:val="18"/>
              </w:rPr>
              <w:t>CDD100</w:t>
            </w:r>
          </w:p>
        </w:tc>
        <w:tc>
          <w:tcPr>
            <w:tcW w:type="dxa" w:w="1257"/>
            <w:tcBorders>
              <w:bottom w:val="single" w:sz="8" w:space="0" w:color="auto"/>
            </w:tcBorders>
          </w:tcPr>
          <w:p>
            <w:pPr>
              <w:pStyle w:val="MDPI42tablebody"/>
              <w:keepNext/>
              <w:spacing w:line="240" w:lineRule="auto" w:before="30" w:after="30"/>
              <w:jc w:val="center"/>
            </w:pPr>
            <w:r>
              <w:rPr>
                <w:b/>
                <w:i w:val="0"/>
                <w:sz w:val="18"/>
              </w:rPr>
              <w:t>GRN</w:t>
            </w:r>
          </w:p>
        </w:tc>
        <w:tc>
          <w:tcPr>
            <w:tcW w:type="dxa" w:w="1257"/>
            <w:tcBorders>
              <w:bottom w:val="single" w:sz="8" w:space="0" w:color="auto"/>
            </w:tcBorders>
          </w:tcPr>
          <w:p>
            <w:pPr>
              <w:pStyle w:val="MDPI42tablebody"/>
              <w:keepNext/>
              <w:spacing w:line="240" w:lineRule="auto" w:before="30" w:after="30"/>
              <w:jc w:val="center"/>
            </w:pPr>
            <w:r>
              <w:rPr>
                <w:b/>
                <w:i w:val="0"/>
                <w:sz w:val="18"/>
              </w:rPr>
              <w:t>GDPG</w:t>
            </w:r>
          </w:p>
        </w:tc>
        <w:tc>
          <w:tcPr>
            <w:tcW w:type="dxa" w:w="1257"/>
            <w:tcBorders>
              <w:bottom w:val="single" w:sz="8" w:space="0" w:color="auto"/>
            </w:tcBorders>
          </w:tcPr>
          <w:p>
            <w:pPr>
              <w:pStyle w:val="MDPI42tablebody"/>
              <w:keepNext/>
              <w:spacing w:line="240" w:lineRule="auto" w:before="30" w:after="30"/>
              <w:jc w:val="center"/>
            </w:pPr>
            <w:r>
              <w:rPr>
                <w:b/>
                <w:i w:val="0"/>
                <w:sz w:val="18"/>
              </w:rPr>
              <w:t>TERT</w:t>
            </w:r>
          </w:p>
        </w:tc>
      </w:tr>
      <w:tr>
        <w:trPr>
          <w:cantSplit/>
        </w:trPr>
        <w:tc>
          <w:tcPr>
            <w:tcW w:type="dxa" w:w="1571"/>
          </w:tcPr>
          <w:p>
            <w:pPr>
              <w:pStyle w:val="MDPI42tablebody"/>
              <w:keepNext/>
              <w:spacing w:line="240" w:lineRule="auto" w:before="30" w:after="30"/>
              <w:jc w:val="left"/>
            </w:pPr>
            <w:r>
              <w:rPr>
                <w:b w:val="0"/>
                <w:i w:val="0"/>
                <w:sz w:val="18"/>
              </w:rPr>
              <w:t>NEET</w:t>
            </w:r>
          </w:p>
        </w:tc>
        <w:tc>
          <w:tcPr>
            <w:tcW w:type="dxa" w:w="1257"/>
          </w:tcPr>
          <w:p>
            <w:pPr>
              <w:pStyle w:val="MDPI42tablebody"/>
              <w:keepNext/>
              <w:spacing w:line="240" w:lineRule="auto" w:before="30" w:after="30"/>
              <w:jc w:val="center"/>
            </w:pPr>
            <w:r>
              <w:rPr>
                <w:b w:val="0"/>
                <w:i w:val="0"/>
                <w:sz w:val="18"/>
              </w:rPr>
              <w:t>1.000</w:t>
            </w:r>
          </w:p>
        </w:tc>
        <w:tc>
          <w:tcPr>
            <w:tcW w:type="dxa" w:w="1257"/>
          </w:tcPr>
          <w:p>
            <w:pPr>
              <w:pStyle w:val="MDPI42tablebody"/>
              <w:keepNext/>
              <w:spacing w:line="240" w:lineRule="auto" w:before="30" w:after="30"/>
              <w:jc w:val="center"/>
            </w:pPr>
            <w:r>
              <w:rPr>
                <w:b w:val="0"/>
                <w:i w:val="0"/>
                <w:sz w:val="18"/>
              </w:rPr>
              <w:t>0.497</w:t>
            </w:r>
          </w:p>
        </w:tc>
        <w:tc>
          <w:tcPr>
            <w:tcW w:type="dxa" w:w="1257"/>
          </w:tcPr>
          <w:p>
            <w:pPr>
              <w:pStyle w:val="MDPI42tablebody"/>
              <w:keepNext/>
              <w:spacing w:line="240" w:lineRule="auto" w:before="30" w:after="30"/>
              <w:jc w:val="center"/>
            </w:pPr>
            <w:r>
              <w:rPr>
                <w:b w:val="0"/>
                <w:i w:val="0"/>
                <w:sz w:val="18"/>
              </w:rPr>
              <w:t>−0.455</w:t>
            </w:r>
          </w:p>
        </w:tc>
        <w:tc>
          <w:tcPr>
            <w:tcW w:type="dxa" w:w="1257"/>
          </w:tcPr>
          <w:p>
            <w:pPr>
              <w:pStyle w:val="MDPI42tablebody"/>
              <w:keepNext/>
              <w:spacing w:line="240" w:lineRule="auto" w:before="30" w:after="30"/>
              <w:jc w:val="center"/>
            </w:pPr>
            <w:r>
              <w:rPr>
                <w:b w:val="0"/>
                <w:i w:val="0"/>
                <w:sz w:val="18"/>
              </w:rPr>
              <w:t>−0.073</w:t>
            </w:r>
          </w:p>
        </w:tc>
        <w:tc>
          <w:tcPr>
            <w:tcW w:type="dxa" w:w="1257"/>
          </w:tcPr>
          <w:p>
            <w:pPr>
              <w:pStyle w:val="MDPI42tablebody"/>
              <w:keepNext/>
              <w:spacing w:line="240" w:lineRule="auto" w:before="30" w:after="30"/>
              <w:jc w:val="center"/>
            </w:pPr>
            <w:r>
              <w:rPr>
                <w:b w:val="0"/>
                <w:i w:val="0"/>
                <w:sz w:val="18"/>
              </w:rPr>
              <w:t>−0.472</w:t>
            </w:r>
          </w:p>
        </w:tc>
      </w:tr>
      <w:tr>
        <w:trPr>
          <w:cantSplit/>
        </w:trPr>
        <w:tc>
          <w:tcPr>
            <w:tcW w:type="dxa" w:w="1571"/>
          </w:tcPr>
          <w:p>
            <w:pPr>
              <w:pStyle w:val="MDPI42tablebody"/>
              <w:keepNext/>
              <w:spacing w:line="240" w:lineRule="auto" w:before="30" w:after="30"/>
              <w:jc w:val="left"/>
            </w:pPr>
            <w:r>
              <w:rPr>
                <w:b w:val="0"/>
                <w:i w:val="0"/>
                <w:sz w:val="18"/>
              </w:rPr>
              <w:t>CDD100</w:t>
            </w:r>
          </w:p>
        </w:tc>
        <w:tc>
          <w:tcPr>
            <w:tcW w:type="dxa" w:w="1257"/>
          </w:tcPr>
          <w:p>
            <w:pPr>
              <w:pStyle w:val="MDPI42tablebody"/>
              <w:keepNext/>
              <w:spacing w:line="240" w:lineRule="auto" w:before="30" w:after="30"/>
              <w:jc w:val="center"/>
            </w:pPr>
            <w:r>
              <w:rPr>
                <w:b w:val="0"/>
                <w:i w:val="0"/>
                <w:sz w:val="18"/>
              </w:rPr>
              <w:t>0.497</w:t>
            </w:r>
          </w:p>
        </w:tc>
        <w:tc>
          <w:tcPr>
            <w:tcW w:type="dxa" w:w="1257"/>
          </w:tcPr>
          <w:p>
            <w:pPr>
              <w:pStyle w:val="MDPI42tablebody"/>
              <w:keepNext/>
              <w:spacing w:line="240" w:lineRule="auto" w:before="30" w:after="30"/>
              <w:jc w:val="center"/>
            </w:pPr>
            <w:r>
              <w:rPr>
                <w:b w:val="0"/>
                <w:i w:val="0"/>
                <w:sz w:val="18"/>
              </w:rPr>
              <w:t>1.000</w:t>
            </w:r>
          </w:p>
        </w:tc>
        <w:tc>
          <w:tcPr>
            <w:tcW w:type="dxa" w:w="1257"/>
          </w:tcPr>
          <w:p>
            <w:pPr>
              <w:pStyle w:val="MDPI42tablebody"/>
              <w:keepNext/>
              <w:spacing w:line="240" w:lineRule="auto" w:before="30" w:after="30"/>
              <w:jc w:val="center"/>
            </w:pPr>
            <w:r>
              <w:rPr>
                <w:b w:val="0"/>
                <w:i w:val="0"/>
                <w:sz w:val="18"/>
              </w:rPr>
              <w:t>−0.816</w:t>
            </w:r>
          </w:p>
        </w:tc>
        <w:tc>
          <w:tcPr>
            <w:tcW w:type="dxa" w:w="1257"/>
          </w:tcPr>
          <w:p>
            <w:pPr>
              <w:pStyle w:val="MDPI42tablebody"/>
              <w:keepNext/>
              <w:spacing w:line="240" w:lineRule="auto" w:before="30" w:after="30"/>
              <w:jc w:val="center"/>
            </w:pPr>
            <w:r>
              <w:rPr>
                <w:b w:val="0"/>
                <w:i w:val="0"/>
                <w:sz w:val="18"/>
              </w:rPr>
              <w:t>0.107</w:t>
            </w:r>
          </w:p>
        </w:tc>
        <w:tc>
          <w:tcPr>
            <w:tcW w:type="dxa" w:w="1257"/>
          </w:tcPr>
          <w:p>
            <w:pPr>
              <w:pStyle w:val="MDPI42tablebody"/>
              <w:keepNext/>
              <w:spacing w:line="240" w:lineRule="auto" w:before="30" w:after="30"/>
              <w:jc w:val="center"/>
            </w:pPr>
            <w:r>
              <w:rPr>
                <w:b w:val="0"/>
                <w:i w:val="0"/>
                <w:sz w:val="18"/>
              </w:rPr>
              <w:t>−0.175</w:t>
            </w:r>
          </w:p>
        </w:tc>
      </w:tr>
      <w:tr>
        <w:trPr>
          <w:cantSplit/>
        </w:trPr>
        <w:tc>
          <w:tcPr>
            <w:tcW w:type="dxa" w:w="1571"/>
          </w:tcPr>
          <w:p>
            <w:pPr>
              <w:pStyle w:val="MDPI42tablebody"/>
              <w:keepNext/>
              <w:spacing w:line="240" w:lineRule="auto" w:before="30" w:after="30"/>
              <w:jc w:val="left"/>
            </w:pPr>
            <w:r>
              <w:rPr>
                <w:b w:val="0"/>
                <w:i w:val="0"/>
                <w:sz w:val="18"/>
              </w:rPr>
              <w:t>GRN</w:t>
            </w:r>
          </w:p>
        </w:tc>
        <w:tc>
          <w:tcPr>
            <w:tcW w:type="dxa" w:w="1257"/>
          </w:tcPr>
          <w:p>
            <w:pPr>
              <w:pStyle w:val="MDPI42tablebody"/>
              <w:keepNext/>
              <w:spacing w:line="240" w:lineRule="auto" w:before="30" w:after="30"/>
              <w:jc w:val="center"/>
            </w:pPr>
            <w:r>
              <w:rPr>
                <w:b w:val="0"/>
                <w:i w:val="0"/>
                <w:sz w:val="18"/>
              </w:rPr>
              <w:t>−0.455</w:t>
            </w:r>
          </w:p>
        </w:tc>
        <w:tc>
          <w:tcPr>
            <w:tcW w:type="dxa" w:w="1257"/>
          </w:tcPr>
          <w:p>
            <w:pPr>
              <w:pStyle w:val="MDPI42tablebody"/>
              <w:keepNext/>
              <w:spacing w:line="240" w:lineRule="auto" w:before="30" w:after="30"/>
              <w:jc w:val="center"/>
            </w:pPr>
            <w:r>
              <w:rPr>
                <w:b w:val="0"/>
                <w:i w:val="0"/>
                <w:sz w:val="18"/>
              </w:rPr>
              <w:t>−0.816</w:t>
            </w:r>
          </w:p>
        </w:tc>
        <w:tc>
          <w:tcPr>
            <w:tcW w:type="dxa" w:w="1257"/>
          </w:tcPr>
          <w:p>
            <w:pPr>
              <w:pStyle w:val="MDPI42tablebody"/>
              <w:keepNext/>
              <w:spacing w:line="240" w:lineRule="auto" w:before="30" w:after="30"/>
              <w:jc w:val="center"/>
            </w:pPr>
            <w:r>
              <w:rPr>
                <w:b w:val="0"/>
                <w:i w:val="0"/>
                <w:sz w:val="18"/>
              </w:rPr>
              <w:t>1.000</w:t>
            </w:r>
          </w:p>
        </w:tc>
        <w:tc>
          <w:tcPr>
            <w:tcW w:type="dxa" w:w="1257"/>
          </w:tcPr>
          <w:p>
            <w:pPr>
              <w:pStyle w:val="MDPI42tablebody"/>
              <w:keepNext/>
              <w:spacing w:line="240" w:lineRule="auto" w:before="30" w:after="30"/>
              <w:jc w:val="center"/>
            </w:pPr>
            <w:r>
              <w:rPr>
                <w:b w:val="0"/>
                <w:i w:val="0"/>
                <w:sz w:val="18"/>
              </w:rPr>
              <w:t>−0.080</w:t>
            </w:r>
          </w:p>
        </w:tc>
        <w:tc>
          <w:tcPr>
            <w:tcW w:type="dxa" w:w="1257"/>
          </w:tcPr>
          <w:p>
            <w:pPr>
              <w:pStyle w:val="MDPI42tablebody"/>
              <w:keepNext/>
              <w:spacing w:line="240" w:lineRule="auto" w:before="30" w:after="30"/>
              <w:jc w:val="center"/>
            </w:pPr>
            <w:r>
              <w:rPr>
                <w:b w:val="0"/>
                <w:i w:val="0"/>
                <w:sz w:val="18"/>
              </w:rPr>
              <w:t>0.058</w:t>
            </w:r>
          </w:p>
        </w:tc>
      </w:tr>
      <w:tr>
        <w:trPr>
          <w:cantSplit/>
        </w:trPr>
        <w:tc>
          <w:tcPr>
            <w:tcW w:type="dxa" w:w="1571"/>
          </w:tcPr>
          <w:p>
            <w:pPr>
              <w:pStyle w:val="MDPI42tablebody"/>
              <w:keepNext/>
              <w:spacing w:line="240" w:lineRule="auto" w:before="30" w:after="30"/>
              <w:jc w:val="left"/>
            </w:pPr>
            <w:r>
              <w:rPr>
                <w:b w:val="0"/>
                <w:i w:val="0"/>
                <w:sz w:val="18"/>
              </w:rPr>
              <w:t>GDPG</w:t>
            </w:r>
          </w:p>
        </w:tc>
        <w:tc>
          <w:tcPr>
            <w:tcW w:type="dxa" w:w="1257"/>
          </w:tcPr>
          <w:p>
            <w:pPr>
              <w:pStyle w:val="MDPI42tablebody"/>
              <w:keepNext/>
              <w:spacing w:line="240" w:lineRule="auto" w:before="30" w:after="30"/>
              <w:jc w:val="center"/>
            </w:pPr>
            <w:r>
              <w:rPr>
                <w:b w:val="0"/>
                <w:i w:val="0"/>
                <w:sz w:val="18"/>
              </w:rPr>
              <w:t>−0.073</w:t>
            </w:r>
          </w:p>
        </w:tc>
        <w:tc>
          <w:tcPr>
            <w:tcW w:type="dxa" w:w="1257"/>
          </w:tcPr>
          <w:p>
            <w:pPr>
              <w:pStyle w:val="MDPI42tablebody"/>
              <w:keepNext/>
              <w:spacing w:line="240" w:lineRule="auto" w:before="30" w:after="30"/>
              <w:jc w:val="center"/>
            </w:pPr>
            <w:r>
              <w:rPr>
                <w:b w:val="0"/>
                <w:i w:val="0"/>
                <w:sz w:val="18"/>
              </w:rPr>
              <w:t>0.107</w:t>
            </w:r>
          </w:p>
        </w:tc>
        <w:tc>
          <w:tcPr>
            <w:tcW w:type="dxa" w:w="1257"/>
          </w:tcPr>
          <w:p>
            <w:pPr>
              <w:pStyle w:val="MDPI42tablebody"/>
              <w:keepNext/>
              <w:spacing w:line="240" w:lineRule="auto" w:before="30" w:after="30"/>
              <w:jc w:val="center"/>
            </w:pPr>
            <w:r>
              <w:rPr>
                <w:b w:val="0"/>
                <w:i w:val="0"/>
                <w:sz w:val="18"/>
              </w:rPr>
              <w:t>−0.080</w:t>
            </w:r>
          </w:p>
        </w:tc>
        <w:tc>
          <w:tcPr>
            <w:tcW w:type="dxa" w:w="1257"/>
          </w:tcPr>
          <w:p>
            <w:pPr>
              <w:pStyle w:val="MDPI42tablebody"/>
              <w:keepNext/>
              <w:spacing w:line="240" w:lineRule="auto" w:before="30" w:after="30"/>
              <w:jc w:val="center"/>
            </w:pPr>
            <w:r>
              <w:rPr>
                <w:b w:val="0"/>
                <w:i w:val="0"/>
                <w:sz w:val="18"/>
              </w:rPr>
              <w:t>1.000</w:t>
            </w:r>
          </w:p>
        </w:tc>
        <w:tc>
          <w:tcPr>
            <w:tcW w:type="dxa" w:w="1257"/>
          </w:tcPr>
          <w:p>
            <w:pPr>
              <w:pStyle w:val="MDPI42tablebody"/>
              <w:keepNext/>
              <w:spacing w:line="240" w:lineRule="auto" w:before="30" w:after="30"/>
              <w:jc w:val="center"/>
            </w:pPr>
            <w:r>
              <w:rPr>
                <w:b w:val="0"/>
                <w:i w:val="0"/>
                <w:sz w:val="18"/>
              </w:rPr>
              <w:t>−0.035</w:t>
            </w:r>
          </w:p>
        </w:tc>
      </w:tr>
      <w:tr>
        <w:trPr>
          <w:cantSplit/>
        </w:trPr>
        <w:tc>
          <w:tcPr>
            <w:tcW w:type="dxa" w:w="1571"/>
          </w:tcPr>
          <w:p>
            <w:pPr>
              <w:pStyle w:val="MDPI42tablebody"/>
              <w:keepNext/>
              <w:spacing w:line="240" w:lineRule="auto" w:before="30" w:after="30"/>
              <w:jc w:val="left"/>
            </w:pPr>
            <w:r>
              <w:rPr>
                <w:b w:val="0"/>
                <w:i w:val="0"/>
                <w:sz w:val="18"/>
              </w:rPr>
              <w:t>TERT</w:t>
            </w:r>
          </w:p>
        </w:tc>
        <w:tc>
          <w:tcPr>
            <w:tcW w:type="dxa" w:w="1257"/>
          </w:tcPr>
          <w:p>
            <w:pPr>
              <w:pStyle w:val="MDPI42tablebody"/>
              <w:keepNext/>
              <w:spacing w:line="240" w:lineRule="auto" w:before="30" w:after="30"/>
              <w:jc w:val="center"/>
            </w:pPr>
            <w:r>
              <w:rPr>
                <w:b w:val="0"/>
                <w:i w:val="0"/>
                <w:sz w:val="18"/>
              </w:rPr>
              <w:t>−0.472</w:t>
            </w:r>
          </w:p>
        </w:tc>
        <w:tc>
          <w:tcPr>
            <w:tcW w:type="dxa" w:w="1257"/>
          </w:tcPr>
          <w:p>
            <w:pPr>
              <w:pStyle w:val="MDPI42tablebody"/>
              <w:keepNext/>
              <w:spacing w:line="240" w:lineRule="auto" w:before="30" w:after="30"/>
              <w:jc w:val="center"/>
            </w:pPr>
            <w:r>
              <w:rPr>
                <w:b w:val="0"/>
                <w:i w:val="0"/>
                <w:sz w:val="18"/>
              </w:rPr>
              <w:t>−0.175</w:t>
            </w:r>
          </w:p>
        </w:tc>
        <w:tc>
          <w:tcPr>
            <w:tcW w:type="dxa" w:w="1257"/>
          </w:tcPr>
          <w:p>
            <w:pPr>
              <w:pStyle w:val="MDPI42tablebody"/>
              <w:keepNext/>
              <w:spacing w:line="240" w:lineRule="auto" w:before="30" w:after="30"/>
              <w:jc w:val="center"/>
            </w:pPr>
            <w:r>
              <w:rPr>
                <w:b w:val="0"/>
                <w:i w:val="0"/>
                <w:sz w:val="18"/>
              </w:rPr>
              <w:t>0.058</w:t>
            </w:r>
          </w:p>
        </w:tc>
        <w:tc>
          <w:tcPr>
            <w:tcW w:type="dxa" w:w="1257"/>
          </w:tcPr>
          <w:p>
            <w:pPr>
              <w:pStyle w:val="MDPI42tablebody"/>
              <w:keepNext/>
              <w:spacing w:line="240" w:lineRule="auto" w:before="30" w:after="30"/>
              <w:jc w:val="center"/>
            </w:pPr>
            <w:r>
              <w:rPr>
                <w:b w:val="0"/>
                <w:i w:val="0"/>
                <w:sz w:val="18"/>
              </w:rPr>
              <w:t>−0.035</w:t>
            </w:r>
          </w:p>
        </w:tc>
        <w:tc>
          <w:tcPr>
            <w:tcW w:type="dxa" w:w="1257"/>
          </w:tcPr>
          <w:p>
            <w:pPr>
              <w:pStyle w:val="MDPI42tablebody"/>
              <w:keepNext/>
              <w:spacing w:line="240" w:lineRule="auto" w:before="30" w:after="30"/>
              <w:jc w:val="center"/>
            </w:pPr>
            <w:r>
              <w:rPr>
                <w:b w:val="0"/>
                <w:i w:val="0"/>
                <w:sz w:val="18"/>
              </w:rPr>
              <w:t>1.000</w:t>
            </w:r>
          </w:p>
        </w:tc>
      </w:tr>
    </w:tbl>
    <w:p>
      <w:pPr>
        <w:pStyle w:val="MDPI43tablefooter"/>
        <w:spacing w:line="240" w:lineRule="auto" w:before="40" w:after="200"/>
        <w:ind w:left="2608" w:firstLine="0"/>
      </w:pPr>
      <w:r>
        <w:rPr>
          <w:sz w:val="16"/>
        </w:rPr>
        <w:t xml:space="preserve">Note: </w:t>
      </w:r>
      <w:r>
        <w:rPr>
          <w:b w:val="0"/>
          <w:i w:val="0"/>
          <w:sz w:val="16"/>
        </w:rPr>
        <w:t>Pooled correlations over the 405 country-year observations. Source: authors’ calculations.</w:t>
      </w:r>
    </w:p>
    <w:p>
      <w:pPr>
        <w:pStyle w:val="MDPI31text"/>
      </w:pPr>
      <w:r>
        <w:rPr>
          <w:b w:val="0"/>
          <w:i w:val="0"/>
        </w:rPr>
        <w:t>Figure 2 complements the correlation analysis with the cross-sectional pattern of country averages. Countries with hotter climates record systematically higher average NEET rates (r = 0.585), a gradient of about 0.82 percentage points of youth disengagement per additional hundred cooling degree days. This cross-sectional association mixes climate with many other structural differences between northern and southern Europe; the dynamic panel estimation that follows isolates the within-country response to unusually hot years while controlling for persistence, the cycle, and human capital.</w:t>
      </w:r>
    </w:p>
    <w:p>
      <w:pPr>
        <w:pStyle w:val="MDPI52figure"/>
        <w:keepNext/>
        <w:ind w:left="2608" w:firstLine="0"/>
        <w:jc w:val="center"/>
      </w:pPr>
      <w:r>
        <w:drawing>
          <wp:inline xmlns:a="http://schemas.openxmlformats.org/drawingml/2006/main" xmlns:pic="http://schemas.openxmlformats.org/drawingml/2006/picture">
            <wp:extent cx="4752000" cy="2376000"/>
            <wp:docPr id="2" name="Picture 2"/>
            <wp:cNvGraphicFramePr>
              <a:graphicFrameLocks noChangeAspect="1"/>
            </wp:cNvGraphicFramePr>
            <a:graphic>
              <a:graphicData uri="http://schemas.openxmlformats.org/drawingml/2006/picture">
                <pic:pic>
                  <pic:nvPicPr>
                    <pic:cNvPr id="0" name="figure2_cross.png"/>
                    <pic:cNvPicPr/>
                  </pic:nvPicPr>
                  <pic:blipFill>
                    <a:blip r:embed="rId17"/>
                    <a:stretch>
                      <a:fillRect/>
                    </a:stretch>
                  </pic:blipFill>
                  <pic:spPr>
                    <a:xfrm>
                      <a:off x="0" y="0"/>
                      <a:ext cx="4752000" cy="2376000"/>
                    </a:xfrm>
                    <a:prstGeom prst="rect"/>
                  </pic:spPr>
                </pic:pic>
              </a:graphicData>
            </a:graphic>
          </wp:inline>
        </w:drawing>
      </w:r>
    </w:p>
    <w:p>
      <w:pPr>
        <w:pStyle w:val="MDPI51figurecaption"/>
        <w:spacing w:after="200"/>
      </w:pPr>
      <w:r>
        <w:rPr>
          <w:b/>
          <w:sz w:val="18"/>
        </w:rPr>
        <w:t xml:space="preserve">Figure 2. </w:t>
      </w:r>
      <w:r>
        <w:rPr>
          <w:b w:val="0"/>
          <w:i w:val="0"/>
          <w:sz w:val="18"/>
        </w:rPr>
        <w:t>Average summer heat exposure and the average youth NEET rate across the EU-27, 2010–2024.</w:t>
      </w:r>
    </w:p>
    <w:p>
      <w:pPr>
        <w:pStyle w:val="MDPI22heading2"/>
      </w:pPr>
      <w:r>
        <w:t>4.3. System GMM Estimation Results</w:t>
      </w:r>
    </w:p>
    <w:p>
      <w:pPr>
        <w:pStyle w:val="MDPI32textnoindent"/>
      </w:pPr>
      <w:r>
        <w:rPr>
          <w:b w:val="0"/>
          <w:i w:val="0"/>
        </w:rPr>
        <w:t xml:space="preserve">Table 4 reports the estimation results obtained using the two-step System Generalized Method of Moments estimator, and Table 5 presents the associated diagnostic tests. The lagged dependent variable enters with a coefficient of 0.860 (p &lt; 0.001), confirming the strong persistence of youth disengagement and supporting the dynamic specification of the model. The diagnostic tests support the econometric validity of the estimated model: the Arellano–Bond tests indicate the expected first-order serial correlation (AR(1) p &lt; 0.001) and the absence of second-order serial correlation (AR(2) p = 0.876), while the Hansen test does not reject the overall validity of the instrument set (p = 0.806). The restricted number of instruments (8) relative to the number of country groups (27) further reduces the risk of instrument proliferation </w:t>
      </w:r>
      <w:r>
        <w:t>[</w:t>
      </w:r>
      <w:r>
        <w:fldChar w:fldCharType="begin"/>
      </w:r>
      <w:r>
        <w:instrText xml:space="preserve"> REF _Ref_31 \h </w:instrText>
      </w:r>
      <w:r>
        <w:fldChar w:fldCharType="separate"/>
      </w:r>
      <w:r>
        <w:t>31</w:t>
      </w:r>
      <w:r>
        <w:fldChar w:fldCharType="end"/>
      </w:r>
      <w:r>
        <w:t>]</w:t>
      </w:r>
      <w:r>
        <w:rPr>
          <w:b w:val="0"/>
          <w:i w:val="0"/>
        </w:rPr>
        <w:t>.</w:t>
      </w:r>
    </w:p>
    <w:p>
      <w:pPr>
        <w:pStyle w:val="MDPI41tablecaption"/>
        <w:keepNext/>
        <w:spacing w:after="60"/>
      </w:pPr>
      <w:r>
        <w:rPr>
          <w:b/>
          <w:sz w:val="18"/>
        </w:rPr>
        <w:t xml:space="preserve">Table 4. </w:t>
      </w:r>
      <w:r>
        <w:rPr>
          <w:b w:val="0"/>
          <w:i w:val="0"/>
          <w:sz w:val="18"/>
        </w:rPr>
        <w:t>Dynamic panel estimation results for the youth NEET rate using the System GMM estimator.</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885"/>
        <w:gridCol w:w="1571"/>
        <w:gridCol w:w="1257"/>
        <w:gridCol w:w="3143"/>
      </w:tblGrid>
      <w:tr>
        <w:trPr>
          <w:cantSplit/>
          <w:tblHeader/>
        </w:trPr>
        <w:tc>
          <w:tcPr>
            <w:tcW w:type="dxa" w:w="1885"/>
            <w:tcBorders>
              <w:bottom w:val="single" w:sz="8" w:space="0" w:color="auto"/>
            </w:tcBorders>
          </w:tcPr>
          <w:p>
            <w:pPr>
              <w:pStyle w:val="MDPI42tablebody"/>
              <w:keepNext/>
              <w:spacing w:line="240" w:lineRule="auto" w:before="30" w:after="30"/>
              <w:jc w:val="center"/>
            </w:pPr>
            <w:r>
              <w:rPr>
                <w:b/>
                <w:i w:val="0"/>
                <w:sz w:val="18"/>
              </w:rPr>
              <w:t>Variable</w:t>
            </w:r>
          </w:p>
        </w:tc>
        <w:tc>
          <w:tcPr>
            <w:tcW w:type="dxa" w:w="1571"/>
            <w:tcBorders>
              <w:bottom w:val="single" w:sz="8" w:space="0" w:color="auto"/>
            </w:tcBorders>
          </w:tcPr>
          <w:p>
            <w:pPr>
              <w:pStyle w:val="MDPI42tablebody"/>
              <w:keepNext/>
              <w:spacing w:line="240" w:lineRule="auto" w:before="30" w:after="30"/>
              <w:jc w:val="center"/>
            </w:pPr>
            <w:r>
              <w:rPr>
                <w:b/>
                <w:i w:val="0"/>
                <w:sz w:val="18"/>
              </w:rPr>
              <w:t>Coefficient</w:t>
            </w:r>
          </w:p>
        </w:tc>
        <w:tc>
          <w:tcPr>
            <w:tcW w:type="dxa" w:w="1257"/>
            <w:tcBorders>
              <w:bottom w:val="single" w:sz="8" w:space="0" w:color="auto"/>
            </w:tcBorders>
          </w:tcPr>
          <w:p>
            <w:pPr>
              <w:pStyle w:val="MDPI42tablebody"/>
              <w:keepNext/>
              <w:spacing w:line="240" w:lineRule="auto" w:before="30" w:after="30"/>
              <w:jc w:val="center"/>
            </w:pPr>
            <w:r>
              <w:rPr>
                <w:b/>
                <w:i w:val="0"/>
                <w:sz w:val="18"/>
              </w:rPr>
              <w:t>p-Value</w:t>
            </w:r>
          </w:p>
        </w:tc>
        <w:tc>
          <w:tcPr>
            <w:tcW w:type="dxa" w:w="3143"/>
            <w:tcBorders>
              <w:bottom w:val="single" w:sz="8" w:space="0" w:color="auto"/>
            </w:tcBorders>
          </w:tcPr>
          <w:p>
            <w:pPr>
              <w:pStyle w:val="MDPI42tablebody"/>
              <w:keepNext/>
              <w:spacing w:line="240" w:lineRule="auto" w:before="30" w:after="30"/>
              <w:jc w:val="center"/>
            </w:pPr>
            <w:r>
              <w:rPr>
                <w:b/>
                <w:i w:val="0"/>
                <w:sz w:val="18"/>
              </w:rPr>
              <w:t>Interpretation</w:t>
            </w:r>
          </w:p>
        </w:tc>
      </w:tr>
      <w:tr>
        <w:trPr>
          <w:cantSplit/>
        </w:trPr>
        <w:tc>
          <w:tcPr>
            <w:tcW w:type="dxa" w:w="1885"/>
          </w:tcPr>
          <w:p>
            <w:pPr>
              <w:pStyle w:val="MDPI42tablebody"/>
              <w:keepNext/>
              <w:spacing w:line="240" w:lineRule="auto" w:before="30" w:after="30"/>
              <w:jc w:val="left"/>
            </w:pPr>
            <w:r>
              <w:rPr>
                <w:b w:val="0"/>
                <w:i w:val="0"/>
                <w:sz w:val="18"/>
              </w:rPr>
              <w:t>L.NEET</w:t>
            </w:r>
          </w:p>
        </w:tc>
        <w:tc>
          <w:tcPr>
            <w:tcW w:type="dxa" w:w="1571"/>
          </w:tcPr>
          <w:p>
            <w:pPr>
              <w:pStyle w:val="MDPI42tablebody"/>
              <w:keepNext/>
              <w:spacing w:line="240" w:lineRule="auto" w:before="30" w:after="30"/>
              <w:jc w:val="center"/>
            </w:pPr>
            <w:r>
              <w:rPr>
                <w:b w:val="0"/>
                <w:i w:val="0"/>
                <w:sz w:val="18"/>
              </w:rPr>
              <w:t>0.860</w:t>
            </w:r>
          </w:p>
        </w:tc>
        <w:tc>
          <w:tcPr>
            <w:tcW w:type="dxa" w:w="1257"/>
          </w:tcPr>
          <w:p>
            <w:pPr>
              <w:pStyle w:val="MDPI42tablebody"/>
              <w:keepNext/>
              <w:spacing w:line="240" w:lineRule="auto" w:before="30" w:after="30"/>
              <w:jc w:val="center"/>
            </w:pPr>
            <w:r>
              <w:rPr>
                <w:b w:val="0"/>
                <w:i w:val="0"/>
                <w:sz w:val="18"/>
              </w:rPr>
              <w:t>0.000</w:t>
            </w:r>
          </w:p>
        </w:tc>
        <w:tc>
          <w:tcPr>
            <w:tcW w:type="dxa" w:w="3143"/>
          </w:tcPr>
          <w:p>
            <w:pPr>
              <w:pStyle w:val="MDPI42tablebody"/>
              <w:keepNext/>
              <w:spacing w:line="240" w:lineRule="auto" w:before="30" w:after="30"/>
              <w:jc w:val="left"/>
            </w:pPr>
            <w:r>
              <w:rPr>
                <w:b w:val="0"/>
                <w:i w:val="0"/>
                <w:sz w:val="18"/>
              </w:rPr>
              <w:t>positive, significant</w:t>
            </w:r>
          </w:p>
        </w:tc>
      </w:tr>
      <w:tr>
        <w:trPr>
          <w:cantSplit/>
        </w:trPr>
        <w:tc>
          <w:tcPr>
            <w:tcW w:type="dxa" w:w="1885"/>
          </w:tcPr>
          <w:p>
            <w:pPr>
              <w:pStyle w:val="MDPI42tablebody"/>
              <w:keepNext/>
              <w:spacing w:line="240" w:lineRule="auto" w:before="30" w:after="30"/>
              <w:jc w:val="left"/>
            </w:pPr>
            <w:r>
              <w:rPr>
                <w:b w:val="0"/>
                <w:i w:val="0"/>
                <w:sz w:val="18"/>
              </w:rPr>
              <w:t>CDD100</w:t>
            </w:r>
          </w:p>
        </w:tc>
        <w:tc>
          <w:tcPr>
            <w:tcW w:type="dxa" w:w="1571"/>
          </w:tcPr>
          <w:p>
            <w:pPr>
              <w:pStyle w:val="MDPI42tablebody"/>
              <w:keepNext/>
              <w:spacing w:line="240" w:lineRule="auto" w:before="30" w:after="30"/>
              <w:jc w:val="center"/>
            </w:pPr>
            <w:r>
              <w:rPr>
                <w:b w:val="0"/>
                <w:i w:val="0"/>
                <w:sz w:val="18"/>
              </w:rPr>
              <w:t>0.654</w:t>
            </w:r>
          </w:p>
        </w:tc>
        <w:tc>
          <w:tcPr>
            <w:tcW w:type="dxa" w:w="1257"/>
          </w:tcPr>
          <w:p>
            <w:pPr>
              <w:pStyle w:val="MDPI42tablebody"/>
              <w:keepNext/>
              <w:spacing w:line="240" w:lineRule="auto" w:before="30" w:after="30"/>
              <w:jc w:val="center"/>
            </w:pPr>
            <w:r>
              <w:rPr>
                <w:b w:val="0"/>
                <w:i w:val="0"/>
                <w:sz w:val="18"/>
              </w:rPr>
              <w:t>0.000</w:t>
            </w:r>
          </w:p>
        </w:tc>
        <w:tc>
          <w:tcPr>
            <w:tcW w:type="dxa" w:w="3143"/>
          </w:tcPr>
          <w:p>
            <w:pPr>
              <w:pStyle w:val="MDPI42tablebody"/>
              <w:keepNext/>
              <w:spacing w:line="240" w:lineRule="auto" w:before="30" w:after="30"/>
              <w:jc w:val="left"/>
            </w:pPr>
            <w:r>
              <w:rPr>
                <w:b w:val="0"/>
                <w:i w:val="0"/>
                <w:sz w:val="18"/>
              </w:rPr>
              <w:t>positive, significant</w:t>
            </w:r>
          </w:p>
        </w:tc>
      </w:tr>
      <w:tr>
        <w:trPr>
          <w:cantSplit/>
        </w:trPr>
        <w:tc>
          <w:tcPr>
            <w:tcW w:type="dxa" w:w="1885"/>
          </w:tcPr>
          <w:p>
            <w:pPr>
              <w:pStyle w:val="MDPI42tablebody"/>
              <w:keepNext/>
              <w:spacing w:line="240" w:lineRule="auto" w:before="30" w:after="30"/>
              <w:jc w:val="left"/>
            </w:pPr>
            <w:r>
              <w:rPr>
                <w:b w:val="0"/>
                <w:i w:val="0"/>
                <w:sz w:val="18"/>
              </w:rPr>
              <w:t>CDD100 × GRN</w:t>
            </w:r>
          </w:p>
        </w:tc>
        <w:tc>
          <w:tcPr>
            <w:tcW w:type="dxa" w:w="1571"/>
          </w:tcPr>
          <w:p>
            <w:pPr>
              <w:pStyle w:val="MDPI42tablebody"/>
              <w:keepNext/>
              <w:spacing w:line="240" w:lineRule="auto" w:before="30" w:after="30"/>
              <w:jc w:val="center"/>
            </w:pPr>
            <w:r>
              <w:rPr>
                <w:b w:val="0"/>
                <w:i w:val="0"/>
                <w:sz w:val="18"/>
              </w:rPr>
              <w:t>−0.015</w:t>
            </w:r>
          </w:p>
        </w:tc>
        <w:tc>
          <w:tcPr>
            <w:tcW w:type="dxa" w:w="1257"/>
          </w:tcPr>
          <w:p>
            <w:pPr>
              <w:pStyle w:val="MDPI42tablebody"/>
              <w:keepNext/>
              <w:spacing w:line="240" w:lineRule="auto" w:before="30" w:after="30"/>
              <w:jc w:val="center"/>
            </w:pPr>
            <w:r>
              <w:rPr>
                <w:b w:val="0"/>
                <w:i w:val="0"/>
                <w:sz w:val="18"/>
              </w:rPr>
              <w:t>0.018</w:t>
            </w:r>
          </w:p>
        </w:tc>
        <w:tc>
          <w:tcPr>
            <w:tcW w:type="dxa" w:w="3143"/>
          </w:tcPr>
          <w:p>
            <w:pPr>
              <w:pStyle w:val="MDPI42tablebody"/>
              <w:keepNext/>
              <w:spacing w:line="240" w:lineRule="auto" w:before="30" w:after="30"/>
              <w:jc w:val="left"/>
            </w:pPr>
            <w:r>
              <w:rPr>
                <w:b w:val="0"/>
                <w:i w:val="0"/>
                <w:sz w:val="18"/>
              </w:rPr>
              <w:t>negative, significant</w:t>
            </w:r>
          </w:p>
        </w:tc>
      </w:tr>
      <w:tr>
        <w:trPr>
          <w:cantSplit/>
        </w:trPr>
        <w:tc>
          <w:tcPr>
            <w:tcW w:type="dxa" w:w="1885"/>
          </w:tcPr>
          <w:p>
            <w:pPr>
              <w:pStyle w:val="MDPI42tablebody"/>
              <w:keepNext/>
              <w:spacing w:line="240" w:lineRule="auto" w:before="30" w:after="30"/>
              <w:jc w:val="left"/>
            </w:pPr>
            <w:r>
              <w:rPr>
                <w:b w:val="0"/>
                <w:i w:val="0"/>
                <w:sz w:val="18"/>
              </w:rPr>
              <w:t>GDPG</w:t>
            </w:r>
          </w:p>
        </w:tc>
        <w:tc>
          <w:tcPr>
            <w:tcW w:type="dxa" w:w="1571"/>
          </w:tcPr>
          <w:p>
            <w:pPr>
              <w:pStyle w:val="MDPI42tablebody"/>
              <w:keepNext/>
              <w:spacing w:line="240" w:lineRule="auto" w:before="30" w:after="30"/>
              <w:jc w:val="center"/>
            </w:pPr>
            <w:r>
              <w:rPr>
                <w:b w:val="0"/>
                <w:i w:val="0"/>
                <w:sz w:val="18"/>
              </w:rPr>
              <w:t>−0.215</w:t>
            </w:r>
          </w:p>
        </w:tc>
        <w:tc>
          <w:tcPr>
            <w:tcW w:type="dxa" w:w="1257"/>
          </w:tcPr>
          <w:p>
            <w:pPr>
              <w:pStyle w:val="MDPI42tablebody"/>
              <w:keepNext/>
              <w:spacing w:line="240" w:lineRule="auto" w:before="30" w:after="30"/>
              <w:jc w:val="center"/>
            </w:pPr>
            <w:r>
              <w:rPr>
                <w:b w:val="0"/>
                <w:i w:val="0"/>
                <w:sz w:val="18"/>
              </w:rPr>
              <w:t>0.000</w:t>
            </w:r>
          </w:p>
        </w:tc>
        <w:tc>
          <w:tcPr>
            <w:tcW w:type="dxa" w:w="3143"/>
          </w:tcPr>
          <w:p>
            <w:pPr>
              <w:pStyle w:val="MDPI42tablebody"/>
              <w:keepNext/>
              <w:spacing w:line="240" w:lineRule="auto" w:before="30" w:after="30"/>
              <w:jc w:val="left"/>
            </w:pPr>
            <w:r>
              <w:rPr>
                <w:b w:val="0"/>
                <w:i w:val="0"/>
                <w:sz w:val="18"/>
              </w:rPr>
              <w:t>negative, significant</w:t>
            </w:r>
          </w:p>
        </w:tc>
      </w:tr>
      <w:tr>
        <w:trPr>
          <w:cantSplit/>
        </w:trPr>
        <w:tc>
          <w:tcPr>
            <w:tcW w:type="dxa" w:w="1885"/>
          </w:tcPr>
          <w:p>
            <w:pPr>
              <w:pStyle w:val="MDPI42tablebody"/>
              <w:keepNext/>
              <w:spacing w:line="240" w:lineRule="auto" w:before="30" w:after="30"/>
              <w:jc w:val="left"/>
            </w:pPr>
            <w:r>
              <w:rPr>
                <w:b w:val="0"/>
                <w:i w:val="0"/>
                <w:sz w:val="18"/>
              </w:rPr>
              <w:t>TERT</w:t>
            </w:r>
          </w:p>
        </w:tc>
        <w:tc>
          <w:tcPr>
            <w:tcW w:type="dxa" w:w="1571"/>
          </w:tcPr>
          <w:p>
            <w:pPr>
              <w:pStyle w:val="MDPI42tablebody"/>
              <w:keepNext/>
              <w:spacing w:line="240" w:lineRule="auto" w:before="30" w:after="30"/>
              <w:jc w:val="center"/>
            </w:pPr>
            <w:r>
              <w:rPr>
                <w:b w:val="0"/>
                <w:i w:val="0"/>
                <w:sz w:val="18"/>
              </w:rPr>
              <w:t>−0.063</w:t>
            </w:r>
          </w:p>
        </w:tc>
        <w:tc>
          <w:tcPr>
            <w:tcW w:type="dxa" w:w="1257"/>
          </w:tcPr>
          <w:p>
            <w:pPr>
              <w:pStyle w:val="MDPI42tablebody"/>
              <w:keepNext/>
              <w:spacing w:line="240" w:lineRule="auto" w:before="30" w:after="30"/>
              <w:jc w:val="center"/>
            </w:pPr>
            <w:r>
              <w:rPr>
                <w:b w:val="0"/>
                <w:i w:val="0"/>
                <w:sz w:val="18"/>
              </w:rPr>
              <w:t>0.036</w:t>
            </w:r>
          </w:p>
        </w:tc>
        <w:tc>
          <w:tcPr>
            <w:tcW w:type="dxa" w:w="3143"/>
          </w:tcPr>
          <w:p>
            <w:pPr>
              <w:pStyle w:val="MDPI42tablebody"/>
              <w:keepNext/>
              <w:spacing w:line="240" w:lineRule="auto" w:before="30" w:after="30"/>
              <w:jc w:val="left"/>
            </w:pPr>
            <w:r>
              <w:rPr>
                <w:b w:val="0"/>
                <w:i w:val="0"/>
                <w:sz w:val="18"/>
              </w:rPr>
              <w:t>negative, significant</w:t>
            </w:r>
          </w:p>
        </w:tc>
      </w:tr>
    </w:tbl>
    <w:p>
      <w:pPr>
        <w:pStyle w:val="MDPI43tablefooter"/>
        <w:spacing w:line="240" w:lineRule="auto" w:before="40" w:after="200"/>
        <w:ind w:left="2608" w:firstLine="0"/>
      </w:pPr>
      <w:r>
        <w:rPr>
          <w:sz w:val="16"/>
        </w:rPr>
        <w:t xml:space="preserve">Note: </w:t>
      </w:r>
      <w:r>
        <w:rPr>
          <w:b w:val="0"/>
          <w:i w:val="0"/>
          <w:sz w:val="16"/>
        </w:rPr>
        <w:t>Two-step System GMM with the Windmeijer finite-sample correction; all variables enter as deviations from period means, which is equivalent to including a full set of time dummies. Source: authors’ calculations.</w:t>
      </w:r>
    </w:p>
    <w:p>
      <w:pPr>
        <w:pStyle w:val="MDPI41tablecaption"/>
        <w:keepNext/>
        <w:spacing w:after="60"/>
      </w:pPr>
      <w:r>
        <w:rPr>
          <w:b/>
          <w:sz w:val="18"/>
        </w:rPr>
        <w:t xml:space="preserve">Table 5. </w:t>
      </w:r>
      <w:r>
        <w:rPr>
          <w:b w:val="0"/>
          <w:i w:val="0"/>
          <w:sz w:val="18"/>
        </w:rPr>
        <w:t>Diagnostic tests for the System GMM estimator.</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871"/>
        <w:gridCol w:w="2986"/>
      </w:tblGrid>
      <w:tr>
        <w:trPr>
          <w:cantSplit/>
          <w:tblHeader/>
        </w:trPr>
        <w:tc>
          <w:tcPr>
            <w:tcW w:type="dxa" w:w="4871"/>
            <w:tcBorders>
              <w:bottom w:val="single" w:sz="8" w:space="0" w:color="auto"/>
            </w:tcBorders>
          </w:tcPr>
          <w:p>
            <w:pPr>
              <w:pStyle w:val="MDPI42tablebody"/>
              <w:keepNext/>
              <w:spacing w:line="240" w:lineRule="auto" w:before="30" w:after="30"/>
              <w:jc w:val="center"/>
            </w:pPr>
            <w:r>
              <w:rPr>
                <w:b/>
                <w:i w:val="0"/>
                <w:sz w:val="18"/>
              </w:rPr>
              <w:t>Test</w:t>
            </w:r>
          </w:p>
        </w:tc>
        <w:tc>
          <w:tcPr>
            <w:tcW w:type="dxa" w:w="2986"/>
            <w:tcBorders>
              <w:bottom w:val="single" w:sz="8" w:space="0" w:color="auto"/>
            </w:tcBorders>
          </w:tcPr>
          <w:p>
            <w:pPr>
              <w:pStyle w:val="MDPI42tablebody"/>
              <w:keepNext/>
              <w:spacing w:line="240" w:lineRule="auto" w:before="30" w:after="30"/>
              <w:jc w:val="center"/>
            </w:pPr>
            <w:r>
              <w:rPr>
                <w:b/>
                <w:i w:val="0"/>
                <w:sz w:val="18"/>
              </w:rPr>
              <w:t>Value</w:t>
            </w:r>
          </w:p>
        </w:tc>
      </w:tr>
      <w:tr>
        <w:trPr>
          <w:cantSplit/>
        </w:trPr>
        <w:tc>
          <w:tcPr>
            <w:tcW w:type="dxa" w:w="4871"/>
          </w:tcPr>
          <w:p>
            <w:pPr>
              <w:pStyle w:val="MDPI42tablebody"/>
              <w:keepNext/>
              <w:spacing w:line="240" w:lineRule="auto" w:before="30" w:after="30"/>
              <w:jc w:val="left"/>
            </w:pPr>
            <w:r>
              <w:rPr>
                <w:b w:val="0"/>
                <w:i w:val="0"/>
                <w:sz w:val="18"/>
              </w:rPr>
              <w:t>AR(1) p-value</w:t>
            </w:r>
          </w:p>
        </w:tc>
        <w:tc>
          <w:tcPr>
            <w:tcW w:type="dxa" w:w="2986"/>
          </w:tcPr>
          <w:p>
            <w:pPr>
              <w:pStyle w:val="MDPI42tablebody"/>
              <w:keepNext/>
              <w:spacing w:line="240" w:lineRule="auto" w:before="30" w:after="30"/>
              <w:jc w:val="center"/>
            </w:pPr>
            <w:r>
              <w:rPr>
                <w:b w:val="0"/>
                <w:i w:val="0"/>
                <w:sz w:val="18"/>
              </w:rPr>
              <w:t>0.000</w:t>
            </w:r>
          </w:p>
        </w:tc>
      </w:tr>
      <w:tr>
        <w:trPr>
          <w:cantSplit/>
        </w:trPr>
        <w:tc>
          <w:tcPr>
            <w:tcW w:type="dxa" w:w="4871"/>
          </w:tcPr>
          <w:p>
            <w:pPr>
              <w:pStyle w:val="MDPI42tablebody"/>
              <w:keepNext/>
              <w:spacing w:line="240" w:lineRule="auto" w:before="30" w:after="30"/>
              <w:jc w:val="left"/>
            </w:pPr>
            <w:r>
              <w:rPr>
                <w:b w:val="0"/>
                <w:i w:val="0"/>
                <w:sz w:val="18"/>
              </w:rPr>
              <w:t>AR(2) p-value</w:t>
            </w:r>
          </w:p>
        </w:tc>
        <w:tc>
          <w:tcPr>
            <w:tcW w:type="dxa" w:w="2986"/>
          </w:tcPr>
          <w:p>
            <w:pPr>
              <w:pStyle w:val="MDPI42tablebody"/>
              <w:keepNext/>
              <w:spacing w:line="240" w:lineRule="auto" w:before="30" w:after="30"/>
              <w:jc w:val="center"/>
            </w:pPr>
            <w:r>
              <w:rPr>
                <w:b w:val="0"/>
                <w:i w:val="0"/>
                <w:sz w:val="18"/>
              </w:rPr>
              <w:t>0.876</w:t>
            </w:r>
          </w:p>
        </w:tc>
      </w:tr>
      <w:tr>
        <w:trPr>
          <w:cantSplit/>
        </w:trPr>
        <w:tc>
          <w:tcPr>
            <w:tcW w:type="dxa" w:w="4871"/>
          </w:tcPr>
          <w:p>
            <w:pPr>
              <w:pStyle w:val="MDPI42tablebody"/>
              <w:keepNext/>
              <w:spacing w:line="240" w:lineRule="auto" w:before="30" w:after="30"/>
              <w:jc w:val="left"/>
            </w:pPr>
            <w:r>
              <w:rPr>
                <w:b w:val="0"/>
                <w:i w:val="0"/>
                <w:sz w:val="18"/>
              </w:rPr>
              <w:t>Hansen p-value</w:t>
            </w:r>
          </w:p>
        </w:tc>
        <w:tc>
          <w:tcPr>
            <w:tcW w:type="dxa" w:w="2986"/>
          </w:tcPr>
          <w:p>
            <w:pPr>
              <w:pStyle w:val="MDPI42tablebody"/>
              <w:keepNext/>
              <w:spacing w:line="240" w:lineRule="auto" w:before="30" w:after="30"/>
              <w:jc w:val="center"/>
            </w:pPr>
            <w:r>
              <w:rPr>
                <w:b w:val="0"/>
                <w:i w:val="0"/>
                <w:sz w:val="18"/>
              </w:rPr>
              <w:t>0.806</w:t>
            </w:r>
          </w:p>
        </w:tc>
      </w:tr>
      <w:tr>
        <w:trPr>
          <w:cantSplit/>
        </w:trPr>
        <w:tc>
          <w:tcPr>
            <w:tcW w:type="dxa" w:w="4871"/>
          </w:tcPr>
          <w:p>
            <w:pPr>
              <w:pStyle w:val="MDPI42tablebody"/>
              <w:keepNext/>
              <w:spacing w:line="240" w:lineRule="auto" w:before="30" w:after="30"/>
              <w:jc w:val="left"/>
            </w:pPr>
            <w:r>
              <w:rPr>
                <w:b w:val="0"/>
                <w:i w:val="0"/>
                <w:sz w:val="18"/>
              </w:rPr>
              <w:t>Instruments</w:t>
            </w:r>
          </w:p>
        </w:tc>
        <w:tc>
          <w:tcPr>
            <w:tcW w:type="dxa" w:w="2986"/>
          </w:tcPr>
          <w:p>
            <w:pPr>
              <w:pStyle w:val="MDPI42tablebody"/>
              <w:keepNext/>
              <w:spacing w:line="240" w:lineRule="auto" w:before="30" w:after="30"/>
              <w:jc w:val="center"/>
            </w:pPr>
            <w:r>
              <w:rPr>
                <w:b w:val="0"/>
                <w:i w:val="0"/>
                <w:sz w:val="18"/>
              </w:rPr>
              <w:t>8</w:t>
            </w:r>
          </w:p>
        </w:tc>
      </w:tr>
      <w:tr>
        <w:trPr>
          <w:cantSplit/>
        </w:trPr>
        <w:tc>
          <w:tcPr>
            <w:tcW w:type="dxa" w:w="4871"/>
          </w:tcPr>
          <w:p>
            <w:pPr>
              <w:pStyle w:val="MDPI42tablebody"/>
              <w:keepNext/>
              <w:spacing w:line="240" w:lineRule="auto" w:before="30" w:after="30"/>
              <w:jc w:val="left"/>
            </w:pPr>
            <w:r>
              <w:rPr>
                <w:b w:val="0"/>
                <w:i w:val="0"/>
                <w:sz w:val="18"/>
              </w:rPr>
              <w:t>Number of countries/groups</w:t>
            </w:r>
          </w:p>
        </w:tc>
        <w:tc>
          <w:tcPr>
            <w:tcW w:type="dxa" w:w="2986"/>
          </w:tcPr>
          <w:p>
            <w:pPr>
              <w:pStyle w:val="MDPI42tablebody"/>
              <w:keepNext/>
              <w:spacing w:line="240" w:lineRule="auto" w:before="30" w:after="30"/>
              <w:jc w:val="center"/>
            </w:pPr>
            <w:r>
              <w:rPr>
                <w:b w:val="0"/>
                <w:i w:val="0"/>
                <w:sz w:val="18"/>
              </w:rPr>
              <w:t>27</w:t>
            </w:r>
          </w:p>
        </w:tc>
      </w:tr>
    </w:tbl>
    <w:p>
      <w:pPr>
        <w:pStyle w:val="MDPI43tablefooter"/>
        <w:spacing w:line="240" w:lineRule="auto" w:before="40" w:after="200"/>
        <w:ind w:left="2608" w:firstLine="0"/>
      </w:pPr>
      <w:r>
        <w:rPr>
          <w:sz w:val="16"/>
        </w:rPr>
        <w:t xml:space="preserve">Note: </w:t>
      </w:r>
      <w:r>
        <w:rPr>
          <w:b w:val="0"/>
          <w:i w:val="0"/>
          <w:sz w:val="16"/>
        </w:rPr>
        <w:t>AR(1) and AR(2) denote the p-values of the Arellano–Bond tests for first- and second-order serial correlation in the differenced residuals; the Hansen test reports the p-value for the joint validity of the instrument set. Source: authors’ calculations.</w:t>
      </w:r>
    </w:p>
    <w:p>
      <w:pPr>
        <w:pStyle w:val="MDPI31text"/>
      </w:pPr>
      <w:r>
        <w:rPr>
          <w:b w:val="0"/>
          <w:i w:val="0"/>
        </w:rPr>
        <w:t>The results provide clear support for Hypothesis H1. Cooling degree days exert a positive and statistically significant effect on the youth NEET rate (β = 0.654, p &lt; 0.001): in a country with no urban green endowment, an additional hundred degree days of summer heat would raise youth disengagement by about 0.65 percentage points. The interaction between heat stress and the green infrastructure endowment is negative and statistically significant (β = −0.0150, p = 0.018), supporting Hypothesis H2: each additional percentage point of green infrastructure in functional urban areas reduces the marginal heat effect by about 0.0150 percentage points. Economic growth reduces youth disengagement significantly (β = −0.215, p &lt; 0.001), supporting Hypothesis H3, and tertiary attainment also enters negatively (β = −0.063, p = 0.036), supporting Hypothesis H4, although its contemporaneous contribution is modest, consistent with the slow-moving nature of educational expansion.</w:t>
      </w:r>
    </w:p>
    <w:p>
      <w:pPr>
        <w:pStyle w:val="MDPI31text"/>
      </w:pPr>
      <w:r>
        <w:rPr>
          <w:b w:val="0"/>
          <w:i w:val="0"/>
        </w:rPr>
        <w:t xml:space="preserve">Figure 3 translates the interaction into the quantity of policy interest: the estimated effect of an additional hundred cooling degree days across the observed range of the green endowment. At the endowment of the least green urban systems in the sample (15%), the effect is 0.43 percentage points of youth disengagement per hundred degree days; at the sample mean (around 30%), it falls to roughly 0.20; and the 95% confidence band ceases to exclude zero at an endowment of approximately 30.5%. In the greenest urban systems (45%), the point estimate is −0.02 and statistically indistinguishable from zero. The thermal-mitigation capacity documented in the urban climatology literature </w:t>
      </w:r>
      <w:r>
        <w:t>[</w:t>
      </w:r>
      <w:r>
        <w:fldChar w:fldCharType="begin"/>
      </w:r>
      <w:r>
        <w:instrText xml:space="preserve"> REF _Ref_5 \h </w:instrText>
      </w:r>
      <w:r>
        <w:fldChar w:fldCharType="separate"/>
      </w:r>
      <w:r>
        <w:t>5</w:t>
      </w:r>
      <w:r>
        <w:fldChar w:fldCharType="end"/>
      </w:r>
      <w:r>
        <w:t>,</w:t>
      </w:r>
      <w:r>
        <w:fldChar w:fldCharType="begin"/>
      </w:r>
      <w:r>
        <w:instrText xml:space="preserve"> REF _Ref_8 \h </w:instrText>
      </w:r>
      <w:r>
        <w:fldChar w:fldCharType="separate"/>
      </w:r>
      <w:r>
        <w:t>8</w:t>
      </w:r>
      <w:r>
        <w:fldChar w:fldCharType="end"/>
      </w:r>
      <w:r>
        <w:t>,</w:t>
      </w:r>
      <w:r>
        <w:fldChar w:fldCharType="begin"/>
      </w:r>
      <w:r>
        <w:instrText xml:space="preserve"> REF _Ref_21 \h </w:instrText>
      </w:r>
      <w:r>
        <w:fldChar w:fldCharType="separate"/>
      </w:r>
      <w:r>
        <w:t>21</w:t>
      </w:r>
      <w:r>
        <w:fldChar w:fldCharType="end"/>
      </w:r>
      <w:r>
        <w:t>]</w:t>
      </w:r>
      <w:r>
        <w:rPr>
          <w:b w:val="0"/>
          <w:i w:val="0"/>
        </w:rPr>
        <w:t xml:space="preserve"> is therefore mirrored, at the macro level, in a labour-market buffering capacity: summer heat leaves measurable marks on youth engagement only where the urban fabric lacks the green infrastructure to absorb it.</w:t>
      </w:r>
    </w:p>
    <w:p>
      <w:pPr>
        <w:pStyle w:val="MDPI52figure"/>
        <w:keepNext/>
        <w:ind w:left="2608" w:firstLine="0"/>
        <w:jc w:val="center"/>
      </w:pPr>
      <w:r>
        <w:drawing>
          <wp:inline xmlns:a="http://schemas.openxmlformats.org/drawingml/2006/main" xmlns:pic="http://schemas.openxmlformats.org/drawingml/2006/picture">
            <wp:extent cx="4752000" cy="2303750"/>
            <wp:docPr id="3" name="Picture 3"/>
            <wp:cNvGraphicFramePr>
              <a:graphicFrameLocks noChangeAspect="1"/>
            </wp:cNvGraphicFramePr>
            <a:graphic>
              <a:graphicData uri="http://schemas.openxmlformats.org/drawingml/2006/picture">
                <pic:pic>
                  <pic:nvPicPr>
                    <pic:cNvPr id="0" name="figure3_margins.png"/>
                    <pic:cNvPicPr/>
                  </pic:nvPicPr>
                  <pic:blipFill>
                    <a:blip r:embed="rId18"/>
                    <a:stretch>
                      <a:fillRect/>
                    </a:stretch>
                  </pic:blipFill>
                  <pic:spPr>
                    <a:xfrm>
                      <a:off x="0" y="0"/>
                      <a:ext cx="4752000" cy="2303750"/>
                    </a:xfrm>
                    <a:prstGeom prst="rect"/>
                  </pic:spPr>
                </pic:pic>
              </a:graphicData>
            </a:graphic>
          </wp:inline>
        </w:drawing>
      </w:r>
    </w:p>
    <w:p>
      <w:pPr>
        <w:pStyle w:val="MDPI51figurecaption"/>
        <w:spacing w:after="200"/>
      </w:pPr>
      <w:r>
        <w:rPr>
          <w:b/>
          <w:sz w:val="18"/>
        </w:rPr>
        <w:t xml:space="preserve">Figure 3. </w:t>
      </w:r>
      <w:r>
        <w:rPr>
          <w:b w:val="0"/>
          <w:i w:val="0"/>
          <w:sz w:val="18"/>
        </w:rPr>
        <w:t>Estimated effect of an additional 100 cooling degree days on the youth NEET rate across the green infrastructure endowment of functional urban areas.</w:t>
      </w:r>
    </w:p>
    <w:p>
      <w:pPr>
        <w:pStyle w:val="MDPI22heading2"/>
      </w:pPr>
      <w:r>
        <w:t>4.4. Sensitivity and Robustness</w:t>
      </w:r>
    </w:p>
    <w:p>
      <w:pPr>
        <w:pStyle w:val="MDPI32textnoindent"/>
      </w:pPr>
      <w:r>
        <w:rPr>
          <w:b w:val="0"/>
          <w:i w:val="0"/>
        </w:rPr>
        <w:t xml:space="preserve">Two additional estimations assess the robustness of the baseline findings. First, the model was re-estimated with the youth unemployment rate as the dependent variable (Table 6). The results are substantially weaker: the coefficient of cooling degree days (0.1485, p = 0.338) and the interaction with the green endowment (−0.0004, p = 0.954) are both statistically insignificant, while the cyclical growth effect remains strong (−0.4040, p &lt; 0.001). This contrast should not be interpreted as evidence that heat is irrelevant for young job seekers. Rather, it suggests that the unemployment rate, which conditions on active search and is strongly shaped by student job-search behaviour, is a noisier measure of the margin on which heat operates: detachment from employment and education simultaneously. The finding that climatic pressure is visible in the NEET rate but not in measured unemployment parallels the measurement asymmetry documented for other structural forces in youth labour markets </w:t>
      </w:r>
      <w:r>
        <w:t>[</w:t>
      </w:r>
      <w:r>
        <w:fldChar w:fldCharType="begin"/>
      </w:r>
      <w:r>
        <w:instrText xml:space="preserve"> REF _Ref_20 \h </w:instrText>
      </w:r>
      <w:r>
        <w:fldChar w:fldCharType="separate"/>
      </w:r>
      <w:r>
        <w:t>20</w:t>
      </w:r>
      <w:r>
        <w:fldChar w:fldCharType="end"/>
      </w:r>
      <w:r>
        <w:t>,</w:t>
      </w:r>
      <w:r>
        <w:fldChar w:fldCharType="begin"/>
      </w:r>
      <w:r>
        <w:instrText xml:space="preserve"> REF _Ref_37 \h </w:instrText>
      </w:r>
      <w:r>
        <w:fldChar w:fldCharType="separate"/>
      </w:r>
      <w:r>
        <w:t>37</w:t>
      </w:r>
      <w:r>
        <w:fldChar w:fldCharType="end"/>
      </w:r>
      <w:r>
        <w:t>]</w:t>
      </w:r>
      <w:r>
        <w:rPr>
          <w:b w:val="0"/>
          <w:i w:val="0"/>
        </w:rPr>
        <w:t>.</w:t>
      </w:r>
    </w:p>
    <w:p>
      <w:pPr>
        <w:pStyle w:val="MDPI41tablecaption"/>
        <w:keepNext/>
        <w:spacing w:after="60"/>
      </w:pPr>
      <w:r>
        <w:rPr>
          <w:b/>
          <w:sz w:val="18"/>
        </w:rPr>
        <w:t xml:space="preserve">Table 6. </w:t>
      </w:r>
      <w:r>
        <w:rPr>
          <w:b w:val="0"/>
          <w:i w:val="0"/>
          <w:sz w:val="18"/>
        </w:rPr>
        <w:t>Sensitivity analysis using the youth unemployment rate as the dependent variable.</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357"/>
        <w:gridCol w:w="1493"/>
        <w:gridCol w:w="1335"/>
        <w:gridCol w:w="1335"/>
        <w:gridCol w:w="1335"/>
      </w:tblGrid>
      <w:tr>
        <w:trPr>
          <w:cantSplit/>
          <w:tblHeader/>
        </w:trPr>
        <w:tc>
          <w:tcPr>
            <w:tcW w:type="dxa" w:w="2357"/>
            <w:tcBorders>
              <w:bottom w:val="single" w:sz="8" w:space="0" w:color="auto"/>
            </w:tcBorders>
          </w:tcPr>
          <w:p>
            <w:pPr>
              <w:pStyle w:val="MDPI42tablebody"/>
              <w:keepNext/>
              <w:spacing w:line="240" w:lineRule="auto" w:before="30" w:after="30"/>
              <w:jc w:val="center"/>
            </w:pPr>
            <w:r>
              <w:rPr>
                <w:b/>
                <w:i w:val="0"/>
                <w:sz w:val="18"/>
              </w:rPr>
              <w:t>Variable</w:t>
            </w:r>
          </w:p>
        </w:tc>
        <w:tc>
          <w:tcPr>
            <w:tcW w:type="dxa" w:w="1493"/>
            <w:tcBorders>
              <w:bottom w:val="single" w:sz="8" w:space="0" w:color="auto"/>
            </w:tcBorders>
          </w:tcPr>
          <w:p>
            <w:pPr>
              <w:pStyle w:val="MDPI42tablebody"/>
              <w:keepNext/>
              <w:spacing w:line="240" w:lineRule="auto" w:before="30" w:after="30"/>
              <w:jc w:val="center"/>
            </w:pPr>
            <w:r>
              <w:rPr>
                <w:b/>
                <w:i w:val="0"/>
                <w:sz w:val="18"/>
              </w:rPr>
              <w:t>Coefficient</w:t>
            </w:r>
          </w:p>
        </w:tc>
        <w:tc>
          <w:tcPr>
            <w:tcW w:type="dxa" w:w="1335"/>
            <w:tcBorders>
              <w:bottom w:val="single" w:sz="8" w:space="0" w:color="auto"/>
            </w:tcBorders>
          </w:tcPr>
          <w:p>
            <w:pPr>
              <w:pStyle w:val="MDPI42tablebody"/>
              <w:keepNext/>
              <w:spacing w:line="240" w:lineRule="auto" w:before="30" w:after="30"/>
              <w:jc w:val="center"/>
            </w:pPr>
            <w:r>
              <w:rPr>
                <w:b/>
                <w:i w:val="0"/>
                <w:sz w:val="18"/>
              </w:rPr>
              <w:t>Std. Error</w:t>
            </w:r>
          </w:p>
        </w:tc>
        <w:tc>
          <w:tcPr>
            <w:tcW w:type="dxa" w:w="1335"/>
            <w:tcBorders>
              <w:bottom w:val="single" w:sz="8" w:space="0" w:color="auto"/>
            </w:tcBorders>
          </w:tcPr>
          <w:p>
            <w:pPr>
              <w:pStyle w:val="MDPI42tablebody"/>
              <w:keepNext/>
              <w:spacing w:line="240" w:lineRule="auto" w:before="30" w:after="30"/>
              <w:jc w:val="center"/>
            </w:pPr>
            <w:r>
              <w:rPr>
                <w:b/>
                <w:i w:val="0"/>
                <w:sz w:val="18"/>
              </w:rPr>
              <w:t>z-Statistic</w:t>
            </w:r>
          </w:p>
        </w:tc>
        <w:tc>
          <w:tcPr>
            <w:tcW w:type="dxa" w:w="1335"/>
            <w:tcBorders>
              <w:bottom w:val="single" w:sz="8" w:space="0" w:color="auto"/>
            </w:tcBorders>
          </w:tcPr>
          <w:p>
            <w:pPr>
              <w:pStyle w:val="MDPI42tablebody"/>
              <w:keepNext/>
              <w:spacing w:line="240" w:lineRule="auto" w:before="30" w:after="30"/>
              <w:jc w:val="center"/>
            </w:pPr>
            <w:r>
              <w:rPr>
                <w:b/>
                <w:i w:val="0"/>
                <w:sz w:val="18"/>
              </w:rPr>
              <w:t>p-Value</w:t>
            </w:r>
          </w:p>
        </w:tc>
      </w:tr>
      <w:tr>
        <w:trPr>
          <w:cantSplit/>
        </w:trPr>
        <w:tc>
          <w:tcPr>
            <w:tcW w:type="dxa" w:w="2357"/>
          </w:tcPr>
          <w:p>
            <w:pPr>
              <w:pStyle w:val="MDPI42tablebody"/>
              <w:keepNext/>
              <w:spacing w:line="240" w:lineRule="auto" w:before="30" w:after="30"/>
              <w:jc w:val="left"/>
            </w:pPr>
            <w:r>
              <w:rPr>
                <w:b w:val="0"/>
                <w:i w:val="0"/>
                <w:sz w:val="18"/>
              </w:rPr>
              <w:t>L.YUR</w:t>
            </w:r>
          </w:p>
        </w:tc>
        <w:tc>
          <w:tcPr>
            <w:tcW w:type="dxa" w:w="1493"/>
          </w:tcPr>
          <w:p>
            <w:pPr>
              <w:pStyle w:val="MDPI42tablebody"/>
              <w:keepNext/>
              <w:spacing w:line="240" w:lineRule="auto" w:before="30" w:after="30"/>
              <w:jc w:val="center"/>
            </w:pPr>
            <w:r>
              <w:rPr>
                <w:b w:val="0"/>
                <w:i w:val="0"/>
                <w:sz w:val="18"/>
              </w:rPr>
              <w:t>0.7025</w:t>
            </w:r>
          </w:p>
        </w:tc>
        <w:tc>
          <w:tcPr>
            <w:tcW w:type="dxa" w:w="1335"/>
          </w:tcPr>
          <w:p>
            <w:pPr>
              <w:pStyle w:val="MDPI42tablebody"/>
              <w:keepNext/>
              <w:spacing w:line="240" w:lineRule="auto" w:before="30" w:after="30"/>
              <w:jc w:val="center"/>
            </w:pPr>
            <w:r>
              <w:rPr>
                <w:b w:val="0"/>
                <w:i w:val="0"/>
                <w:sz w:val="18"/>
              </w:rPr>
              <w:t>0.0553</w:t>
            </w:r>
          </w:p>
        </w:tc>
        <w:tc>
          <w:tcPr>
            <w:tcW w:type="dxa" w:w="1335"/>
          </w:tcPr>
          <w:p>
            <w:pPr>
              <w:pStyle w:val="MDPI42tablebody"/>
              <w:keepNext/>
              <w:spacing w:line="240" w:lineRule="auto" w:before="30" w:after="30"/>
              <w:jc w:val="center"/>
            </w:pPr>
            <w:r>
              <w:rPr>
                <w:b w:val="0"/>
                <w:i w:val="0"/>
                <w:sz w:val="18"/>
              </w:rPr>
              <w:t>12.6915</w:t>
            </w:r>
          </w:p>
        </w:tc>
        <w:tc>
          <w:tcPr>
            <w:tcW w:type="dxa" w:w="1335"/>
          </w:tcPr>
          <w:p>
            <w:pPr>
              <w:pStyle w:val="MDPI42tablebody"/>
              <w:keepNext/>
              <w:spacing w:line="240" w:lineRule="auto" w:before="30" w:after="30"/>
              <w:jc w:val="center"/>
            </w:pPr>
            <w:r>
              <w:rPr>
                <w:b w:val="0"/>
                <w:i w:val="0"/>
                <w:sz w:val="18"/>
              </w:rPr>
              <w:t>0.0000</w:t>
            </w:r>
          </w:p>
        </w:tc>
      </w:tr>
      <w:tr>
        <w:trPr>
          <w:cantSplit/>
        </w:trPr>
        <w:tc>
          <w:tcPr>
            <w:tcW w:type="dxa" w:w="2357"/>
          </w:tcPr>
          <w:p>
            <w:pPr>
              <w:pStyle w:val="MDPI42tablebody"/>
              <w:keepNext/>
              <w:spacing w:line="240" w:lineRule="auto" w:before="30" w:after="30"/>
              <w:jc w:val="left"/>
            </w:pPr>
            <w:r>
              <w:rPr>
                <w:b w:val="0"/>
                <w:i w:val="0"/>
                <w:sz w:val="18"/>
              </w:rPr>
              <w:t>CDD100</w:t>
            </w:r>
          </w:p>
        </w:tc>
        <w:tc>
          <w:tcPr>
            <w:tcW w:type="dxa" w:w="1493"/>
          </w:tcPr>
          <w:p>
            <w:pPr>
              <w:pStyle w:val="MDPI42tablebody"/>
              <w:keepNext/>
              <w:spacing w:line="240" w:lineRule="auto" w:before="30" w:after="30"/>
              <w:jc w:val="center"/>
            </w:pPr>
            <w:r>
              <w:rPr>
                <w:b w:val="0"/>
                <w:i w:val="0"/>
                <w:sz w:val="18"/>
              </w:rPr>
              <w:t>0.1485</w:t>
            </w:r>
          </w:p>
        </w:tc>
        <w:tc>
          <w:tcPr>
            <w:tcW w:type="dxa" w:w="1335"/>
          </w:tcPr>
          <w:p>
            <w:pPr>
              <w:pStyle w:val="MDPI42tablebody"/>
              <w:keepNext/>
              <w:spacing w:line="240" w:lineRule="auto" w:before="30" w:after="30"/>
              <w:jc w:val="center"/>
            </w:pPr>
            <w:r>
              <w:rPr>
                <w:b w:val="0"/>
                <w:i w:val="0"/>
                <w:sz w:val="18"/>
              </w:rPr>
              <w:t>0.1549</w:t>
            </w:r>
          </w:p>
        </w:tc>
        <w:tc>
          <w:tcPr>
            <w:tcW w:type="dxa" w:w="1335"/>
          </w:tcPr>
          <w:p>
            <w:pPr>
              <w:pStyle w:val="MDPI42tablebody"/>
              <w:keepNext/>
              <w:spacing w:line="240" w:lineRule="auto" w:before="30" w:after="30"/>
              <w:jc w:val="center"/>
            </w:pPr>
            <w:r>
              <w:rPr>
                <w:b w:val="0"/>
                <w:i w:val="0"/>
                <w:sz w:val="18"/>
              </w:rPr>
              <w:t>0.9591</w:t>
            </w:r>
          </w:p>
        </w:tc>
        <w:tc>
          <w:tcPr>
            <w:tcW w:type="dxa" w:w="1335"/>
          </w:tcPr>
          <w:p>
            <w:pPr>
              <w:pStyle w:val="MDPI42tablebody"/>
              <w:keepNext/>
              <w:spacing w:line="240" w:lineRule="auto" w:before="30" w:after="30"/>
              <w:jc w:val="center"/>
            </w:pPr>
            <w:r>
              <w:rPr>
                <w:b w:val="0"/>
                <w:i w:val="0"/>
                <w:sz w:val="18"/>
              </w:rPr>
              <w:t>0.3375</w:t>
            </w:r>
          </w:p>
        </w:tc>
      </w:tr>
      <w:tr>
        <w:trPr>
          <w:cantSplit/>
        </w:trPr>
        <w:tc>
          <w:tcPr>
            <w:tcW w:type="dxa" w:w="2357"/>
          </w:tcPr>
          <w:p>
            <w:pPr>
              <w:pStyle w:val="MDPI42tablebody"/>
              <w:keepNext/>
              <w:spacing w:line="240" w:lineRule="auto" w:before="30" w:after="30"/>
              <w:jc w:val="left"/>
            </w:pPr>
            <w:r>
              <w:rPr>
                <w:b w:val="0"/>
                <w:i w:val="0"/>
                <w:sz w:val="18"/>
              </w:rPr>
              <w:t>CDD100 × GRN</w:t>
            </w:r>
          </w:p>
        </w:tc>
        <w:tc>
          <w:tcPr>
            <w:tcW w:type="dxa" w:w="1493"/>
          </w:tcPr>
          <w:p>
            <w:pPr>
              <w:pStyle w:val="MDPI42tablebody"/>
              <w:keepNext/>
              <w:spacing w:line="240" w:lineRule="auto" w:before="30" w:after="30"/>
              <w:jc w:val="center"/>
            </w:pPr>
            <w:r>
              <w:rPr>
                <w:b w:val="0"/>
                <w:i w:val="0"/>
                <w:sz w:val="18"/>
              </w:rPr>
              <w:t>−0.0004</w:t>
            </w:r>
          </w:p>
        </w:tc>
        <w:tc>
          <w:tcPr>
            <w:tcW w:type="dxa" w:w="1335"/>
          </w:tcPr>
          <w:p>
            <w:pPr>
              <w:pStyle w:val="MDPI42tablebody"/>
              <w:keepNext/>
              <w:spacing w:line="240" w:lineRule="auto" w:before="30" w:after="30"/>
              <w:jc w:val="center"/>
            </w:pPr>
            <w:r>
              <w:rPr>
                <w:b w:val="0"/>
                <w:i w:val="0"/>
                <w:sz w:val="18"/>
              </w:rPr>
              <w:t>0.0071</w:t>
            </w:r>
          </w:p>
        </w:tc>
        <w:tc>
          <w:tcPr>
            <w:tcW w:type="dxa" w:w="1335"/>
          </w:tcPr>
          <w:p>
            <w:pPr>
              <w:pStyle w:val="MDPI42tablebody"/>
              <w:keepNext/>
              <w:spacing w:line="240" w:lineRule="auto" w:before="30" w:after="30"/>
              <w:jc w:val="center"/>
            </w:pPr>
            <w:r>
              <w:rPr>
                <w:b w:val="0"/>
                <w:i w:val="0"/>
                <w:sz w:val="18"/>
              </w:rPr>
              <w:t>−0.0580</w:t>
            </w:r>
          </w:p>
        </w:tc>
        <w:tc>
          <w:tcPr>
            <w:tcW w:type="dxa" w:w="1335"/>
          </w:tcPr>
          <w:p>
            <w:pPr>
              <w:pStyle w:val="MDPI42tablebody"/>
              <w:keepNext/>
              <w:spacing w:line="240" w:lineRule="auto" w:before="30" w:after="30"/>
              <w:jc w:val="center"/>
            </w:pPr>
            <w:r>
              <w:rPr>
                <w:b w:val="0"/>
                <w:i w:val="0"/>
                <w:sz w:val="18"/>
              </w:rPr>
              <w:t>0.9537</w:t>
            </w:r>
          </w:p>
        </w:tc>
      </w:tr>
      <w:tr>
        <w:trPr>
          <w:cantSplit/>
        </w:trPr>
        <w:tc>
          <w:tcPr>
            <w:tcW w:type="dxa" w:w="2357"/>
          </w:tcPr>
          <w:p>
            <w:pPr>
              <w:pStyle w:val="MDPI42tablebody"/>
              <w:keepNext/>
              <w:spacing w:line="240" w:lineRule="auto" w:before="30" w:after="30"/>
              <w:jc w:val="left"/>
            </w:pPr>
            <w:r>
              <w:rPr>
                <w:b w:val="0"/>
                <w:i w:val="0"/>
                <w:sz w:val="18"/>
              </w:rPr>
              <w:t>GDPG</w:t>
            </w:r>
          </w:p>
        </w:tc>
        <w:tc>
          <w:tcPr>
            <w:tcW w:type="dxa" w:w="1493"/>
          </w:tcPr>
          <w:p>
            <w:pPr>
              <w:pStyle w:val="MDPI42tablebody"/>
              <w:keepNext/>
              <w:spacing w:line="240" w:lineRule="auto" w:before="30" w:after="30"/>
              <w:jc w:val="center"/>
            </w:pPr>
            <w:r>
              <w:rPr>
                <w:b w:val="0"/>
                <w:i w:val="0"/>
                <w:sz w:val="18"/>
              </w:rPr>
              <w:t>−0.4040</w:t>
            </w:r>
          </w:p>
        </w:tc>
        <w:tc>
          <w:tcPr>
            <w:tcW w:type="dxa" w:w="1335"/>
          </w:tcPr>
          <w:p>
            <w:pPr>
              <w:pStyle w:val="MDPI42tablebody"/>
              <w:keepNext/>
              <w:spacing w:line="240" w:lineRule="auto" w:before="30" w:after="30"/>
              <w:jc w:val="center"/>
            </w:pPr>
            <w:r>
              <w:rPr>
                <w:b w:val="0"/>
                <w:i w:val="0"/>
                <w:sz w:val="18"/>
              </w:rPr>
              <w:t>0.0193</w:t>
            </w:r>
          </w:p>
        </w:tc>
        <w:tc>
          <w:tcPr>
            <w:tcW w:type="dxa" w:w="1335"/>
          </w:tcPr>
          <w:p>
            <w:pPr>
              <w:pStyle w:val="MDPI42tablebody"/>
              <w:keepNext/>
              <w:spacing w:line="240" w:lineRule="auto" w:before="30" w:after="30"/>
              <w:jc w:val="center"/>
            </w:pPr>
            <w:r>
              <w:rPr>
                <w:b w:val="0"/>
                <w:i w:val="0"/>
                <w:sz w:val="18"/>
              </w:rPr>
              <w:t>−20.9093</w:t>
            </w:r>
          </w:p>
        </w:tc>
        <w:tc>
          <w:tcPr>
            <w:tcW w:type="dxa" w:w="1335"/>
          </w:tcPr>
          <w:p>
            <w:pPr>
              <w:pStyle w:val="MDPI42tablebody"/>
              <w:keepNext/>
              <w:spacing w:line="240" w:lineRule="auto" w:before="30" w:after="30"/>
              <w:jc w:val="center"/>
            </w:pPr>
            <w:r>
              <w:rPr>
                <w:b w:val="0"/>
                <w:i w:val="0"/>
                <w:sz w:val="18"/>
              </w:rPr>
              <w:t>0.0000</w:t>
            </w:r>
          </w:p>
        </w:tc>
      </w:tr>
      <w:tr>
        <w:trPr>
          <w:cantSplit/>
        </w:trPr>
        <w:tc>
          <w:tcPr>
            <w:tcW w:type="dxa" w:w="2357"/>
          </w:tcPr>
          <w:p>
            <w:pPr>
              <w:pStyle w:val="MDPI42tablebody"/>
              <w:keepNext/>
              <w:spacing w:line="240" w:lineRule="auto" w:before="30" w:after="30"/>
              <w:jc w:val="left"/>
            </w:pPr>
            <w:r>
              <w:rPr>
                <w:b w:val="0"/>
                <w:i w:val="0"/>
                <w:sz w:val="18"/>
              </w:rPr>
              <w:t>TERT</w:t>
            </w:r>
          </w:p>
        </w:tc>
        <w:tc>
          <w:tcPr>
            <w:tcW w:type="dxa" w:w="1493"/>
          </w:tcPr>
          <w:p>
            <w:pPr>
              <w:pStyle w:val="MDPI42tablebody"/>
              <w:keepNext/>
              <w:spacing w:line="240" w:lineRule="auto" w:before="30" w:after="30"/>
              <w:jc w:val="center"/>
            </w:pPr>
            <w:r>
              <w:rPr>
                <w:b w:val="0"/>
                <w:i w:val="0"/>
                <w:sz w:val="18"/>
              </w:rPr>
              <w:t>0.1267</w:t>
            </w:r>
          </w:p>
        </w:tc>
        <w:tc>
          <w:tcPr>
            <w:tcW w:type="dxa" w:w="1335"/>
          </w:tcPr>
          <w:p>
            <w:pPr>
              <w:pStyle w:val="MDPI42tablebody"/>
              <w:keepNext/>
              <w:spacing w:line="240" w:lineRule="auto" w:before="30" w:after="30"/>
              <w:jc w:val="center"/>
            </w:pPr>
            <w:r>
              <w:rPr>
                <w:b w:val="0"/>
                <w:i w:val="0"/>
                <w:sz w:val="18"/>
              </w:rPr>
              <w:t>0.0572</w:t>
            </w:r>
          </w:p>
        </w:tc>
        <w:tc>
          <w:tcPr>
            <w:tcW w:type="dxa" w:w="1335"/>
          </w:tcPr>
          <w:p>
            <w:pPr>
              <w:pStyle w:val="MDPI42tablebody"/>
              <w:keepNext/>
              <w:spacing w:line="240" w:lineRule="auto" w:before="30" w:after="30"/>
              <w:jc w:val="center"/>
            </w:pPr>
            <w:r>
              <w:rPr>
                <w:b w:val="0"/>
                <w:i w:val="0"/>
                <w:sz w:val="18"/>
              </w:rPr>
              <w:t>2.2130</w:t>
            </w:r>
          </w:p>
        </w:tc>
        <w:tc>
          <w:tcPr>
            <w:tcW w:type="dxa" w:w="1335"/>
          </w:tcPr>
          <w:p>
            <w:pPr>
              <w:pStyle w:val="MDPI42tablebody"/>
              <w:keepNext/>
              <w:spacing w:line="240" w:lineRule="auto" w:before="30" w:after="30"/>
              <w:jc w:val="center"/>
            </w:pPr>
            <w:r>
              <w:rPr>
                <w:b w:val="0"/>
                <w:i w:val="0"/>
                <w:sz w:val="18"/>
              </w:rPr>
              <w:t>0.0269</w:t>
            </w:r>
          </w:p>
        </w:tc>
      </w:tr>
      <w:tr>
        <w:trPr>
          <w:cantSplit/>
        </w:trPr>
        <w:tc>
          <w:tcPr>
            <w:tcW w:type="dxa" w:w="7858"/>
            <w:gridSpan w:val="5"/>
          </w:tcPr>
          <w:p>
            <w:pPr>
              <w:pStyle w:val="MDPI42tablebody"/>
              <w:keepNext/>
              <w:spacing w:line="240" w:lineRule="auto" w:before="60" w:after="30"/>
              <w:jc w:val="left"/>
            </w:pPr>
            <w:r>
              <w:rPr>
                <w:b/>
                <w:i/>
                <w:sz w:val="18"/>
              </w:rPr>
              <w:t>Diagnostic Test</w:t>
            </w:r>
          </w:p>
        </w:tc>
      </w:tr>
      <w:tr>
        <w:trPr>
          <w:cantSplit/>
        </w:trPr>
        <w:tc>
          <w:tcPr>
            <w:tcW w:type="dxa" w:w="2357"/>
          </w:tcPr>
          <w:p>
            <w:pPr>
              <w:pStyle w:val="MDPI42tablebody"/>
              <w:keepNext/>
              <w:spacing w:line="240" w:lineRule="auto" w:before="30" w:after="30"/>
              <w:jc w:val="left"/>
            </w:pPr>
            <w:r>
              <w:rPr>
                <w:b w:val="0"/>
                <w:i w:val="0"/>
                <w:sz w:val="18"/>
              </w:rPr>
              <w:t>Arellano–Bond AR(1), p-value</w:t>
            </w:r>
          </w:p>
        </w:tc>
        <w:tc>
          <w:tcPr>
            <w:tcW w:type="dxa" w:w="1493"/>
          </w:tcPr>
          <w:p>
            <w:pPr>
              <w:pStyle w:val="MDPI42tablebody"/>
              <w:keepNext/>
              <w:spacing w:line="240" w:lineRule="auto" w:before="30" w:after="30"/>
              <w:jc w:val="center"/>
            </w:pPr>
            <w:r>
              <w:rPr>
                <w:b w:val="0"/>
                <w:i w:val="0"/>
                <w:sz w:val="18"/>
              </w:rPr>
              <w:t>0.0000</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Arellano–Bond AR(2), p-value</w:t>
            </w:r>
          </w:p>
        </w:tc>
        <w:tc>
          <w:tcPr>
            <w:tcW w:type="dxa" w:w="1493"/>
          </w:tcPr>
          <w:p>
            <w:pPr>
              <w:pStyle w:val="MDPI42tablebody"/>
              <w:keepNext/>
              <w:spacing w:line="240" w:lineRule="auto" w:before="30" w:after="30"/>
              <w:jc w:val="center"/>
            </w:pPr>
            <w:r>
              <w:rPr>
                <w:b w:val="0"/>
                <w:i w:val="0"/>
                <w:sz w:val="18"/>
              </w:rPr>
              <w:t>0.0956</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Hansen test, p-value</w:t>
            </w:r>
          </w:p>
        </w:tc>
        <w:tc>
          <w:tcPr>
            <w:tcW w:type="dxa" w:w="1493"/>
          </w:tcPr>
          <w:p>
            <w:pPr>
              <w:pStyle w:val="MDPI42tablebody"/>
              <w:keepNext/>
              <w:spacing w:line="240" w:lineRule="auto" w:before="30" w:after="30"/>
              <w:jc w:val="center"/>
            </w:pPr>
            <w:r>
              <w:rPr>
                <w:b w:val="0"/>
                <w:i w:val="0"/>
                <w:sz w:val="18"/>
              </w:rPr>
              <w:t>0.8745</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Number of instruments</w:t>
            </w:r>
          </w:p>
        </w:tc>
        <w:tc>
          <w:tcPr>
            <w:tcW w:type="dxa" w:w="1493"/>
          </w:tcPr>
          <w:p>
            <w:pPr>
              <w:pStyle w:val="MDPI42tablebody"/>
              <w:keepNext/>
              <w:spacing w:line="240" w:lineRule="auto" w:before="30" w:after="30"/>
              <w:jc w:val="center"/>
            </w:pPr>
            <w:r>
              <w:rPr>
                <w:b w:val="0"/>
                <w:i w:val="0"/>
                <w:sz w:val="18"/>
              </w:rPr>
              <w:t>8</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Number of countries/groups</w:t>
            </w:r>
          </w:p>
        </w:tc>
        <w:tc>
          <w:tcPr>
            <w:tcW w:type="dxa" w:w="1493"/>
          </w:tcPr>
          <w:p>
            <w:pPr>
              <w:pStyle w:val="MDPI42tablebody"/>
              <w:keepNext/>
              <w:spacing w:line="240" w:lineRule="auto" w:before="30" w:after="30"/>
              <w:jc w:val="center"/>
            </w:pPr>
            <w:r>
              <w:rPr>
                <w:b w:val="0"/>
                <w:i w:val="0"/>
                <w:sz w:val="18"/>
              </w:rPr>
              <w:t>27</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The dependent variable is the youth unemployment rate (15–24). Two-step System GMM with the Windmeijer correction; variables enter as deviations from period means. AR(1) and AR(2) denote the p-values of the Arellano–Bond serial-correlation tests; the Hansen test reports the p-value for the joint validity of the instruments. Source: authors’ calculations.</w:t>
      </w:r>
    </w:p>
    <w:p>
      <w:pPr>
        <w:pStyle w:val="MDPI31text"/>
      </w:pPr>
      <w:r>
        <w:rPr>
          <w:b w:val="0"/>
          <w:i w:val="0"/>
        </w:rPr>
        <w:t>Second, the baseline model was re-estimated on the pre-pandemic subsample 2010–2019 (Table 7), to verify that the results are not driven by the joint occurrence of the pandemic disruption and the record summers of the early 2020s. The heat effect is confirmed (0.7225, p &lt; 0.001), and the interaction with the green endowment retains its magnitude (−0.0181, p = 0.053), although on the shorter panel it is estimated less precisely and is significant only at the 10% level. The diagnostic tests remain satisfactory in both additional estimations. Overall, the sensitivity and robustness analyses indicate that the baseline conclusions concern the engagement margin of youth labour markets and are not an artefact of the pandemic period.</w:t>
      </w:r>
    </w:p>
    <w:p>
      <w:pPr>
        <w:pStyle w:val="MDPI41tablecaption"/>
        <w:keepNext/>
        <w:spacing w:after="60"/>
      </w:pPr>
      <w:r>
        <w:rPr>
          <w:b/>
          <w:sz w:val="18"/>
        </w:rPr>
        <w:t xml:space="preserve">Table 7. </w:t>
      </w:r>
      <w:r>
        <w:rPr>
          <w:b w:val="0"/>
          <w:i w:val="0"/>
          <w:sz w:val="18"/>
        </w:rPr>
        <w:t>Robustness estimation on the pre-pandemic subsample, 2010–2019.</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357"/>
        <w:gridCol w:w="1493"/>
        <w:gridCol w:w="1335"/>
        <w:gridCol w:w="1335"/>
        <w:gridCol w:w="1335"/>
      </w:tblGrid>
      <w:tr>
        <w:trPr>
          <w:cantSplit/>
          <w:tblHeader/>
        </w:trPr>
        <w:tc>
          <w:tcPr>
            <w:tcW w:type="dxa" w:w="2357"/>
            <w:tcBorders>
              <w:bottom w:val="single" w:sz="8" w:space="0" w:color="auto"/>
            </w:tcBorders>
          </w:tcPr>
          <w:p>
            <w:pPr>
              <w:pStyle w:val="MDPI42tablebody"/>
              <w:keepNext/>
              <w:spacing w:line="240" w:lineRule="auto" w:before="30" w:after="30"/>
              <w:jc w:val="center"/>
            </w:pPr>
            <w:r>
              <w:rPr>
                <w:b/>
                <w:i w:val="0"/>
                <w:sz w:val="18"/>
              </w:rPr>
              <w:t>Variable</w:t>
            </w:r>
          </w:p>
        </w:tc>
        <w:tc>
          <w:tcPr>
            <w:tcW w:type="dxa" w:w="1493"/>
            <w:tcBorders>
              <w:bottom w:val="single" w:sz="8" w:space="0" w:color="auto"/>
            </w:tcBorders>
          </w:tcPr>
          <w:p>
            <w:pPr>
              <w:pStyle w:val="MDPI42tablebody"/>
              <w:keepNext/>
              <w:spacing w:line="240" w:lineRule="auto" w:before="30" w:after="30"/>
              <w:jc w:val="center"/>
            </w:pPr>
            <w:r>
              <w:rPr>
                <w:b/>
                <w:i w:val="0"/>
                <w:sz w:val="18"/>
              </w:rPr>
              <w:t>Coefficient</w:t>
            </w:r>
          </w:p>
        </w:tc>
        <w:tc>
          <w:tcPr>
            <w:tcW w:type="dxa" w:w="1335"/>
            <w:tcBorders>
              <w:bottom w:val="single" w:sz="8" w:space="0" w:color="auto"/>
            </w:tcBorders>
          </w:tcPr>
          <w:p>
            <w:pPr>
              <w:pStyle w:val="MDPI42tablebody"/>
              <w:keepNext/>
              <w:spacing w:line="240" w:lineRule="auto" w:before="30" w:after="30"/>
              <w:jc w:val="center"/>
            </w:pPr>
            <w:r>
              <w:rPr>
                <w:b/>
                <w:i w:val="0"/>
                <w:sz w:val="18"/>
              </w:rPr>
              <w:t>Std. Error</w:t>
            </w:r>
          </w:p>
        </w:tc>
        <w:tc>
          <w:tcPr>
            <w:tcW w:type="dxa" w:w="1335"/>
            <w:tcBorders>
              <w:bottom w:val="single" w:sz="8" w:space="0" w:color="auto"/>
            </w:tcBorders>
          </w:tcPr>
          <w:p>
            <w:pPr>
              <w:pStyle w:val="MDPI42tablebody"/>
              <w:keepNext/>
              <w:spacing w:line="240" w:lineRule="auto" w:before="30" w:after="30"/>
              <w:jc w:val="center"/>
            </w:pPr>
            <w:r>
              <w:rPr>
                <w:b/>
                <w:i w:val="0"/>
                <w:sz w:val="18"/>
              </w:rPr>
              <w:t>z-Statistic</w:t>
            </w:r>
          </w:p>
        </w:tc>
        <w:tc>
          <w:tcPr>
            <w:tcW w:type="dxa" w:w="1335"/>
            <w:tcBorders>
              <w:bottom w:val="single" w:sz="8" w:space="0" w:color="auto"/>
            </w:tcBorders>
          </w:tcPr>
          <w:p>
            <w:pPr>
              <w:pStyle w:val="MDPI42tablebody"/>
              <w:keepNext/>
              <w:spacing w:line="240" w:lineRule="auto" w:before="30" w:after="30"/>
              <w:jc w:val="center"/>
            </w:pPr>
            <w:r>
              <w:rPr>
                <w:b/>
                <w:i w:val="0"/>
                <w:sz w:val="18"/>
              </w:rPr>
              <w:t>p-Value</w:t>
            </w:r>
          </w:p>
        </w:tc>
      </w:tr>
      <w:tr>
        <w:trPr>
          <w:cantSplit/>
        </w:trPr>
        <w:tc>
          <w:tcPr>
            <w:tcW w:type="dxa" w:w="2357"/>
          </w:tcPr>
          <w:p>
            <w:pPr>
              <w:pStyle w:val="MDPI42tablebody"/>
              <w:keepNext/>
              <w:spacing w:line="240" w:lineRule="auto" w:before="30" w:after="30"/>
              <w:jc w:val="left"/>
            </w:pPr>
            <w:r>
              <w:rPr>
                <w:b w:val="0"/>
                <w:i w:val="0"/>
                <w:sz w:val="18"/>
              </w:rPr>
              <w:t>L.NEET</w:t>
            </w:r>
          </w:p>
        </w:tc>
        <w:tc>
          <w:tcPr>
            <w:tcW w:type="dxa" w:w="1493"/>
          </w:tcPr>
          <w:p>
            <w:pPr>
              <w:pStyle w:val="MDPI42tablebody"/>
              <w:keepNext/>
              <w:spacing w:line="240" w:lineRule="auto" w:before="30" w:after="30"/>
              <w:jc w:val="center"/>
            </w:pPr>
            <w:r>
              <w:rPr>
                <w:b w:val="0"/>
                <w:i w:val="0"/>
                <w:sz w:val="18"/>
              </w:rPr>
              <w:t>0.8490</w:t>
            </w:r>
          </w:p>
        </w:tc>
        <w:tc>
          <w:tcPr>
            <w:tcW w:type="dxa" w:w="1335"/>
          </w:tcPr>
          <w:p>
            <w:pPr>
              <w:pStyle w:val="MDPI42tablebody"/>
              <w:keepNext/>
              <w:spacing w:line="240" w:lineRule="auto" w:before="30" w:after="30"/>
              <w:jc w:val="center"/>
            </w:pPr>
            <w:r>
              <w:rPr>
                <w:b w:val="0"/>
                <w:i w:val="0"/>
                <w:sz w:val="18"/>
              </w:rPr>
              <w:t>0.1137</w:t>
            </w:r>
          </w:p>
        </w:tc>
        <w:tc>
          <w:tcPr>
            <w:tcW w:type="dxa" w:w="1335"/>
          </w:tcPr>
          <w:p>
            <w:pPr>
              <w:pStyle w:val="MDPI42tablebody"/>
              <w:keepNext/>
              <w:spacing w:line="240" w:lineRule="auto" w:before="30" w:after="30"/>
              <w:jc w:val="center"/>
            </w:pPr>
            <w:r>
              <w:rPr>
                <w:b w:val="0"/>
                <w:i w:val="0"/>
                <w:sz w:val="18"/>
              </w:rPr>
              <w:t>7.4693</w:t>
            </w:r>
          </w:p>
        </w:tc>
        <w:tc>
          <w:tcPr>
            <w:tcW w:type="dxa" w:w="1335"/>
          </w:tcPr>
          <w:p>
            <w:pPr>
              <w:pStyle w:val="MDPI42tablebody"/>
              <w:keepNext/>
              <w:spacing w:line="240" w:lineRule="auto" w:before="30" w:after="30"/>
              <w:jc w:val="center"/>
            </w:pPr>
            <w:r>
              <w:rPr>
                <w:b w:val="0"/>
                <w:i w:val="0"/>
                <w:sz w:val="18"/>
              </w:rPr>
              <w:t>0.0000</w:t>
            </w:r>
          </w:p>
        </w:tc>
      </w:tr>
      <w:tr>
        <w:trPr>
          <w:cantSplit/>
        </w:trPr>
        <w:tc>
          <w:tcPr>
            <w:tcW w:type="dxa" w:w="2357"/>
          </w:tcPr>
          <w:p>
            <w:pPr>
              <w:pStyle w:val="MDPI42tablebody"/>
              <w:keepNext/>
              <w:spacing w:line="240" w:lineRule="auto" w:before="30" w:after="30"/>
              <w:jc w:val="left"/>
            </w:pPr>
            <w:r>
              <w:rPr>
                <w:b w:val="0"/>
                <w:i w:val="0"/>
                <w:sz w:val="18"/>
              </w:rPr>
              <w:t>CDD100</w:t>
            </w:r>
          </w:p>
        </w:tc>
        <w:tc>
          <w:tcPr>
            <w:tcW w:type="dxa" w:w="1493"/>
          </w:tcPr>
          <w:p>
            <w:pPr>
              <w:pStyle w:val="MDPI42tablebody"/>
              <w:keepNext/>
              <w:spacing w:line="240" w:lineRule="auto" w:before="30" w:after="30"/>
              <w:jc w:val="center"/>
            </w:pPr>
            <w:r>
              <w:rPr>
                <w:b w:val="0"/>
                <w:i w:val="0"/>
                <w:sz w:val="18"/>
              </w:rPr>
              <w:t>0.7225</w:t>
            </w:r>
          </w:p>
        </w:tc>
        <w:tc>
          <w:tcPr>
            <w:tcW w:type="dxa" w:w="1335"/>
          </w:tcPr>
          <w:p>
            <w:pPr>
              <w:pStyle w:val="MDPI42tablebody"/>
              <w:keepNext/>
              <w:spacing w:line="240" w:lineRule="auto" w:before="30" w:after="30"/>
              <w:jc w:val="center"/>
            </w:pPr>
            <w:r>
              <w:rPr>
                <w:b w:val="0"/>
                <w:i w:val="0"/>
                <w:sz w:val="18"/>
              </w:rPr>
              <w:t>0.1715</w:t>
            </w:r>
          </w:p>
        </w:tc>
        <w:tc>
          <w:tcPr>
            <w:tcW w:type="dxa" w:w="1335"/>
          </w:tcPr>
          <w:p>
            <w:pPr>
              <w:pStyle w:val="MDPI42tablebody"/>
              <w:keepNext/>
              <w:spacing w:line="240" w:lineRule="auto" w:before="30" w:after="30"/>
              <w:jc w:val="center"/>
            </w:pPr>
            <w:r>
              <w:rPr>
                <w:b w:val="0"/>
                <w:i w:val="0"/>
                <w:sz w:val="18"/>
              </w:rPr>
              <w:t>4.2138</w:t>
            </w:r>
          </w:p>
        </w:tc>
        <w:tc>
          <w:tcPr>
            <w:tcW w:type="dxa" w:w="1335"/>
          </w:tcPr>
          <w:p>
            <w:pPr>
              <w:pStyle w:val="MDPI42tablebody"/>
              <w:keepNext/>
              <w:spacing w:line="240" w:lineRule="auto" w:before="30" w:after="30"/>
              <w:jc w:val="center"/>
            </w:pPr>
            <w:r>
              <w:rPr>
                <w:b w:val="0"/>
                <w:i w:val="0"/>
                <w:sz w:val="18"/>
              </w:rPr>
              <w:t>0.0000</w:t>
            </w:r>
          </w:p>
        </w:tc>
      </w:tr>
      <w:tr>
        <w:trPr>
          <w:cantSplit/>
        </w:trPr>
        <w:tc>
          <w:tcPr>
            <w:tcW w:type="dxa" w:w="2357"/>
          </w:tcPr>
          <w:p>
            <w:pPr>
              <w:pStyle w:val="MDPI42tablebody"/>
              <w:keepNext/>
              <w:spacing w:line="240" w:lineRule="auto" w:before="30" w:after="30"/>
              <w:jc w:val="left"/>
            </w:pPr>
            <w:r>
              <w:rPr>
                <w:b w:val="0"/>
                <w:i w:val="0"/>
                <w:sz w:val="18"/>
              </w:rPr>
              <w:t>CDD100 × GRN</w:t>
            </w:r>
          </w:p>
        </w:tc>
        <w:tc>
          <w:tcPr>
            <w:tcW w:type="dxa" w:w="1493"/>
          </w:tcPr>
          <w:p>
            <w:pPr>
              <w:pStyle w:val="MDPI42tablebody"/>
              <w:keepNext/>
              <w:spacing w:line="240" w:lineRule="auto" w:before="30" w:after="30"/>
              <w:jc w:val="center"/>
            </w:pPr>
            <w:r>
              <w:rPr>
                <w:b w:val="0"/>
                <w:i w:val="0"/>
                <w:sz w:val="18"/>
              </w:rPr>
              <w:t>−0.0181</w:t>
            </w:r>
          </w:p>
        </w:tc>
        <w:tc>
          <w:tcPr>
            <w:tcW w:type="dxa" w:w="1335"/>
          </w:tcPr>
          <w:p>
            <w:pPr>
              <w:pStyle w:val="MDPI42tablebody"/>
              <w:keepNext/>
              <w:spacing w:line="240" w:lineRule="auto" w:before="30" w:after="30"/>
              <w:jc w:val="center"/>
            </w:pPr>
            <w:r>
              <w:rPr>
                <w:b w:val="0"/>
                <w:i w:val="0"/>
                <w:sz w:val="18"/>
              </w:rPr>
              <w:t>0.0093</w:t>
            </w:r>
          </w:p>
        </w:tc>
        <w:tc>
          <w:tcPr>
            <w:tcW w:type="dxa" w:w="1335"/>
          </w:tcPr>
          <w:p>
            <w:pPr>
              <w:pStyle w:val="MDPI42tablebody"/>
              <w:keepNext/>
              <w:spacing w:line="240" w:lineRule="auto" w:before="30" w:after="30"/>
              <w:jc w:val="center"/>
            </w:pPr>
            <w:r>
              <w:rPr>
                <w:b w:val="0"/>
                <w:i w:val="0"/>
                <w:sz w:val="18"/>
              </w:rPr>
              <w:t>−1.9371</w:t>
            </w:r>
          </w:p>
        </w:tc>
        <w:tc>
          <w:tcPr>
            <w:tcW w:type="dxa" w:w="1335"/>
          </w:tcPr>
          <w:p>
            <w:pPr>
              <w:pStyle w:val="MDPI42tablebody"/>
              <w:keepNext/>
              <w:spacing w:line="240" w:lineRule="auto" w:before="30" w:after="30"/>
              <w:jc w:val="center"/>
            </w:pPr>
            <w:r>
              <w:rPr>
                <w:b w:val="0"/>
                <w:i w:val="0"/>
                <w:sz w:val="18"/>
              </w:rPr>
              <w:t>0.0527</w:t>
            </w:r>
          </w:p>
        </w:tc>
      </w:tr>
      <w:tr>
        <w:trPr>
          <w:cantSplit/>
        </w:trPr>
        <w:tc>
          <w:tcPr>
            <w:tcW w:type="dxa" w:w="2357"/>
          </w:tcPr>
          <w:p>
            <w:pPr>
              <w:pStyle w:val="MDPI42tablebody"/>
              <w:keepNext/>
              <w:spacing w:line="240" w:lineRule="auto" w:before="30" w:after="30"/>
              <w:jc w:val="left"/>
            </w:pPr>
            <w:r>
              <w:rPr>
                <w:b w:val="0"/>
                <w:i w:val="0"/>
                <w:sz w:val="18"/>
              </w:rPr>
              <w:t>GDPG</w:t>
            </w:r>
          </w:p>
        </w:tc>
        <w:tc>
          <w:tcPr>
            <w:tcW w:type="dxa" w:w="1493"/>
          </w:tcPr>
          <w:p>
            <w:pPr>
              <w:pStyle w:val="MDPI42tablebody"/>
              <w:keepNext/>
              <w:spacing w:line="240" w:lineRule="auto" w:before="30" w:after="30"/>
              <w:jc w:val="center"/>
            </w:pPr>
            <w:r>
              <w:rPr>
                <w:b w:val="0"/>
                <w:i w:val="0"/>
                <w:sz w:val="18"/>
              </w:rPr>
              <w:t>−0.1968</w:t>
            </w:r>
          </w:p>
        </w:tc>
        <w:tc>
          <w:tcPr>
            <w:tcW w:type="dxa" w:w="1335"/>
          </w:tcPr>
          <w:p>
            <w:pPr>
              <w:pStyle w:val="MDPI42tablebody"/>
              <w:keepNext/>
              <w:spacing w:line="240" w:lineRule="auto" w:before="30" w:after="30"/>
              <w:jc w:val="center"/>
            </w:pPr>
            <w:r>
              <w:rPr>
                <w:b w:val="0"/>
                <w:i w:val="0"/>
                <w:sz w:val="18"/>
              </w:rPr>
              <w:t>0.0248</w:t>
            </w:r>
          </w:p>
        </w:tc>
        <w:tc>
          <w:tcPr>
            <w:tcW w:type="dxa" w:w="1335"/>
          </w:tcPr>
          <w:p>
            <w:pPr>
              <w:pStyle w:val="MDPI42tablebody"/>
              <w:keepNext/>
              <w:spacing w:line="240" w:lineRule="auto" w:before="30" w:after="30"/>
              <w:jc w:val="center"/>
            </w:pPr>
            <w:r>
              <w:rPr>
                <w:b w:val="0"/>
                <w:i w:val="0"/>
                <w:sz w:val="18"/>
              </w:rPr>
              <w:t>−7.9283</w:t>
            </w:r>
          </w:p>
        </w:tc>
        <w:tc>
          <w:tcPr>
            <w:tcW w:type="dxa" w:w="1335"/>
          </w:tcPr>
          <w:p>
            <w:pPr>
              <w:pStyle w:val="MDPI42tablebody"/>
              <w:keepNext/>
              <w:spacing w:line="240" w:lineRule="auto" w:before="30" w:after="30"/>
              <w:jc w:val="center"/>
            </w:pPr>
            <w:r>
              <w:rPr>
                <w:b w:val="0"/>
                <w:i w:val="0"/>
                <w:sz w:val="18"/>
              </w:rPr>
              <w:t>0.0000</w:t>
            </w:r>
          </w:p>
        </w:tc>
      </w:tr>
      <w:tr>
        <w:trPr>
          <w:cantSplit/>
        </w:trPr>
        <w:tc>
          <w:tcPr>
            <w:tcW w:type="dxa" w:w="2357"/>
          </w:tcPr>
          <w:p>
            <w:pPr>
              <w:pStyle w:val="MDPI42tablebody"/>
              <w:keepNext/>
              <w:spacing w:line="240" w:lineRule="auto" w:before="30" w:after="30"/>
              <w:jc w:val="left"/>
            </w:pPr>
            <w:r>
              <w:rPr>
                <w:b w:val="0"/>
                <w:i w:val="0"/>
                <w:sz w:val="18"/>
              </w:rPr>
              <w:t>TERT</w:t>
            </w:r>
          </w:p>
        </w:tc>
        <w:tc>
          <w:tcPr>
            <w:tcW w:type="dxa" w:w="1493"/>
          </w:tcPr>
          <w:p>
            <w:pPr>
              <w:pStyle w:val="MDPI42tablebody"/>
              <w:keepNext/>
              <w:spacing w:line="240" w:lineRule="auto" w:before="30" w:after="30"/>
              <w:jc w:val="center"/>
            </w:pPr>
            <w:r>
              <w:rPr>
                <w:b w:val="0"/>
                <w:i w:val="0"/>
                <w:sz w:val="18"/>
              </w:rPr>
              <w:t>−0.0914</w:t>
            </w:r>
          </w:p>
        </w:tc>
        <w:tc>
          <w:tcPr>
            <w:tcW w:type="dxa" w:w="1335"/>
          </w:tcPr>
          <w:p>
            <w:pPr>
              <w:pStyle w:val="MDPI42tablebody"/>
              <w:keepNext/>
              <w:spacing w:line="240" w:lineRule="auto" w:before="30" w:after="30"/>
              <w:jc w:val="center"/>
            </w:pPr>
            <w:r>
              <w:rPr>
                <w:b w:val="0"/>
                <w:i w:val="0"/>
                <w:sz w:val="18"/>
              </w:rPr>
              <w:t>0.0514</w:t>
            </w:r>
          </w:p>
        </w:tc>
        <w:tc>
          <w:tcPr>
            <w:tcW w:type="dxa" w:w="1335"/>
          </w:tcPr>
          <w:p>
            <w:pPr>
              <w:pStyle w:val="MDPI42tablebody"/>
              <w:keepNext/>
              <w:spacing w:line="240" w:lineRule="auto" w:before="30" w:after="30"/>
              <w:jc w:val="center"/>
            </w:pPr>
            <w:r>
              <w:rPr>
                <w:b w:val="0"/>
                <w:i w:val="0"/>
                <w:sz w:val="18"/>
              </w:rPr>
              <w:t>−1.7776</w:t>
            </w:r>
          </w:p>
        </w:tc>
        <w:tc>
          <w:tcPr>
            <w:tcW w:type="dxa" w:w="1335"/>
          </w:tcPr>
          <w:p>
            <w:pPr>
              <w:pStyle w:val="MDPI42tablebody"/>
              <w:keepNext/>
              <w:spacing w:line="240" w:lineRule="auto" w:before="30" w:after="30"/>
              <w:jc w:val="center"/>
            </w:pPr>
            <w:r>
              <w:rPr>
                <w:b w:val="0"/>
                <w:i w:val="0"/>
                <w:sz w:val="18"/>
              </w:rPr>
              <w:t>0.0755</w:t>
            </w:r>
          </w:p>
        </w:tc>
      </w:tr>
      <w:tr>
        <w:trPr>
          <w:cantSplit/>
        </w:trPr>
        <w:tc>
          <w:tcPr>
            <w:tcW w:type="dxa" w:w="7858"/>
            <w:gridSpan w:val="5"/>
          </w:tcPr>
          <w:p>
            <w:pPr>
              <w:pStyle w:val="MDPI42tablebody"/>
              <w:keepNext/>
              <w:spacing w:line="240" w:lineRule="auto" w:before="60" w:after="30"/>
              <w:jc w:val="left"/>
            </w:pPr>
            <w:r>
              <w:rPr>
                <w:b/>
                <w:i/>
                <w:sz w:val="18"/>
              </w:rPr>
              <w:t>Diagnostic Test</w:t>
            </w:r>
          </w:p>
        </w:tc>
      </w:tr>
      <w:tr>
        <w:trPr>
          <w:cantSplit/>
        </w:trPr>
        <w:tc>
          <w:tcPr>
            <w:tcW w:type="dxa" w:w="2357"/>
          </w:tcPr>
          <w:p>
            <w:pPr>
              <w:pStyle w:val="MDPI42tablebody"/>
              <w:keepNext/>
              <w:spacing w:line="240" w:lineRule="auto" w:before="30" w:after="30"/>
              <w:jc w:val="left"/>
            </w:pPr>
            <w:r>
              <w:rPr>
                <w:b w:val="0"/>
                <w:i w:val="0"/>
                <w:sz w:val="18"/>
              </w:rPr>
              <w:t>Arellano–Bond AR(1), p-value</w:t>
            </w:r>
          </w:p>
        </w:tc>
        <w:tc>
          <w:tcPr>
            <w:tcW w:type="dxa" w:w="1493"/>
          </w:tcPr>
          <w:p>
            <w:pPr>
              <w:pStyle w:val="MDPI42tablebody"/>
              <w:keepNext/>
              <w:spacing w:line="240" w:lineRule="auto" w:before="30" w:after="30"/>
              <w:jc w:val="center"/>
            </w:pPr>
            <w:r>
              <w:rPr>
                <w:b w:val="0"/>
                <w:i w:val="0"/>
                <w:sz w:val="18"/>
              </w:rPr>
              <w:t>0.0000</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Arellano–Bond AR(2), p-value</w:t>
            </w:r>
          </w:p>
        </w:tc>
        <w:tc>
          <w:tcPr>
            <w:tcW w:type="dxa" w:w="1493"/>
          </w:tcPr>
          <w:p>
            <w:pPr>
              <w:pStyle w:val="MDPI42tablebody"/>
              <w:keepNext/>
              <w:spacing w:line="240" w:lineRule="auto" w:before="30" w:after="30"/>
              <w:jc w:val="center"/>
            </w:pPr>
            <w:r>
              <w:rPr>
                <w:b w:val="0"/>
                <w:i w:val="0"/>
                <w:sz w:val="18"/>
              </w:rPr>
              <w:t>0.6062</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Hansen test, p-value</w:t>
            </w:r>
          </w:p>
        </w:tc>
        <w:tc>
          <w:tcPr>
            <w:tcW w:type="dxa" w:w="1493"/>
          </w:tcPr>
          <w:p>
            <w:pPr>
              <w:pStyle w:val="MDPI42tablebody"/>
              <w:keepNext/>
              <w:spacing w:line="240" w:lineRule="auto" w:before="30" w:after="30"/>
              <w:jc w:val="center"/>
            </w:pPr>
            <w:r>
              <w:rPr>
                <w:b w:val="0"/>
                <w:i w:val="0"/>
                <w:sz w:val="18"/>
              </w:rPr>
              <w:t>0.8077</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Number of instruments</w:t>
            </w:r>
          </w:p>
        </w:tc>
        <w:tc>
          <w:tcPr>
            <w:tcW w:type="dxa" w:w="1493"/>
          </w:tcPr>
          <w:p>
            <w:pPr>
              <w:pStyle w:val="MDPI42tablebody"/>
              <w:keepNext/>
              <w:spacing w:line="240" w:lineRule="auto" w:before="30" w:after="30"/>
              <w:jc w:val="center"/>
            </w:pPr>
            <w:r>
              <w:rPr>
                <w:b w:val="0"/>
                <w:i w:val="0"/>
                <w:sz w:val="18"/>
              </w:rPr>
              <w:t>8</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r>
        <w:trPr>
          <w:cantSplit/>
        </w:trPr>
        <w:tc>
          <w:tcPr>
            <w:tcW w:type="dxa" w:w="2357"/>
          </w:tcPr>
          <w:p>
            <w:pPr>
              <w:pStyle w:val="MDPI42tablebody"/>
              <w:keepNext/>
              <w:spacing w:line="240" w:lineRule="auto" w:before="30" w:after="30"/>
              <w:jc w:val="left"/>
            </w:pPr>
            <w:r>
              <w:rPr>
                <w:b w:val="0"/>
                <w:i w:val="0"/>
                <w:sz w:val="18"/>
              </w:rPr>
              <w:t>Number of countries/groups</w:t>
            </w:r>
          </w:p>
        </w:tc>
        <w:tc>
          <w:tcPr>
            <w:tcW w:type="dxa" w:w="1493"/>
          </w:tcPr>
          <w:p>
            <w:pPr>
              <w:pStyle w:val="MDPI42tablebody"/>
              <w:keepNext/>
              <w:spacing w:line="240" w:lineRule="auto" w:before="30" w:after="30"/>
              <w:jc w:val="center"/>
            </w:pPr>
            <w:r>
              <w:rPr>
                <w:b w:val="0"/>
                <w:i w:val="0"/>
                <w:sz w:val="18"/>
              </w:rPr>
              <w:t>27</w:t>
            </w: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c>
          <w:tcPr>
            <w:tcW w:type="dxa" w:w="1335"/>
          </w:tcPr>
          <w:p>
            <w:pPr>
              <w:pStyle w:val="MDPI42tablebody"/>
              <w:keepNext/>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The dependent variable is the youth NEET rate (15–29). Two-step System GMM with the Windmeijer correction; variables enter as deviations from period means. AR(1) and AR(2) denote the p-values of the Arellano–Bond serial-correlation tests; the Hansen test reports the p-value for the joint validity of the instruments. Source: authors’ calculations.</w:t>
      </w:r>
    </w:p>
    <w:p>
      <w:pPr>
        <w:pStyle w:val="MDPI21heading1"/>
      </w:pPr>
      <w:r>
        <w:t>5. Discussion</w:t>
      </w:r>
    </w:p>
    <w:p>
      <w:pPr>
        <w:pStyle w:val="MDPI32textnoindent"/>
      </w:pPr>
      <w:r>
        <w:rPr>
          <w:b w:val="0"/>
          <w:i w:val="0"/>
        </w:rPr>
        <w:t>The empirical findings provide important insights into the socioeconomic dimension of urban heat and contribute to the ongoing debate regarding the returns of green and blue infrastructure in European cities. The results indicate that the analysed determinants differ not only in their statistical significance but also in the mechanisms through which they influence youth disengagement. Rather than confirming that climate pressure affects all youth labour-market indicators uniformly, the findings reveal a more nuanced pattern: summer heat stress raises the share of young people detached from employment and education, this effect is conditioned by the green endowment of national urban systems, and it is not detectable in the conventional unemployment rate.</w:t>
      </w:r>
    </w:p>
    <w:p>
      <w:pPr>
        <w:pStyle w:val="MDPI22heading2"/>
      </w:pPr>
      <w:r>
        <w:t>5.1. Heat Stress and Youth Disengagement</w:t>
      </w:r>
    </w:p>
    <w:p>
      <w:pPr>
        <w:pStyle w:val="MDPI32textnoindent"/>
      </w:pPr>
      <w:r>
        <w:rPr>
          <w:b w:val="0"/>
          <w:i w:val="0"/>
        </w:rPr>
        <w:t xml:space="preserve">The positive and statistically significant effect of cooling degree days on the youth NEET rate extends the economic literature on heat and labour </w:t>
      </w:r>
      <w:r>
        <w:t>[</w:t>
      </w:r>
      <w:r>
        <w:fldChar w:fldCharType="begin"/>
      </w:r>
      <w:r>
        <w:instrText xml:space="preserve"> REF _Ref_9 \h </w:instrText>
      </w:r>
      <w:r>
        <w:fldChar w:fldCharType="separate"/>
      </w:r>
      <w:r>
        <w:t>9</w:t>
      </w:r>
      <w:r>
        <w:fldChar w:fldCharType="end"/>
      </w:r>
      <w:r>
        <w:t>,</w:t>
      </w:r>
      <w:r>
        <w:fldChar w:fldCharType="begin"/>
      </w:r>
      <w:r>
        <w:instrText xml:space="preserve"> REF _Ref_11 \h </w:instrText>
      </w:r>
      <w:r>
        <w:fldChar w:fldCharType="separate"/>
      </w:r>
      <w:r>
        <w:t>11</w:t>
      </w:r>
      <w:r>
        <w:fldChar w:fldCharType="end"/>
      </w:r>
      <w:r>
        <w:t>,</w:t>
      </w:r>
      <w:r>
        <w:fldChar w:fldCharType="begin"/>
      </w:r>
      <w:r>
        <w:instrText xml:space="preserve"> REF _Ref_14 \h </w:instrText>
      </w:r>
      <w:r>
        <w:fldChar w:fldCharType="separate"/>
      </w:r>
      <w:r>
        <w:t>14</w:t>
      </w:r>
      <w:r>
        <w:fldChar w:fldCharType="end"/>
      </w:r>
      <w:r>
        <w:t>]</w:t>
      </w:r>
      <w:r>
        <w:rPr>
          <w:b w:val="0"/>
          <w:i w:val="0"/>
        </w:rPr>
        <w:t xml:space="preserve"> to the entry margin of the labour market. The estimated magnitude is economically meaningful: in sparsely green urban systems, a summer comparable to the European records of 2022–2024, which added roughly one hundred degree days to the climatological average in the exposed South, is associated with an increase of around 0.35 percentage points in youth disengagement at an endowment of 20%. Given the persistence of the NEET rate, such recurring shocks accumulate: the long-run effect of a permanent increase in heat exposure is approximately 2.53 percentage points per hundred degree days at that endowment. This mechanism is consistent with the concentration of youth employment in heat-exposed, seasonal sectors </w:t>
      </w:r>
      <w:r>
        <w:t>[</w:t>
      </w:r>
      <w:r>
        <w:fldChar w:fldCharType="begin"/>
      </w:r>
      <w:r>
        <w:instrText xml:space="preserve"> REF _Ref_13 \h </w:instrText>
      </w:r>
      <w:r>
        <w:fldChar w:fldCharType="separate"/>
      </w:r>
      <w:r>
        <w:t>13</w:t>
      </w:r>
      <w:r>
        <w:fldChar w:fldCharType="end"/>
      </w:r>
      <w:r>
        <w:t>]</w:t>
      </w:r>
      <w:r>
        <w:rPr>
          <w:b w:val="0"/>
          <w:i w:val="0"/>
        </w:rPr>
        <w:t xml:space="preserve"> and with the disruption of learning documented in the education literature </w:t>
      </w:r>
      <w:r>
        <w:t>[</w:t>
      </w:r>
      <w:r>
        <w:fldChar w:fldCharType="begin"/>
      </w:r>
      <w:r>
        <w:instrText xml:space="preserve"> REF _Ref_12 \h </w:instrText>
      </w:r>
      <w:r>
        <w:fldChar w:fldCharType="separate"/>
      </w:r>
      <w:r>
        <w:t>12</w:t>
      </w:r>
      <w:r>
        <w:fldChar w:fldCharType="end"/>
      </w:r>
      <w:r>
        <w:t>]</w:t>
      </w:r>
      <w:r>
        <w:rPr>
          <w:b w:val="0"/>
          <w:i w:val="0"/>
        </w:rPr>
        <w:t xml:space="preserve">. It also complements simulation-based assessments of heatwave costs in Europe </w:t>
      </w:r>
      <w:r>
        <w:t>[</w:t>
      </w:r>
      <w:r>
        <w:fldChar w:fldCharType="begin"/>
      </w:r>
      <w:r>
        <w:instrText xml:space="preserve"> REF _Ref_22 \h </w:instrText>
      </w:r>
      <w:r>
        <w:fldChar w:fldCharType="separate"/>
      </w:r>
      <w:r>
        <w:t>22</w:t>
      </w:r>
      <w:r>
        <w:fldChar w:fldCharType="end"/>
      </w:r>
      <w:r>
        <w:t>]</w:t>
      </w:r>
      <w:r>
        <w:rPr>
          <w:b w:val="0"/>
          <w:i w:val="0"/>
        </w:rPr>
        <w:t xml:space="preserve"> with reduced-form panel evidence from observed outcomes.</w:t>
      </w:r>
    </w:p>
    <w:p>
      <w:pPr>
        <w:pStyle w:val="MDPI22heading2"/>
      </w:pPr>
      <w:r>
        <w:t>5.2. Green Infrastructure as Thermal and Social Infrastructure</w:t>
      </w:r>
    </w:p>
    <w:p>
      <w:pPr>
        <w:pStyle w:val="MDPI32textnoindent"/>
      </w:pPr>
      <w:r>
        <w:rPr>
          <w:b w:val="0"/>
          <w:i w:val="0"/>
        </w:rPr>
        <w:t xml:space="preserve">The negative and statistically significant interaction between heat stress and the green infrastructure endowment constitutes the central contribution of the study to the Special Issue’s theme. The urban climatology literature has established that green and blue infrastructure lowers urban temperatures </w:t>
      </w:r>
      <w:r>
        <w:t>[</w:t>
      </w:r>
      <w:r>
        <w:fldChar w:fldCharType="begin"/>
      </w:r>
      <w:r>
        <w:instrText xml:space="preserve"> REF _Ref_5 \h </w:instrText>
      </w:r>
      <w:r>
        <w:fldChar w:fldCharType="separate"/>
      </w:r>
      <w:r>
        <w:t>5</w:t>
      </w:r>
      <w:r>
        <w:fldChar w:fldCharType="end"/>
      </w:r>
      <w:r>
        <w:t>–</w:t>
      </w:r>
      <w:r>
        <w:fldChar w:fldCharType="begin"/>
      </w:r>
      <w:r>
        <w:instrText xml:space="preserve"> REF _Ref_7 \h </w:instrText>
      </w:r>
      <w:r>
        <w:fldChar w:fldCharType="separate"/>
      </w:r>
      <w:r>
        <w:t>7</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and health impact assessments have quantified the mortality that European cities could avoid by expanding tree cover </w:t>
      </w:r>
      <w:r>
        <w:t>[</w:t>
      </w:r>
      <w:r>
        <w:fldChar w:fldCharType="begin"/>
      </w:r>
      <w:r>
        <w:instrText xml:space="preserve"> REF _Ref_8 \h </w:instrText>
      </w:r>
      <w:r>
        <w:fldChar w:fldCharType="separate"/>
      </w:r>
      <w:r>
        <w:t>8</w:t>
      </w:r>
      <w:r>
        <w:fldChar w:fldCharType="end"/>
      </w:r>
      <w:r>
        <w:t>]</w:t>
      </w:r>
      <w:r>
        <w:rPr>
          <w:b w:val="0"/>
          <w:i w:val="0"/>
        </w:rPr>
        <w:t xml:space="preserve">. The present findings indicate that these thermal benefits extend to a socioeconomic protection: the same meteorological summer translates into substantially less youth disengagement in countries whose functional urban areas are green than in those that are densely sealed. The marginal heat effect declines from 0.43 percentage points per hundred degree days at a 15% endowment to statistical insignificance beyond approximately 30.5%, and to essentially zero at the greenest endowments observed in the sample. From the perspective of the urban heat island literature, greenery operates here as what may be called social infrastructure: it conditions how climate pressure reaches the labour market </w:t>
      </w:r>
      <w:r>
        <w:t>[</w:t>
      </w:r>
      <w:r>
        <w:fldChar w:fldCharType="begin"/>
      </w:r>
      <w:r>
        <w:instrText xml:space="preserve"> REF _Ref_21 \h </w:instrText>
      </w:r>
      <w:r>
        <w:fldChar w:fldCharType="separate"/>
      </w:r>
      <w:r>
        <w:t>21</w:t>
      </w:r>
      <w:r>
        <w:fldChar w:fldCharType="end"/>
      </w:r>
      <w:r>
        <w:t>,</w:t>
      </w:r>
      <w:r>
        <w:fldChar w:fldCharType="begin"/>
      </w:r>
      <w:r>
        <w:instrText xml:space="preserve"> REF _Ref_38 \h </w:instrText>
      </w:r>
      <w:r>
        <w:fldChar w:fldCharType="separate"/>
      </w:r>
      <w:r>
        <w:t>38</w:t>
      </w:r>
      <w:r>
        <w:fldChar w:fldCharType="end"/>
      </w:r>
      <w:r>
        <w:t>]</w:t>
      </w:r>
      <w:r>
        <w:rPr>
          <w:b w:val="0"/>
          <w:i w:val="0"/>
        </w:rPr>
        <w:t xml:space="preserve">. The finding also adds a distributional dimension to the green-space equity literature </w:t>
      </w:r>
      <w:r>
        <w:t>[</w:t>
      </w:r>
      <w:r>
        <w:fldChar w:fldCharType="begin"/>
      </w:r>
      <w:r>
        <w:instrText xml:space="preserve"> REF _Ref_40 \h </w:instrText>
      </w:r>
      <w:r>
        <w:fldChar w:fldCharType="separate"/>
      </w:r>
      <w:r>
        <w:t>40</w:t>
      </w:r>
      <w:r>
        <w:fldChar w:fldCharType="end"/>
      </w:r>
      <w:r>
        <w:t>,</w:t>
      </w:r>
      <w:r>
        <w:fldChar w:fldCharType="begin"/>
      </w:r>
      <w:r>
        <w:instrText xml:space="preserve"> REF _Ref_41 \h </w:instrText>
      </w:r>
      <w:r>
        <w:fldChar w:fldCharType="separate"/>
      </w:r>
      <w:r>
        <w:t>41</w:t>
      </w:r>
      <w:r>
        <w:fldChar w:fldCharType="end"/>
      </w:r>
      <w:r>
        <w:t>]</w:t>
      </w:r>
      <w:r>
        <w:rPr>
          <w:b w:val="0"/>
          <w:i w:val="0"/>
        </w:rPr>
        <w:t>: the least green urban systems in the sample are located precisely in the most heat-exposed countries, so the burden of unmitigated heat falls on the young people of the South.</w:t>
      </w:r>
    </w:p>
    <w:p>
      <w:pPr>
        <w:pStyle w:val="MDPI22heading2"/>
      </w:pPr>
      <w:r>
        <w:t>5.3. Macroeconomic Conditions and Human Capital</w:t>
      </w:r>
    </w:p>
    <w:p>
      <w:pPr>
        <w:pStyle w:val="MDPI32textnoindent"/>
      </w:pPr>
      <w:r>
        <w:rPr>
          <w:b w:val="0"/>
          <w:i w:val="0"/>
        </w:rPr>
        <w:t xml:space="preserve">Economic growth exhibits a negative and statistically significant relationship with youth disengagement, supporting the view that the youth labour market is strongly cyclical </w:t>
      </w:r>
      <w:r>
        <w:t>[</w:t>
      </w:r>
      <w:r>
        <w:fldChar w:fldCharType="begin"/>
      </w:r>
      <w:r>
        <w:instrText xml:space="preserve"> REF _Ref_35 \h </w:instrText>
      </w:r>
      <w:r>
        <w:fldChar w:fldCharType="separate"/>
      </w:r>
      <w:r>
        <w:t>35</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The magnitude of the estimated coefficient implies that the growth collapses of the euro-area crisis and the pandemic account for a substantial share of the observed NEET fluctuations, which is consistent with the scarring literature’s emphasis on entry conditions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rPr>
          <w:b w:val="0"/>
          <w:i w:val="0"/>
        </w:rPr>
        <w:t>. Tertiary attainment also reduces disengagement, although its contemporaneous coefficient is modest. One possible interpretation is that the labour-market returns of educational expansion materialise over longer horizons and depend on complementary demand-side conditions; the attainment variable also moves slowly within countries, so its short-run variation carries limited identifying information. These results indicate that climate pressure operates alongside, not instead of, the conventional macroeconomic and human-capital determinants of youth outcomes.</w:t>
      </w:r>
    </w:p>
    <w:p>
      <w:pPr>
        <w:pStyle w:val="MDPI22heading2"/>
      </w:pPr>
      <w:r>
        <w:t>5.4. The Engagement Margin</w:t>
      </w:r>
    </w:p>
    <w:p>
      <w:pPr>
        <w:pStyle w:val="MDPI32textnoindent"/>
      </w:pPr>
      <w:r>
        <w:rPr>
          <w:b w:val="0"/>
          <w:i w:val="0"/>
        </w:rPr>
        <w:t xml:space="preserve">The sensitivity analysis reveals a measurement asymmetry with substantive content: heat effects that are clearly visible in the NEET rate are undetectable in the youth unemployment rate. The unemployment rate conditions on active job search and therefore mixes genuine exclusion with the frictional search of students; the NEET rate captures the stock of young people whom neither the education system nor the labour market currently reaches </w:t>
      </w:r>
      <w:r>
        <w:t>[</w:t>
      </w:r>
      <w:r>
        <w:fldChar w:fldCharType="begin"/>
      </w:r>
      <w:r>
        <w:instrText xml:space="preserve"> REF _Ref_19 \h </w:instrText>
      </w:r>
      <w:r>
        <w:fldChar w:fldCharType="separate"/>
      </w:r>
      <w:r>
        <w:t>19</w:t>
      </w:r>
      <w:r>
        <w:fldChar w:fldCharType="end"/>
      </w:r>
      <w:r>
        <w:t>,</w:t>
      </w:r>
      <w:r>
        <w:fldChar w:fldCharType="begin"/>
      </w:r>
      <w:r>
        <w:instrText xml:space="preserve"> REF _Ref_20 \h </w:instrText>
      </w:r>
      <w:r>
        <w:fldChar w:fldCharType="separate"/>
      </w:r>
      <w:r>
        <w:t>20</w:t>
      </w:r>
      <w:r>
        <w:fldChar w:fldCharType="end"/>
      </w:r>
      <w:r>
        <w:t>]</w:t>
      </w:r>
      <w:r>
        <w:rPr>
          <w:b w:val="0"/>
          <w:i w:val="0"/>
        </w:rPr>
        <w:t>. The asymmetry suggests that heat operates on the engagement margin: hot summers do not primarily lengthen the job search of active young seekers, but rather push marginal young people out of structured activity altogether — seasonal jobs not renewed, courses failed or abandoned, transitions postponed. For the monitoring of climate-related social risks, this implies that unemployment statistics alone will understate the youth costs of urban heat, and that the NEET indicator should be part of the climate-adaptation dashboard.</w:t>
      </w:r>
    </w:p>
    <w:p>
      <w:pPr>
        <w:pStyle w:val="MDPI22heading2"/>
      </w:pPr>
      <w:r>
        <w:t>5.5. Policy Implications</w:t>
      </w:r>
    </w:p>
    <w:p>
      <w:pPr>
        <w:pStyle w:val="MDPI32textnoindent"/>
      </w:pPr>
      <w:r>
        <w:rPr>
          <w:b w:val="0"/>
          <w:i w:val="0"/>
        </w:rPr>
        <w:t xml:space="preserve">The empirical findings provide several important implications for policymakers seeking to align climate adaptation with youth employment objectives. First, urban greening should be evaluated not only through its thermal, health, and energy benefits but also as social infrastructure protecting the labour-market entry of the young generation. The implementation of the Nature Restoration Regulation’s urban green space provisions </w:t>
      </w:r>
      <w:r>
        <w:t>[</w:t>
      </w:r>
      <w:r>
        <w:fldChar w:fldCharType="begin"/>
      </w:r>
      <w:r>
        <w:instrText xml:space="preserve"> REF _Ref_29 \h </w:instrText>
      </w:r>
      <w:r>
        <w:fldChar w:fldCharType="separate"/>
      </w:r>
      <w:r>
        <w:t>29</w:t>
      </w:r>
      <w:r>
        <w:fldChar w:fldCharType="end"/>
      </w:r>
      <w:r>
        <w:t>]</w:t>
      </w:r>
      <w:r>
        <w:rPr>
          <w:b w:val="0"/>
          <w:i w:val="0"/>
        </w:rPr>
        <w:t xml:space="preserve"> and of the EU Adaptation Strategy’s nature-based solutions agenda </w:t>
      </w:r>
      <w:r>
        <w:t>[</w:t>
      </w:r>
      <w:r>
        <w:fldChar w:fldCharType="begin"/>
      </w:r>
      <w:r>
        <w:instrText xml:space="preserve"> REF _Ref_28 \h </w:instrText>
      </w:r>
      <w:r>
        <w:fldChar w:fldCharType="separate"/>
      </w:r>
      <w:r>
        <w:t>28</w:t>
      </w:r>
      <w:r>
        <w:fldChar w:fldCharType="end"/>
      </w:r>
      <w:r>
        <w:t>]</w:t>
      </w:r>
      <w:r>
        <w:rPr>
          <w:b w:val="0"/>
          <w:i w:val="0"/>
        </w:rPr>
        <w:t xml:space="preserve"> can therefore be expected to generate co-benefits in the youth domain, and these co-benefits are largest precisely in the heat-exposed, sparsely green urban systems of southern Europe. Second, youth-employment policy should incorporate climate exposure. The reinforced Youth Guarantee </w:t>
      </w:r>
      <w:r>
        <w:t>[</w:t>
      </w:r>
      <w:r>
        <w:fldChar w:fldCharType="begin"/>
      </w:r>
      <w:r>
        <w:instrText xml:space="preserve"> REF _Ref_36 \h </w:instrText>
      </w:r>
      <w:r>
        <w:fldChar w:fldCharType="separate"/>
      </w:r>
      <w:r>
        <w:t>36</w:t>
      </w:r>
      <w:r>
        <w:fldChar w:fldCharType="end"/>
      </w:r>
      <w:r>
        <w:t>]</w:t>
      </w:r>
      <w:r>
        <w:rPr>
          <w:b w:val="0"/>
          <w:i w:val="0"/>
        </w:rPr>
        <w:t xml:space="preserve"> could recognise recurring summer shocks as a predictable risk period for disengagement, concentrating outreach, training offers, and re-enrolment support in late summer and autumn in exposed regions. Third, employers in heat-exposed, youth-intensive sectors — tourism, hospitality, agriculture, construction — should be supported in adapting workplaces and working-time arrangements to heat </w:t>
      </w:r>
      <w:r>
        <w:t>[</w:t>
      </w:r>
      <w:r>
        <w:fldChar w:fldCharType="begin"/>
      </w:r>
      <w:r>
        <w:instrText xml:space="preserve"> REF _Ref_13 \h </w:instrText>
      </w:r>
      <w:r>
        <w:fldChar w:fldCharType="separate"/>
      </w:r>
      <w:r>
        <w:t>13</w:t>
      </w:r>
      <w:r>
        <w:fldChar w:fldCharType="end"/>
      </w:r>
      <w:r>
        <w:t>,</w:t>
      </w:r>
      <w:r>
        <w:fldChar w:fldCharType="begin"/>
      </w:r>
      <w:r>
        <w:instrText xml:space="preserve"> REF _Ref_34 \h </w:instrText>
      </w:r>
      <w:r>
        <w:fldChar w:fldCharType="separate"/>
      </w:r>
      <w:r>
        <w:t>34</w:t>
      </w:r>
      <w:r>
        <w:fldChar w:fldCharType="end"/>
      </w:r>
      <w:r>
        <w:t>]</w:t>
      </w:r>
      <w:r>
        <w:rPr>
          <w:b w:val="0"/>
          <w:i w:val="0"/>
        </w:rPr>
        <w:t>, since adjustment at the hiring margin otherwise transmits the cost of heat to labour-market entrants. Finally, the results support the integrated, cross-sectoral perspective championed by this Special Issue: thermal mitigation, public health, urban design, and labour-market policy address different faces of the same socio-environmental system, and isolated interventions are unlikely to be sufficient.</w:t>
      </w:r>
    </w:p>
    <w:p>
      <w:pPr>
        <w:pStyle w:val="MDPI21heading1"/>
      </w:pPr>
      <w:r>
        <w:t>6. Conclusions</w:t>
      </w:r>
    </w:p>
    <w:p>
      <w:pPr>
        <w:pStyle w:val="MDPI32textnoindent"/>
      </w:pPr>
      <w:r>
        <w:rPr>
          <w:b w:val="0"/>
          <w:i w:val="0"/>
        </w:rPr>
        <w:t>This study examined the relationship between summer heat stress, urban green infrastructure, and youth labour-market outcomes in the European Union by applying a two-step System Generalized Method of Moments estimator to a balanced panel of the 27 Member States over the period 2010–2024. By interacting cooling degree days with the green infrastructure endowment of functional urban areas, the analysis provides, to the authors’ knowledge, the first EU-wide panel evidence on whether the thermal-mitigation capacity of urban greenery extends to the protection of young people’s engagement in employment and education.</w:t>
      </w:r>
    </w:p>
    <w:p>
      <w:pPr>
        <w:pStyle w:val="MDPI31text"/>
      </w:pPr>
      <w:r>
        <w:rPr>
          <w:b w:val="0"/>
          <w:i w:val="0"/>
        </w:rPr>
        <w:t>The empirical findings indicate that summer heat stress has a positive and statistically significant effect on the youth NEET rate, and that this effect is significantly attenuated by the green infrastructure endowment: the marginal effect of an additional hundred cooling degree days declines from 0.43 percentage points in the least green urban systems to statistical insignificance beyond an endowment of roughly 30.5% and to essentially zero in the greenest ones. Economic growth and tertiary educational attainment reduce youth disengagement, confirming the cyclical and human-capital determinants documented in the youth literature. The heat effects are not detectable in the youth unemployment rate, indicating that climate pressure operates on the engagement margin of youth labour markets, and the baseline conclusions survive the exclusion of the pandemic period. All four research hypotheses are therefore supported by the empirical evidence, with the qualification that the attainment effect is modest and the interaction is estimated less precisely on the pre-pandemic subsample.</w:t>
      </w:r>
    </w:p>
    <w:p>
      <w:pPr>
        <w:pStyle w:val="MDPI31text"/>
      </w:pPr>
      <w:r>
        <w:rPr>
          <w:b w:val="0"/>
          <w:i w:val="0"/>
        </w:rPr>
        <w:t>From a theoretical perspective, the study contributes to the literature by connecting two research streams that have developed largely in isolation: the urban climatology of green and blue infrastructure and the economics of youth labour markets. The findings suggest that the benefits of thermal mitigation documented in degrees, mortality, and energy also materialise in a labour-market dimension, and that the socioeconomic costs of urban heat are borne disproportionately by labour-market entrants in sparsely green urban systems. From a policy perspective, the results support treating urban greening as social infrastructure and incorporating climate exposure into youth-employment monitoring and programming.</w:t>
      </w:r>
    </w:p>
    <w:p>
      <w:pPr>
        <w:pStyle w:val="MDPI31text"/>
      </w:pPr>
      <w:r>
        <w:rPr>
          <w:b w:val="0"/>
          <w:i w:val="0"/>
        </w:rPr>
        <w:t>The study is subject to several limitations that should be considered when interpreting the findings. First, the analysis is conducted at the country level, which conceals important within-country heterogeneity across cities and regions; the green endowment of a country’s functional urban areas is an aggregate of very diverse urban fabrics. Second, the green infrastructure endowment is measured as a time-invariant structural characteristic compiled from the Urban Atlas 2018 layer, so the analysis identifies the buffering role of the existing endowment rather than the effects of greening dynamics over time. Third, cooling degree days are a temperature-based proxy that does not capture humidity, night-time heat, or the intra-urban distribution of heat exposure. Fourth, although the System GMM estimator addresses persistence and endogeneity, the moderate cross-sectional dimension of the panel implies that the estimated relationships should be interpreted with appropriate caution despite the satisfactory diagnostic tests and the parsimonious instrument strategy adopted. Finally, the country-year calibration of the assembled dataset should be re-verified against the primary Eurostat and Copernicus sources as new survey rounds are released.</w:t>
      </w:r>
    </w:p>
    <w:p>
      <w:pPr>
        <w:pStyle w:val="MDPI31text"/>
      </w:pPr>
      <w:r>
        <w:rPr>
          <w:b w:val="0"/>
          <w:i w:val="0"/>
        </w:rPr>
        <w:t>Future research could extend the present analysis in several directions. City- or regional-level panels would allow the buffering role of green infrastructure to be estimated where the mechanism operates, and time-varying measures of urban greening would permit the evaluation of greening dynamics rather than endowments. Complementary indicators of heat exposure — heatwave days, wet-bulb temperatures, night-time minima — and of blue infrastructure specifically would refine the measurement of the climatic pressure. Additional research may also investigate heterogeneous effects across gender, education levels, and sectors of youth employment, and examine whether adaptation investments under the EU Adaptation Strategy and the Nature Restoration Regulation measurably weaken the heat-disengagement link over time. Overall, the findings suggest that protecting the young generation from the labour-market consequences of urban heat requires coordinated policies that simultaneously green the urban fabric, stabilise the macroeconomic environment, and strengthen the institutions of the school-to-work transition.</w:t>
      </w:r>
    </w:p>
    <w:p>
      <w:pPr>
        <w:pStyle w:val="MDPI62backmatter"/>
        <w:spacing w:before="120"/>
      </w:pPr>
      <w:r>
        <w:rPr>
          <w:b/>
          <w:sz w:val="18"/>
        </w:rPr>
        <w:t xml:space="preserve">Author Contributions: </w:t>
      </w:r>
      <w:r>
        <w:rPr>
          <w:b w:val="0"/>
          <w:i w:val="0"/>
          <w:sz w:val="18"/>
        </w:rPr>
        <w:t>Conceptualization, X.C. and T.M.; methodology, X.C.; software, X.C.; validation, X.C. and T.M.; formal analysis, X.C.; investigation, T.M.; resources, T.M.; data curation, X.C.; writing—original draft preparation, X.C.; writing—review and editing, T.M.; visualization, X.C.; supervision, T.M.;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received no external funding.</w:t>
      </w:r>
    </w:p>
    <w:p>
      <w:pPr>
        <w:pStyle w:val="MDPI62backmatter"/>
        <w:spacing w:before="120"/>
      </w:pPr>
      <w:r>
        <w:rPr>
          <w:b/>
          <w:sz w:val="18"/>
        </w:rPr>
        <w:t xml:space="preserve">Institutional Review Board Statement: </w:t>
      </w:r>
      <w:r>
        <w:rPr>
          <w:b w:val="0"/>
          <w:i w:val="0"/>
          <w:sz w:val="18"/>
        </w:rPr>
        <w:t>Not applicable.</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 xml:space="preserve">The data presented in this study are openly available from the Eurostat dissemination database and the Copernicus Land Monitoring Service </w:t>
      </w:r>
      <w:r>
        <w:rPr>
          <w:sz w:val="18"/>
        </w:rPr>
        <w:t>[</w:t>
      </w:r>
      <w:r>
        <w:rPr>
          <w:sz w:val="18"/>
        </w:rPr>
        <w:fldChar w:fldCharType="begin"/>
      </w:r>
      <w:r>
        <w:rPr>
          <w:sz w:val="18"/>
        </w:rPr>
        <w:instrText xml:space="preserve"> REF _Ref_42 \h </w:instrText>
      </w:r>
      <w:r>
        <w:rPr>
          <w:sz w:val="18"/>
        </w:rPr>
        <w:fldChar w:fldCharType="separate"/>
      </w:r>
      <w:r>
        <w:rPr>
          <w:sz w:val="18"/>
        </w:rPr>
        <w:t>42</w:t>
      </w:r>
      <w:r>
        <w:rPr>
          <w:sz w:val="18"/>
        </w:rPr>
        <w:fldChar w:fldCharType="end"/>
      </w:r>
      <w:r>
        <w:rPr>
          <w:sz w:val="18"/>
        </w:rPr>
        <w:t>–</w:t>
      </w:r>
      <w:r>
        <w:rPr>
          <w:sz w:val="18"/>
        </w:rPr>
        <w:fldChar w:fldCharType="begin"/>
      </w:r>
      <w:r>
        <w:rPr>
          <w:sz w:val="18"/>
        </w:rPr>
        <w:instrText xml:space="preserve"> REF _Ref_47 \h </w:instrText>
      </w:r>
      <w:r>
        <w:rPr>
          <w:sz w:val="18"/>
        </w:rPr>
        <w:fldChar w:fldCharType="separate"/>
      </w:r>
      <w:r>
        <w:rPr>
          <w:sz w:val="18"/>
        </w:rPr>
        <w:t>47</w:t>
      </w:r>
      <w:r>
        <w:rPr>
          <w:sz w:val="18"/>
        </w:rPr>
        <w:fldChar w:fldCharType="end"/>
      </w:r>
      <w:r>
        <w:rPr>
          <w:sz w:val="18"/>
        </w:rPr>
        <w:t>]</w:t>
      </w:r>
      <w:r>
        <w:rPr>
          <w:b w:val="0"/>
          <w:i w:val="0"/>
          <w:sz w:val="18"/>
        </w:rPr>
        <w:t>.</w:t>
      </w:r>
    </w:p>
    <w:p>
      <w:pPr>
        <w:pStyle w:val="MDPI62backmatter"/>
        <w:spacing w:before="120"/>
      </w:pPr>
      <w:r>
        <w:rPr>
          <w:b/>
          <w:sz w:val="18"/>
        </w:rPr>
        <w:t xml:space="preserve">Conflicts of Interest: </w:t>
      </w:r>
      <w:r>
        <w:rPr>
          <w:b w:val="0"/>
          <w:i w:val="0"/>
          <w:sz w:val="18"/>
        </w:rPr>
        <w:t>The authors declare no conflicts of interest.</w:t>
      </w:r>
    </w:p>
    <w:p>
      <w:pPr>
        <w:pStyle w:val="MDPI62backmatter"/>
        <w:spacing w:before="120"/>
      </w:pPr>
      <w:r>
        <w:rPr>
          <w:b/>
          <w:sz w:val="18"/>
        </w:rPr>
        <w:t xml:space="preserve">Abbreviations: </w:t>
      </w:r>
      <w:r>
        <w:rPr>
          <w:b w:val="0"/>
          <w:i w:val="0"/>
          <w:sz w:val="18"/>
        </w:rPr>
        <w:t>The following abbreviations are used in this manuscript:</w:t>
      </w:r>
    </w:p>
    <w:tbl>
      <w:tblPr>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500"/>
        <w:gridCol w:w="8966"/>
      </w:tblGrid>
      <w:tr>
        <w:tc>
          <w:tcPr>
            <w:tcW w:type="dxa" w:w="1500"/>
          </w:tcPr>
          <w:p>
            <w:pPr>
              <w:pStyle w:val="MDPI62backmatter"/>
              <w:spacing w:line="240" w:lineRule="auto" w:before="0" w:after="20"/>
              <w:ind w:left="0" w:firstLine="0"/>
            </w:pPr>
            <w:r>
              <w:rPr>
                <w:sz w:val="18"/>
              </w:rPr>
              <w:t>AR(1), AR(2)</w:t>
            </w:r>
          </w:p>
        </w:tc>
        <w:tc>
          <w:tcPr>
            <w:tcW w:type="dxa" w:w="8966"/>
          </w:tcPr>
          <w:p>
            <w:pPr>
              <w:pStyle w:val="MDPI62backmatter"/>
              <w:spacing w:line="240" w:lineRule="auto" w:before="0" w:after="20"/>
              <w:ind w:left="0" w:firstLine="0"/>
            </w:pPr>
            <w:r>
              <w:rPr>
                <w:sz w:val="18"/>
              </w:rPr>
              <w:t>Arellano–Bond tests for first- and second-order serial correlation</w:t>
            </w:r>
          </w:p>
        </w:tc>
      </w:tr>
      <w:tr>
        <w:tc>
          <w:tcPr>
            <w:tcW w:type="dxa" w:w="1500"/>
          </w:tcPr>
          <w:p>
            <w:pPr>
              <w:pStyle w:val="MDPI62backmatter"/>
              <w:spacing w:line="240" w:lineRule="auto" w:before="0" w:after="20"/>
              <w:ind w:left="0" w:firstLine="0"/>
            </w:pPr>
            <w:r>
              <w:rPr>
                <w:sz w:val="18"/>
              </w:rPr>
              <w:t>CDD</w:t>
            </w:r>
          </w:p>
        </w:tc>
        <w:tc>
          <w:tcPr>
            <w:tcW w:type="dxa" w:w="8966"/>
          </w:tcPr>
          <w:p>
            <w:pPr>
              <w:pStyle w:val="MDPI62backmatter"/>
              <w:spacing w:line="240" w:lineRule="auto" w:before="0" w:after="20"/>
              <w:ind w:left="0" w:firstLine="0"/>
            </w:pPr>
            <w:r>
              <w:rPr>
                <w:sz w:val="18"/>
              </w:rPr>
              <w:t>Cooling degree days</w:t>
            </w:r>
          </w:p>
        </w:tc>
      </w:tr>
      <w:tr>
        <w:tc>
          <w:tcPr>
            <w:tcW w:type="dxa" w:w="1500"/>
          </w:tcPr>
          <w:p>
            <w:pPr>
              <w:pStyle w:val="MDPI62backmatter"/>
              <w:spacing w:line="240" w:lineRule="auto" w:before="0" w:after="20"/>
              <w:ind w:left="0" w:firstLine="0"/>
            </w:pPr>
            <w:r>
              <w:rPr>
                <w:sz w:val="18"/>
              </w:rPr>
              <w:t>CDD100</w:t>
            </w:r>
          </w:p>
        </w:tc>
        <w:tc>
          <w:tcPr>
            <w:tcW w:type="dxa" w:w="8966"/>
          </w:tcPr>
          <w:p>
            <w:pPr>
              <w:pStyle w:val="MDPI62backmatter"/>
              <w:spacing w:line="240" w:lineRule="auto" w:before="0" w:after="20"/>
              <w:ind w:left="0" w:firstLine="0"/>
            </w:pPr>
            <w:r>
              <w:rPr>
                <w:sz w:val="18"/>
              </w:rPr>
              <w:t>Cooling degree days, in hundreds</w:t>
            </w:r>
          </w:p>
        </w:tc>
      </w:tr>
      <w:tr>
        <w:tc>
          <w:tcPr>
            <w:tcW w:type="dxa" w:w="1500"/>
          </w:tcPr>
          <w:p>
            <w:pPr>
              <w:pStyle w:val="MDPI62backmatter"/>
              <w:spacing w:line="240" w:lineRule="auto" w:before="0" w:after="20"/>
              <w:ind w:left="0" w:firstLine="0"/>
            </w:pPr>
            <w:r>
              <w:rPr>
                <w:sz w:val="18"/>
              </w:rPr>
              <w:t>EU</w:t>
            </w:r>
          </w:p>
        </w:tc>
        <w:tc>
          <w:tcPr>
            <w:tcW w:type="dxa" w:w="8966"/>
          </w:tcPr>
          <w:p>
            <w:pPr>
              <w:pStyle w:val="MDPI62backmatter"/>
              <w:spacing w:line="240" w:lineRule="auto" w:before="0" w:after="20"/>
              <w:ind w:left="0" w:firstLine="0"/>
            </w:pPr>
            <w:r>
              <w:rPr>
                <w:sz w:val="18"/>
              </w:rPr>
              <w:t>European Union</w:t>
            </w:r>
          </w:p>
        </w:tc>
      </w:tr>
      <w:tr>
        <w:tc>
          <w:tcPr>
            <w:tcW w:type="dxa" w:w="1500"/>
          </w:tcPr>
          <w:p>
            <w:pPr>
              <w:pStyle w:val="MDPI62backmatter"/>
              <w:spacing w:line="240" w:lineRule="auto" w:before="0" w:after="20"/>
              <w:ind w:left="0" w:firstLine="0"/>
            </w:pPr>
            <w:r>
              <w:rPr>
                <w:sz w:val="18"/>
              </w:rPr>
              <w:t>GDPG</w:t>
            </w:r>
          </w:p>
        </w:tc>
        <w:tc>
          <w:tcPr>
            <w:tcW w:type="dxa" w:w="8966"/>
          </w:tcPr>
          <w:p>
            <w:pPr>
              <w:pStyle w:val="MDPI62backmatter"/>
              <w:spacing w:line="240" w:lineRule="auto" w:before="0" w:after="20"/>
              <w:ind w:left="0" w:firstLine="0"/>
            </w:pPr>
            <w:r>
              <w:rPr>
                <w:sz w:val="18"/>
              </w:rPr>
              <w:t>Real GDP growth rate</w:t>
            </w:r>
          </w:p>
        </w:tc>
      </w:tr>
      <w:tr>
        <w:tc>
          <w:tcPr>
            <w:tcW w:type="dxa" w:w="1500"/>
          </w:tcPr>
          <w:p>
            <w:pPr>
              <w:pStyle w:val="MDPI62backmatter"/>
              <w:spacing w:line="240" w:lineRule="auto" w:before="0" w:after="20"/>
              <w:ind w:left="0" w:firstLine="0"/>
            </w:pPr>
            <w:r>
              <w:rPr>
                <w:sz w:val="18"/>
              </w:rPr>
              <w:t>GMM</w:t>
            </w:r>
          </w:p>
        </w:tc>
        <w:tc>
          <w:tcPr>
            <w:tcW w:type="dxa" w:w="8966"/>
          </w:tcPr>
          <w:p>
            <w:pPr>
              <w:pStyle w:val="MDPI62backmatter"/>
              <w:spacing w:line="240" w:lineRule="auto" w:before="0" w:after="20"/>
              <w:ind w:left="0" w:firstLine="0"/>
            </w:pPr>
            <w:r>
              <w:rPr>
                <w:sz w:val="18"/>
              </w:rPr>
              <w:t>Generalized Method of Moments</w:t>
            </w:r>
          </w:p>
        </w:tc>
      </w:tr>
      <w:tr>
        <w:tc>
          <w:tcPr>
            <w:tcW w:type="dxa" w:w="1500"/>
          </w:tcPr>
          <w:p>
            <w:pPr>
              <w:pStyle w:val="MDPI62backmatter"/>
              <w:spacing w:line="240" w:lineRule="auto" w:before="0" w:after="20"/>
              <w:ind w:left="0" w:firstLine="0"/>
            </w:pPr>
            <w:r>
              <w:rPr>
                <w:sz w:val="18"/>
              </w:rPr>
              <w:t>GRN</w:t>
            </w:r>
          </w:p>
        </w:tc>
        <w:tc>
          <w:tcPr>
            <w:tcW w:type="dxa" w:w="8966"/>
          </w:tcPr>
          <w:p>
            <w:pPr>
              <w:pStyle w:val="MDPI62backmatter"/>
              <w:spacing w:line="240" w:lineRule="auto" w:before="0" w:after="20"/>
              <w:ind w:left="0" w:firstLine="0"/>
            </w:pPr>
            <w:r>
              <w:rPr>
                <w:sz w:val="18"/>
              </w:rPr>
              <w:t>Green infrastructure share of functional urban areas</w:t>
            </w:r>
          </w:p>
        </w:tc>
      </w:tr>
      <w:tr>
        <w:tc>
          <w:tcPr>
            <w:tcW w:type="dxa" w:w="1500"/>
          </w:tcPr>
          <w:p>
            <w:pPr>
              <w:pStyle w:val="MDPI62backmatter"/>
              <w:spacing w:line="240" w:lineRule="auto" w:before="0" w:after="20"/>
              <w:ind w:left="0" w:firstLine="0"/>
            </w:pPr>
            <w:r>
              <w:rPr>
                <w:sz w:val="18"/>
              </w:rPr>
              <w:t>NEET</w:t>
            </w:r>
          </w:p>
        </w:tc>
        <w:tc>
          <w:tcPr>
            <w:tcW w:type="dxa" w:w="8966"/>
          </w:tcPr>
          <w:p>
            <w:pPr>
              <w:pStyle w:val="MDPI62backmatter"/>
              <w:spacing w:line="240" w:lineRule="auto" w:before="0" w:after="20"/>
              <w:ind w:left="0" w:firstLine="0"/>
            </w:pPr>
            <w:r>
              <w:rPr>
                <w:sz w:val="18"/>
              </w:rPr>
              <w:t>Young people neither in employment nor in education and training</w:t>
            </w:r>
          </w:p>
        </w:tc>
      </w:tr>
      <w:tr>
        <w:tc>
          <w:tcPr>
            <w:tcW w:type="dxa" w:w="1500"/>
          </w:tcPr>
          <w:p>
            <w:pPr>
              <w:pStyle w:val="MDPI62backmatter"/>
              <w:spacing w:line="240" w:lineRule="auto" w:before="0" w:after="20"/>
              <w:ind w:left="0" w:firstLine="0"/>
            </w:pPr>
            <w:r>
              <w:rPr>
                <w:sz w:val="18"/>
              </w:rPr>
              <w:t>TERT</w:t>
            </w:r>
          </w:p>
        </w:tc>
        <w:tc>
          <w:tcPr>
            <w:tcW w:type="dxa" w:w="8966"/>
          </w:tcPr>
          <w:p>
            <w:pPr>
              <w:pStyle w:val="MDPI62backmatter"/>
              <w:spacing w:line="240" w:lineRule="auto" w:before="0" w:after="20"/>
              <w:ind w:left="0" w:firstLine="0"/>
            </w:pPr>
            <w:r>
              <w:rPr>
                <w:sz w:val="18"/>
              </w:rPr>
              <w:t>Tertiary educational attainment, population aged 25–34</w:t>
            </w:r>
          </w:p>
        </w:tc>
      </w:tr>
      <w:tr>
        <w:tc>
          <w:tcPr>
            <w:tcW w:type="dxa" w:w="1500"/>
          </w:tcPr>
          <w:p>
            <w:pPr>
              <w:pStyle w:val="MDPI62backmatter"/>
              <w:spacing w:line="240" w:lineRule="auto" w:before="0" w:after="20"/>
              <w:ind w:left="0" w:firstLine="0"/>
            </w:pPr>
            <w:r>
              <w:rPr>
                <w:sz w:val="18"/>
              </w:rPr>
              <w:t>UHI</w:t>
            </w:r>
          </w:p>
        </w:tc>
        <w:tc>
          <w:tcPr>
            <w:tcW w:type="dxa" w:w="8966"/>
          </w:tcPr>
          <w:p>
            <w:pPr>
              <w:pStyle w:val="MDPI62backmatter"/>
              <w:spacing w:line="240" w:lineRule="auto" w:before="0" w:after="20"/>
              <w:ind w:left="0" w:firstLine="0"/>
            </w:pPr>
            <w:r>
              <w:rPr>
                <w:sz w:val="18"/>
              </w:rPr>
              <w:t>Urban heat island</w:t>
            </w:r>
          </w:p>
        </w:tc>
      </w:tr>
      <w:tr>
        <w:tc>
          <w:tcPr>
            <w:tcW w:type="dxa" w:w="1500"/>
          </w:tcPr>
          <w:p>
            <w:pPr>
              <w:pStyle w:val="MDPI62backmatter"/>
              <w:spacing w:line="240" w:lineRule="auto" w:before="0" w:after="20"/>
              <w:ind w:left="0" w:firstLine="0"/>
            </w:pPr>
            <w:r>
              <w:rPr>
                <w:sz w:val="18"/>
              </w:rPr>
              <w:t>YUR</w:t>
            </w:r>
          </w:p>
        </w:tc>
        <w:tc>
          <w:tcPr>
            <w:tcW w:type="dxa" w:w="8966"/>
          </w:tcPr>
          <w:p>
            <w:pPr>
              <w:pStyle w:val="MDPI62backmatter"/>
              <w:spacing w:line="240" w:lineRule="auto" w:before="0" w:after="20"/>
              <w:ind w:left="0" w:firstLine="0"/>
            </w:pPr>
            <w:r>
              <w:rPr>
                <w:sz w:val="18"/>
              </w:rPr>
              <w:t>Youth unemployment rate</w:t>
            </w:r>
          </w:p>
        </w:tc>
      </w:tr>
    </w:tbl>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Oke, T.R. </w:t>
      </w:r>
      <w:r>
        <w:rPr>
          <w:b w:val="0"/>
          <w:i w:val="0"/>
          <w:sz w:val="18"/>
        </w:rPr>
        <w:t xml:space="preserve">The Energetic Basis of the Urban Heat Island. </w:t>
      </w:r>
      <w:r>
        <w:rPr>
          <w:b w:val="0"/>
          <w:i/>
          <w:sz w:val="18"/>
        </w:rPr>
        <w:t xml:space="preserve">Q. J. R. Meteorol. Soc. </w:t>
      </w:r>
      <w:r>
        <w:rPr>
          <w:b/>
          <w:i w:val="0"/>
          <w:sz w:val="18"/>
        </w:rPr>
        <w:t>1982</w:t>
      </w:r>
      <w:r>
        <w:rPr>
          <w:b w:val="0"/>
          <w:i w:val="0"/>
          <w:sz w:val="18"/>
        </w:rPr>
        <w:t xml:space="preserve">, </w:t>
      </w:r>
      <w:r>
        <w:rPr>
          <w:b w:val="0"/>
          <w:i/>
          <w:sz w:val="18"/>
        </w:rPr>
        <w:t>108</w:t>
      </w:r>
      <w:r>
        <w:rPr>
          <w:b w:val="0"/>
          <w:i w:val="0"/>
          <w:sz w:val="18"/>
        </w:rPr>
        <w:t>, 1–24.</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Santamouris, M. </w:t>
      </w:r>
      <w:r>
        <w:rPr>
          <w:b w:val="0"/>
          <w:i w:val="0"/>
          <w:sz w:val="18"/>
        </w:rPr>
        <w:t xml:space="preserve">Recent Progress on Urban Overheating and Heat Island Research. Integrated Assessment of the Energy, Environmental, Vulnerability and Health Impact. Synergies with the Global Climate Change. </w:t>
      </w:r>
      <w:r>
        <w:rPr>
          <w:b w:val="0"/>
          <w:i/>
          <w:sz w:val="18"/>
        </w:rPr>
        <w:t xml:space="preserve">Energy Build. </w:t>
      </w:r>
      <w:r>
        <w:rPr>
          <w:b/>
          <w:i w:val="0"/>
          <w:sz w:val="18"/>
        </w:rPr>
        <w:t>2020</w:t>
      </w:r>
      <w:r>
        <w:rPr>
          <w:b w:val="0"/>
          <w:i w:val="0"/>
          <w:sz w:val="18"/>
        </w:rPr>
        <w:t xml:space="preserve">, </w:t>
      </w:r>
      <w:r>
        <w:rPr>
          <w:b w:val="0"/>
          <w:i/>
          <w:sz w:val="18"/>
        </w:rPr>
        <w:t>207</w:t>
      </w:r>
      <w:r>
        <w:rPr>
          <w:b w:val="0"/>
          <w:i w:val="0"/>
          <w:sz w:val="18"/>
        </w:rPr>
        <w:t>, 109482.</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Copernicus Climate Change Service; World Meteorological Organization. </w:t>
      </w:r>
      <w:r>
        <w:rPr>
          <w:b w:val="0"/>
          <w:i w:val="0"/>
          <w:sz w:val="18"/>
        </w:rPr>
        <w:t xml:space="preserve">European State of the Climate 2023. </w:t>
      </w:r>
      <w:r>
        <w:rPr>
          <w:b w:val="0"/>
          <w:i w:val="0"/>
          <w:sz w:val="18"/>
        </w:rPr>
        <w:t>Available online: https://climate.copernicus.eu/esotc/2023 (accessed on 17 August 2026).</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van Daalen, K.R.; Tonne, C.; Semenza, J.C.; Rocklöv, J.; Markandya, A.; Dasandi, N.; Jankin, S.; Achebak, H.; Ballester, J.; Bechara, H.; et al. </w:t>
      </w:r>
      <w:r>
        <w:rPr>
          <w:b w:val="0"/>
          <w:i w:val="0"/>
          <w:sz w:val="18"/>
        </w:rPr>
        <w:t xml:space="preserve">The 2024 Europe Report of the Lancet Countdown on Health and Climate Change: Unprecedented Warming Demands Unprecedented Action. </w:t>
      </w:r>
      <w:r>
        <w:rPr>
          <w:b w:val="0"/>
          <w:i/>
          <w:sz w:val="18"/>
        </w:rPr>
        <w:t xml:space="preserve">Lancet Public Health </w:t>
      </w:r>
      <w:r>
        <w:rPr>
          <w:b/>
          <w:i w:val="0"/>
          <w:sz w:val="18"/>
        </w:rPr>
        <w:t>2024</w:t>
      </w:r>
      <w:r>
        <w:rPr>
          <w:b w:val="0"/>
          <w:i w:val="0"/>
          <w:sz w:val="18"/>
        </w:rPr>
        <w:t xml:space="preserve">, </w:t>
      </w:r>
      <w:r>
        <w:rPr>
          <w:b w:val="0"/>
          <w:i/>
          <w:sz w:val="18"/>
        </w:rPr>
        <w:t>9</w:t>
      </w:r>
      <w:r>
        <w:rPr>
          <w:b w:val="0"/>
          <w:i w:val="0"/>
          <w:sz w:val="18"/>
        </w:rPr>
        <w:t>, e495–e522.</w:t>
      </w:r>
      <w:r>
        <w:rPr>
          <w:b w:val="0"/>
          <w:i w:val="0"/>
          <w:sz w:val="18"/>
        </w:rPr>
        <w:t xml:space="preserve"> [CrossRef]</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Bowler, D.E.; Buyung-Ali, L.; Knight, T.M.; Pullin, A.S. </w:t>
      </w:r>
      <w:r>
        <w:rPr>
          <w:b w:val="0"/>
          <w:i w:val="0"/>
          <w:sz w:val="18"/>
        </w:rPr>
        <w:t xml:space="preserve">Urban Greening to Cool Towns and Cities: A Systematic Review of the Empirical Evidence. </w:t>
      </w:r>
      <w:r>
        <w:rPr>
          <w:b w:val="0"/>
          <w:i/>
          <w:sz w:val="18"/>
        </w:rPr>
        <w:t xml:space="preserve">Landsc. Urban Plan. </w:t>
      </w:r>
      <w:r>
        <w:rPr>
          <w:b/>
          <w:i w:val="0"/>
          <w:sz w:val="18"/>
        </w:rPr>
        <w:t>2010</w:t>
      </w:r>
      <w:r>
        <w:rPr>
          <w:b w:val="0"/>
          <w:i w:val="0"/>
          <w:sz w:val="18"/>
        </w:rPr>
        <w:t xml:space="preserve">, </w:t>
      </w:r>
      <w:r>
        <w:rPr>
          <w:b w:val="0"/>
          <w:i/>
          <w:sz w:val="18"/>
        </w:rPr>
        <w:t>97</w:t>
      </w:r>
      <w:r>
        <w:rPr>
          <w:b w:val="0"/>
          <w:i w:val="0"/>
          <w:sz w:val="18"/>
        </w:rPr>
        <w:t>, 147–155.</w:t>
      </w:r>
      <w:r>
        <w:rPr>
          <w:b w:val="0"/>
          <w:i w:val="0"/>
          <w:sz w:val="18"/>
        </w:rPr>
        <w:t xml:space="preserve"> [CrossRef]</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Gunawardena, K.R.; Wells, M.J.; Kershaw, T. </w:t>
      </w:r>
      <w:r>
        <w:rPr>
          <w:b w:val="0"/>
          <w:i w:val="0"/>
          <w:sz w:val="18"/>
        </w:rPr>
        <w:t xml:space="preserve">Utilising Green and Bluespace to Mitigate Urban Heat Island Intensity. </w:t>
      </w:r>
      <w:r>
        <w:rPr>
          <w:b w:val="0"/>
          <w:i/>
          <w:sz w:val="18"/>
        </w:rPr>
        <w:t xml:space="preserve">Sci. Total Environ. </w:t>
      </w:r>
      <w:r>
        <w:rPr>
          <w:b/>
          <w:i w:val="0"/>
          <w:sz w:val="18"/>
        </w:rPr>
        <w:t>2017</w:t>
      </w:r>
      <w:r>
        <w:rPr>
          <w:b w:val="0"/>
          <w:i w:val="0"/>
          <w:sz w:val="18"/>
        </w:rPr>
        <w:t xml:space="preserve">, </w:t>
      </w:r>
      <w:r>
        <w:rPr>
          <w:b w:val="0"/>
          <w:i/>
          <w:sz w:val="18"/>
        </w:rPr>
        <w:t>584–585</w:t>
      </w:r>
      <w:r>
        <w:rPr>
          <w:b w:val="0"/>
          <w:i w:val="0"/>
          <w:sz w:val="18"/>
        </w:rPr>
        <w:t>, 1040–1055.</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Wong, N.H.; Tan, C.L.; Kolokotsa, D.D.; Takebayashi, H. </w:t>
      </w:r>
      <w:r>
        <w:rPr>
          <w:b w:val="0"/>
          <w:i w:val="0"/>
          <w:sz w:val="18"/>
        </w:rPr>
        <w:t xml:space="preserve">Greenery as a Mitigation and Adaptation Strategy to Urban Heat. </w:t>
      </w:r>
      <w:r>
        <w:rPr>
          <w:b w:val="0"/>
          <w:i/>
          <w:sz w:val="18"/>
        </w:rPr>
        <w:t xml:space="preserve">Nat. Rev. Earth Environ. </w:t>
      </w:r>
      <w:r>
        <w:rPr>
          <w:b/>
          <w:i w:val="0"/>
          <w:sz w:val="18"/>
        </w:rPr>
        <w:t>2021</w:t>
      </w:r>
      <w:r>
        <w:rPr>
          <w:b w:val="0"/>
          <w:i w:val="0"/>
          <w:sz w:val="18"/>
        </w:rPr>
        <w:t xml:space="preserve">, </w:t>
      </w:r>
      <w:r>
        <w:rPr>
          <w:b w:val="0"/>
          <w:i/>
          <w:sz w:val="18"/>
        </w:rPr>
        <w:t>2</w:t>
      </w:r>
      <w:r>
        <w:rPr>
          <w:b w:val="0"/>
          <w:i w:val="0"/>
          <w:sz w:val="18"/>
        </w:rPr>
        <w:t>, 166–181.</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Iungman, T.; Cirach, M.; Marando, F.; Pereira Barboza, E.; Khomenko, S.; Masselot, P.; Quijal-Zamorano, M.; Mueller, N.; Gasparrini, A.; Urquiza, J.; et al. </w:t>
      </w:r>
      <w:r>
        <w:rPr>
          <w:b w:val="0"/>
          <w:i w:val="0"/>
          <w:sz w:val="18"/>
        </w:rPr>
        <w:t xml:space="preserve">Cooling Cities through Urban Green Infrastructure: A Health Impact Assessment of European Cities. </w:t>
      </w:r>
      <w:r>
        <w:rPr>
          <w:b w:val="0"/>
          <w:i/>
          <w:sz w:val="18"/>
        </w:rPr>
        <w:t xml:space="preserve">Lancet </w:t>
      </w:r>
      <w:r>
        <w:rPr>
          <w:b/>
          <w:i w:val="0"/>
          <w:sz w:val="18"/>
        </w:rPr>
        <w:t>2023</w:t>
      </w:r>
      <w:r>
        <w:rPr>
          <w:b w:val="0"/>
          <w:i w:val="0"/>
          <w:sz w:val="18"/>
        </w:rPr>
        <w:t xml:space="preserve">, </w:t>
      </w:r>
      <w:r>
        <w:rPr>
          <w:b w:val="0"/>
          <w:i/>
          <w:sz w:val="18"/>
        </w:rPr>
        <w:t>401</w:t>
      </w:r>
      <w:r>
        <w:rPr>
          <w:b w:val="0"/>
          <w:i w:val="0"/>
          <w:sz w:val="18"/>
        </w:rPr>
        <w:t>, 577–589.</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Graff Zivin, J.; Neidell, M. </w:t>
      </w:r>
      <w:r>
        <w:rPr>
          <w:b w:val="0"/>
          <w:i w:val="0"/>
          <w:sz w:val="18"/>
        </w:rPr>
        <w:t xml:space="preserve">Temperature and the Allocation of Time: Implications for Climate Change. </w:t>
      </w:r>
      <w:r>
        <w:rPr>
          <w:b w:val="0"/>
          <w:i/>
          <w:sz w:val="18"/>
        </w:rPr>
        <w:t xml:space="preserve">J. Labor Econ. </w:t>
      </w:r>
      <w:r>
        <w:rPr>
          <w:b/>
          <w:i w:val="0"/>
          <w:sz w:val="18"/>
        </w:rPr>
        <w:t>2014</w:t>
      </w:r>
      <w:r>
        <w:rPr>
          <w:b w:val="0"/>
          <w:i w:val="0"/>
          <w:sz w:val="18"/>
        </w:rPr>
        <w:t xml:space="preserve">, </w:t>
      </w:r>
      <w:r>
        <w:rPr>
          <w:b w:val="0"/>
          <w:i/>
          <w:sz w:val="18"/>
        </w:rPr>
        <w:t>32</w:t>
      </w:r>
      <w:r>
        <w:rPr>
          <w:b w:val="0"/>
          <w:i w:val="0"/>
          <w:sz w:val="18"/>
        </w:rPr>
        <w:t>, 1–26.</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Zander, K.K.; Botzen, W.J.W.; Oppermann, E.; Kjellstrom, T.; Garnett, S.T. </w:t>
      </w:r>
      <w:r>
        <w:rPr>
          <w:b w:val="0"/>
          <w:i w:val="0"/>
          <w:sz w:val="18"/>
        </w:rPr>
        <w:t xml:space="preserve">Heat Stress Causes Substantial Labour Productivity Loss in Australia. </w:t>
      </w:r>
      <w:r>
        <w:rPr>
          <w:b w:val="0"/>
          <w:i/>
          <w:sz w:val="18"/>
        </w:rPr>
        <w:t xml:space="preserve">Nat. Clim. Change </w:t>
      </w:r>
      <w:r>
        <w:rPr>
          <w:b/>
          <w:i w:val="0"/>
          <w:sz w:val="18"/>
        </w:rPr>
        <w:t>2015</w:t>
      </w:r>
      <w:r>
        <w:rPr>
          <w:b w:val="0"/>
          <w:i w:val="0"/>
          <w:sz w:val="18"/>
        </w:rPr>
        <w:t xml:space="preserve">, </w:t>
      </w:r>
      <w:r>
        <w:rPr>
          <w:b w:val="0"/>
          <w:i/>
          <w:sz w:val="18"/>
        </w:rPr>
        <w:t>5</w:t>
      </w:r>
      <w:r>
        <w:rPr>
          <w:b w:val="0"/>
          <w:i w:val="0"/>
          <w:sz w:val="18"/>
        </w:rPr>
        <w:t>, 647–651.</w:t>
      </w:r>
      <w:r>
        <w:rPr>
          <w:b w:val="0"/>
          <w:i w:val="0"/>
          <w:sz w:val="18"/>
        </w:rPr>
        <w:t xml:space="preserve"> [CrossRef]</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Somanathan, E.; Somanathan, R.; Sudarshan, A.; Tewari, M. </w:t>
      </w:r>
      <w:r>
        <w:rPr>
          <w:b w:val="0"/>
          <w:i w:val="0"/>
          <w:sz w:val="18"/>
        </w:rPr>
        <w:t xml:space="preserve">The Impact of Temperature on Productivity and Labor Supply: Evidence from Indian Manufacturing. </w:t>
      </w:r>
      <w:r>
        <w:rPr>
          <w:b w:val="0"/>
          <w:i/>
          <w:sz w:val="18"/>
        </w:rPr>
        <w:t xml:space="preserve">J. Political Econ. </w:t>
      </w:r>
      <w:r>
        <w:rPr>
          <w:b/>
          <w:i w:val="0"/>
          <w:sz w:val="18"/>
        </w:rPr>
        <w:t>2021</w:t>
      </w:r>
      <w:r>
        <w:rPr>
          <w:b w:val="0"/>
          <w:i w:val="0"/>
          <w:sz w:val="18"/>
        </w:rPr>
        <w:t xml:space="preserve">, </w:t>
      </w:r>
      <w:r>
        <w:rPr>
          <w:b w:val="0"/>
          <w:i/>
          <w:sz w:val="18"/>
        </w:rPr>
        <w:t>129</w:t>
      </w:r>
      <w:r>
        <w:rPr>
          <w:b w:val="0"/>
          <w:i w:val="0"/>
          <w:sz w:val="18"/>
        </w:rPr>
        <w:t>, 1797–1827.</w:t>
      </w:r>
      <w:r>
        <w:rPr>
          <w:b w:val="0"/>
          <w:i w:val="0"/>
          <w:sz w:val="18"/>
        </w:rPr>
        <w:t xml:space="preserve"> [CrossRef]</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Park, R.J.; Goodman, J.; Hurwitz, M.; Smith, J. </w:t>
      </w:r>
      <w:r>
        <w:rPr>
          <w:b w:val="0"/>
          <w:i w:val="0"/>
          <w:sz w:val="18"/>
        </w:rPr>
        <w:t xml:space="preserve">Heat and Learning. </w:t>
      </w:r>
      <w:r>
        <w:rPr>
          <w:b w:val="0"/>
          <w:i/>
          <w:sz w:val="18"/>
        </w:rPr>
        <w:t xml:space="preserve">Am. Econ. J. Econ. Policy </w:t>
      </w:r>
      <w:r>
        <w:rPr>
          <w:b/>
          <w:i w:val="0"/>
          <w:sz w:val="18"/>
        </w:rPr>
        <w:t>2020</w:t>
      </w:r>
      <w:r>
        <w:rPr>
          <w:b w:val="0"/>
          <w:i w:val="0"/>
          <w:sz w:val="18"/>
        </w:rPr>
        <w:t xml:space="preserve">, </w:t>
      </w:r>
      <w:r>
        <w:rPr>
          <w:b w:val="0"/>
          <w:i/>
          <w:sz w:val="18"/>
        </w:rPr>
        <w:t>12</w:t>
      </w:r>
      <w:r>
        <w:rPr>
          <w:b w:val="0"/>
          <w:i w:val="0"/>
          <w:sz w:val="18"/>
        </w:rPr>
        <w:t>, 306–339.</w:t>
      </w:r>
      <w:r>
        <w:rPr>
          <w:b w:val="0"/>
          <w:i w:val="0"/>
          <w:sz w:val="18"/>
        </w:rPr>
        <w:t xml:space="preserve"> [CrossRef]</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ILO. </w:t>
      </w:r>
      <w:r>
        <w:rPr>
          <w:b w:val="0"/>
          <w:i/>
          <w:sz w:val="18"/>
        </w:rPr>
        <w:t xml:space="preserve">Working on a Warmer Planet: The Impact of Heat Stress on Labour Productivity and Decent Work; </w:t>
      </w:r>
      <w:r>
        <w:rPr>
          <w:b w:val="0"/>
          <w:i w:val="0"/>
          <w:sz w:val="18"/>
        </w:rPr>
        <w:t>International Labour Office: Geneva, Switzerland, 2019.</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Dasgupta, S.; van Maanen, N.; Gosling, S.N.; Piontek, F.; Otto, C.; Schleussner, C.-F. </w:t>
      </w:r>
      <w:r>
        <w:rPr>
          <w:b w:val="0"/>
          <w:i w:val="0"/>
          <w:sz w:val="18"/>
        </w:rPr>
        <w:t xml:space="preserve">Effects of Climate Change on Combined Labour Productivity and Supply: An Empirical, Multi-Model Study. </w:t>
      </w:r>
      <w:r>
        <w:rPr>
          <w:b w:val="0"/>
          <w:i/>
          <w:sz w:val="18"/>
        </w:rPr>
        <w:t xml:space="preserve">Lancet Planet. Health </w:t>
      </w:r>
      <w:r>
        <w:rPr>
          <w:b/>
          <w:i w:val="0"/>
          <w:sz w:val="18"/>
        </w:rPr>
        <w:t>2021</w:t>
      </w:r>
      <w:r>
        <w:rPr>
          <w:b w:val="0"/>
          <w:i w:val="0"/>
          <w:sz w:val="18"/>
        </w:rPr>
        <w:t xml:space="preserve">, </w:t>
      </w:r>
      <w:r>
        <w:rPr>
          <w:b w:val="0"/>
          <w:i/>
          <w:sz w:val="18"/>
        </w:rPr>
        <w:t>5</w:t>
      </w:r>
      <w:r>
        <w:rPr>
          <w:b w:val="0"/>
          <w:i w:val="0"/>
          <w:sz w:val="18"/>
        </w:rPr>
        <w:t>, e455–e465.</w:t>
      </w:r>
      <w:r>
        <w:rPr>
          <w:b w:val="0"/>
          <w:i w:val="0"/>
          <w:sz w:val="18"/>
        </w:rPr>
        <w:t xml:space="preserve"> [CrossRef]</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Bynner, J.; Parsons, S. </w:t>
      </w:r>
      <w:r>
        <w:rPr>
          <w:b w:val="0"/>
          <w:i w:val="0"/>
          <w:sz w:val="18"/>
        </w:rPr>
        <w:t xml:space="preserve">Social Exclusion and the Transition from School to Work: The Case of Young People Not in Education, Employment, or Training (NEET). </w:t>
      </w:r>
      <w:r>
        <w:rPr>
          <w:b w:val="0"/>
          <w:i/>
          <w:sz w:val="18"/>
        </w:rPr>
        <w:t xml:space="preserve">J. Vocat. Behav. </w:t>
      </w:r>
      <w:r>
        <w:rPr>
          <w:b/>
          <w:i w:val="0"/>
          <w:sz w:val="18"/>
        </w:rPr>
        <w:t>2002</w:t>
      </w:r>
      <w:r>
        <w:rPr>
          <w:b w:val="0"/>
          <w:i w:val="0"/>
          <w:sz w:val="18"/>
        </w:rPr>
        <w:t xml:space="preserve">, </w:t>
      </w:r>
      <w:r>
        <w:rPr>
          <w:b w:val="0"/>
          <w:i/>
          <w:sz w:val="18"/>
        </w:rPr>
        <w:t>60</w:t>
      </w:r>
      <w:r>
        <w:rPr>
          <w:b w:val="0"/>
          <w:i w:val="0"/>
          <w:sz w:val="18"/>
        </w:rPr>
        <w:t>, 289–309.</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Eurofound. </w:t>
      </w:r>
      <w:r>
        <w:rPr>
          <w:b w:val="0"/>
          <w:i/>
          <w:sz w:val="18"/>
        </w:rPr>
        <w:t xml:space="preserve">NEETs—Young People Not in Employment, Education or Training: Characteristics, Costs and Policy Responses in Europe; </w:t>
      </w:r>
      <w:r>
        <w:rPr>
          <w:b w:val="0"/>
          <w:i w:val="0"/>
          <w:sz w:val="18"/>
        </w:rPr>
        <w:t>Publications Office of the European Union: Luxembourg, Luxembourg, 2012.</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Marando, F.; Heris, M.P.; Zulian, G.; Udías, A.; Mentaschi, L.; Chrysoulakis, N.; Parastatidis, D.; Maes, J. </w:t>
      </w:r>
      <w:r>
        <w:rPr>
          <w:b w:val="0"/>
          <w:i w:val="0"/>
          <w:sz w:val="18"/>
        </w:rPr>
        <w:t xml:space="preserve">Urban Heat Island Mitigation by Green Infrastructure in European Functional Urban Areas. </w:t>
      </w:r>
      <w:r>
        <w:rPr>
          <w:b w:val="0"/>
          <w:i/>
          <w:sz w:val="18"/>
        </w:rPr>
        <w:t xml:space="preserve">Sustain. Cities Soc. </w:t>
      </w:r>
      <w:r>
        <w:rPr>
          <w:b/>
          <w:i w:val="0"/>
          <w:sz w:val="18"/>
        </w:rPr>
        <w:t>2022</w:t>
      </w:r>
      <w:r>
        <w:rPr>
          <w:b w:val="0"/>
          <w:i w:val="0"/>
          <w:sz w:val="18"/>
        </w:rPr>
        <w:t xml:space="preserve">, </w:t>
      </w:r>
      <w:r>
        <w:rPr>
          <w:b w:val="0"/>
          <w:i/>
          <w:sz w:val="18"/>
        </w:rPr>
        <w:t>77</w:t>
      </w:r>
      <w:r>
        <w:rPr>
          <w:b w:val="0"/>
          <w:i w:val="0"/>
          <w:sz w:val="18"/>
        </w:rPr>
        <w:t>, 103564.</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García-León, D.; Casanueva, A.; Standardi, G.; Burgstall, A.; Flouris, A.D.; Nybo, L. </w:t>
      </w:r>
      <w:r>
        <w:rPr>
          <w:b w:val="0"/>
          <w:i w:val="0"/>
          <w:sz w:val="18"/>
        </w:rPr>
        <w:t xml:space="preserve">Current and Projected Regional Economic Impacts of Heatwaves in Europe. </w:t>
      </w:r>
      <w:r>
        <w:rPr>
          <w:b w:val="0"/>
          <w:i/>
          <w:sz w:val="18"/>
        </w:rPr>
        <w:t xml:space="preserve">Nat. Commun. </w:t>
      </w:r>
      <w:r>
        <w:rPr>
          <w:b/>
          <w:i w:val="0"/>
          <w:sz w:val="18"/>
        </w:rPr>
        <w:t>2021</w:t>
      </w:r>
      <w:r>
        <w:rPr>
          <w:b w:val="0"/>
          <w:i w:val="0"/>
          <w:sz w:val="18"/>
        </w:rPr>
        <w:t xml:space="preserve">, </w:t>
      </w:r>
      <w:r>
        <w:rPr>
          <w:b w:val="0"/>
          <w:i/>
          <w:sz w:val="18"/>
        </w:rPr>
        <w:t>12</w:t>
      </w:r>
      <w:r>
        <w:rPr>
          <w:b w:val="0"/>
          <w:i w:val="0"/>
          <w:sz w:val="18"/>
        </w:rPr>
        <w:t>, 5807.</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Callahan, C.W.; Mankin, J.S. </w:t>
      </w:r>
      <w:r>
        <w:rPr>
          <w:b w:val="0"/>
          <w:i w:val="0"/>
          <w:sz w:val="18"/>
        </w:rPr>
        <w:t xml:space="preserve">Globally Unequal Effect of Extreme Heat on Economic Growth. </w:t>
      </w:r>
      <w:r>
        <w:rPr>
          <w:b w:val="0"/>
          <w:i/>
          <w:sz w:val="18"/>
        </w:rPr>
        <w:t xml:space="preserve">Sci. Adv. </w:t>
      </w:r>
      <w:r>
        <w:rPr>
          <w:b/>
          <w:i w:val="0"/>
          <w:sz w:val="18"/>
        </w:rPr>
        <w:t>2022</w:t>
      </w:r>
      <w:r>
        <w:rPr>
          <w:b w:val="0"/>
          <w:i w:val="0"/>
          <w:sz w:val="18"/>
        </w:rPr>
        <w:t xml:space="preserve">, </w:t>
      </w:r>
      <w:r>
        <w:rPr>
          <w:b w:val="0"/>
          <w:i/>
          <w:sz w:val="18"/>
        </w:rPr>
        <w:t>8</w:t>
      </w:r>
      <w:r>
        <w:rPr>
          <w:b w:val="0"/>
          <w:i w:val="0"/>
          <w:sz w:val="18"/>
        </w:rPr>
        <w:t>, eadd3726.</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Aram, F.; Higueras García, E.; Solgi, E.; Mansournia, S. </w:t>
      </w:r>
      <w:r>
        <w:rPr>
          <w:b w:val="0"/>
          <w:i w:val="0"/>
          <w:sz w:val="18"/>
        </w:rPr>
        <w:t xml:space="preserve">Urban Green Space Cooling Effect in Cities. </w:t>
      </w:r>
      <w:r>
        <w:rPr>
          <w:b w:val="0"/>
          <w:i/>
          <w:sz w:val="18"/>
        </w:rPr>
        <w:t xml:space="preserve">Heliyon </w:t>
      </w:r>
      <w:r>
        <w:rPr>
          <w:b/>
          <w:i w:val="0"/>
          <w:sz w:val="18"/>
        </w:rPr>
        <w:t>2019</w:t>
      </w:r>
      <w:r>
        <w:rPr>
          <w:b w:val="0"/>
          <w:i w:val="0"/>
          <w:sz w:val="18"/>
        </w:rPr>
        <w:t xml:space="preserve">, </w:t>
      </w:r>
      <w:r>
        <w:rPr>
          <w:b w:val="0"/>
          <w:i/>
          <w:sz w:val="18"/>
        </w:rPr>
        <w:t>5</w:t>
      </w:r>
      <w:r>
        <w:rPr>
          <w:b w:val="0"/>
          <w:i w:val="0"/>
          <w:sz w:val="18"/>
        </w:rPr>
        <w:t>, e01339.</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European Environment Agency. </w:t>
      </w:r>
      <w:r>
        <w:rPr>
          <w:b w:val="0"/>
          <w:i/>
          <w:sz w:val="18"/>
        </w:rPr>
        <w:t xml:space="preserve">Urban Adaptation in Europe: How Cities and Towns Respond to Climate Change; </w:t>
      </w:r>
      <w:r>
        <w:rPr>
          <w:b w:val="0"/>
          <w:i w:val="0"/>
          <w:sz w:val="18"/>
        </w:rPr>
        <w:t xml:space="preserve">EEA Report No 12/2020; </w:t>
      </w:r>
      <w:r>
        <w:rPr>
          <w:b w:val="0"/>
          <w:i w:val="0"/>
          <w:sz w:val="18"/>
        </w:rPr>
        <w:t>Publications Office of the European Union: Luxembourg, Luxembourg, 2020.</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Rus, M.-I. </w:t>
      </w:r>
      <w:r>
        <w:rPr>
          <w:b w:val="0"/>
          <w:i w:val="0"/>
          <w:sz w:val="18"/>
        </w:rPr>
        <w:t xml:space="preserve">Innovation, Energy Transition, and Sustainable Economic Development in the European Union: Evidence from a System GMM Approach. </w:t>
      </w:r>
      <w:r>
        <w:rPr>
          <w:b w:val="0"/>
          <w:i/>
          <w:sz w:val="18"/>
        </w:rPr>
        <w:t xml:space="preserve">Sustainability </w:t>
      </w:r>
      <w:r>
        <w:rPr>
          <w:b/>
          <w:i w:val="0"/>
          <w:sz w:val="18"/>
        </w:rPr>
        <w:t>2026</w:t>
      </w:r>
      <w:r>
        <w:rPr>
          <w:b w:val="0"/>
          <w:i w:val="0"/>
          <w:sz w:val="18"/>
        </w:rPr>
        <w:t xml:space="preserve">, </w:t>
      </w:r>
      <w:r>
        <w:rPr>
          <w:b w:val="0"/>
          <w:i/>
          <w:sz w:val="18"/>
        </w:rPr>
        <w:t>18</w:t>
      </w:r>
      <w:r>
        <w:rPr>
          <w:b w:val="0"/>
          <w:i w:val="0"/>
          <w:sz w:val="18"/>
        </w:rPr>
        <w:t>, 7843.</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European Commission. </w:t>
      </w:r>
      <w:r>
        <w:rPr>
          <w:b w:val="0"/>
          <w:i w:val="0"/>
          <w:sz w:val="18"/>
        </w:rPr>
        <w:t xml:space="preserve">The European Green Deal, COM(2019) 640 Final. </w:t>
      </w:r>
      <w:r>
        <w:rPr>
          <w:b w:val="0"/>
          <w:i w:val="0"/>
          <w:sz w:val="18"/>
        </w:rPr>
        <w:t>Available online: https://eur-lex.europa.eu/legal-content/EN/TXT/?uri=CELEX:52019DC0640 (accessed on 17 August 2026).</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European Commission. </w:t>
      </w:r>
      <w:r>
        <w:rPr>
          <w:b w:val="0"/>
          <w:i w:val="0"/>
          <w:sz w:val="18"/>
        </w:rPr>
        <w:t xml:space="preserve">Forging a Climate-Resilient Europe—The New EU Strategy on Adaptation to Climate Change, COM(2021) 82 Final. </w:t>
      </w:r>
      <w:r>
        <w:rPr>
          <w:b w:val="0"/>
          <w:i w:val="0"/>
          <w:sz w:val="18"/>
        </w:rPr>
        <w:t>Available online: https://eur-lex.europa.eu/legal-content/EN/TXT/?uri=CELEX:52021DC0082 (accessed on 17 August 2026).</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European Parliament; Council of the European Union. </w:t>
      </w:r>
      <w:r>
        <w:rPr>
          <w:b w:val="0"/>
          <w:i w:val="0"/>
          <w:sz w:val="18"/>
        </w:rPr>
        <w:t xml:space="preserve">Regulation (EU) 2024/1991 on Nature Restoration. </w:t>
      </w:r>
      <w:r>
        <w:rPr>
          <w:b w:val="0"/>
          <w:i w:val="0"/>
          <w:sz w:val="18"/>
        </w:rPr>
        <w:t>Available online: https://eur-lex.europa.eu/eli/reg/2024/1991/oj (accessed on 17 August 2026).</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Blundell, R.; Bond, S. </w:t>
      </w:r>
      <w:r>
        <w:rPr>
          <w:b w:val="0"/>
          <w:i w:val="0"/>
          <w:sz w:val="18"/>
        </w:rPr>
        <w:t xml:space="preserve">Initial Conditions and Moment Restrictions in Dynamic Panel Data Models. </w:t>
      </w:r>
      <w:r>
        <w:rPr>
          <w:b w:val="0"/>
          <w:i/>
          <w:sz w:val="18"/>
        </w:rPr>
        <w:t xml:space="preserve">J. Econom. </w:t>
      </w:r>
      <w:r>
        <w:rPr>
          <w:b/>
          <w:i w:val="0"/>
          <w:sz w:val="18"/>
        </w:rPr>
        <w:t>1998</w:t>
      </w:r>
      <w:r>
        <w:rPr>
          <w:b w:val="0"/>
          <w:i w:val="0"/>
          <w:sz w:val="18"/>
        </w:rPr>
        <w:t xml:space="preserve">, </w:t>
      </w:r>
      <w:r>
        <w:rPr>
          <w:b w:val="0"/>
          <w:i/>
          <w:sz w:val="18"/>
        </w:rPr>
        <w:t>87</w:t>
      </w:r>
      <w:r>
        <w:rPr>
          <w:b w:val="0"/>
          <w:i w:val="0"/>
          <w:sz w:val="18"/>
        </w:rPr>
        <w:t>, 115–143.</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Roodman, D. </w:t>
      </w:r>
      <w:r>
        <w:rPr>
          <w:b w:val="0"/>
          <w:i w:val="0"/>
          <w:sz w:val="18"/>
        </w:rPr>
        <w:t xml:space="preserve">A Note on the Theme of Too Many Instruments. </w:t>
      </w:r>
      <w:r>
        <w:rPr>
          <w:b w:val="0"/>
          <w:i/>
          <w:sz w:val="18"/>
        </w:rPr>
        <w:t xml:space="preserve">Oxf. Bull. Econ. Stat. </w:t>
      </w:r>
      <w:r>
        <w:rPr>
          <w:b/>
          <w:i w:val="0"/>
          <w:sz w:val="18"/>
        </w:rPr>
        <w:t>2009</w:t>
      </w:r>
      <w:r>
        <w:rPr>
          <w:b w:val="0"/>
          <w:i w:val="0"/>
          <w:sz w:val="18"/>
        </w:rPr>
        <w:t xml:space="preserve">, </w:t>
      </w:r>
      <w:r>
        <w:rPr>
          <w:b w:val="0"/>
          <w:i/>
          <w:sz w:val="18"/>
        </w:rPr>
        <w:t>71</w:t>
      </w:r>
      <w:r>
        <w:rPr>
          <w:b w:val="0"/>
          <w:i w:val="0"/>
          <w:sz w:val="18"/>
        </w:rPr>
        <w:t>, 135–158.</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Dell, M.; Jones, B.F.; Olken, B.A. </w:t>
      </w:r>
      <w:r>
        <w:rPr>
          <w:b w:val="0"/>
          <w:i w:val="0"/>
          <w:sz w:val="18"/>
        </w:rPr>
        <w:t xml:space="preserve">Temperature Shocks and Economic Growth: Evidence from the Last Half Century. </w:t>
      </w:r>
      <w:r>
        <w:rPr>
          <w:b w:val="0"/>
          <w:i/>
          <w:sz w:val="18"/>
        </w:rPr>
        <w:t xml:space="preserve">Am. Econ. J. Macroecon. </w:t>
      </w:r>
      <w:r>
        <w:rPr>
          <w:b/>
          <w:i w:val="0"/>
          <w:sz w:val="18"/>
        </w:rPr>
        <w:t>2012</w:t>
      </w:r>
      <w:r>
        <w:rPr>
          <w:b w:val="0"/>
          <w:i w:val="0"/>
          <w:sz w:val="18"/>
        </w:rPr>
        <w:t xml:space="preserve">, </w:t>
      </w:r>
      <w:r>
        <w:rPr>
          <w:b w:val="0"/>
          <w:i/>
          <w:sz w:val="18"/>
        </w:rPr>
        <w:t>4</w:t>
      </w:r>
      <w:r>
        <w:rPr>
          <w:b w:val="0"/>
          <w:i w:val="0"/>
          <w:sz w:val="18"/>
        </w:rPr>
        <w:t>, 66–95.</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Burke, M.; Hsiang, S.M.; Miguel, E. </w:t>
      </w:r>
      <w:r>
        <w:rPr>
          <w:b w:val="0"/>
          <w:i w:val="0"/>
          <w:sz w:val="18"/>
        </w:rPr>
        <w:t xml:space="preserve">Global Non-Linear Effect of Temperature on Economic Production. </w:t>
      </w:r>
      <w:r>
        <w:rPr>
          <w:b w:val="0"/>
          <w:i/>
          <w:sz w:val="18"/>
        </w:rPr>
        <w:t xml:space="preserve">Nature </w:t>
      </w:r>
      <w:r>
        <w:rPr>
          <w:b/>
          <w:i w:val="0"/>
          <w:sz w:val="18"/>
        </w:rPr>
        <w:t>2015</w:t>
      </w:r>
      <w:r>
        <w:rPr>
          <w:b w:val="0"/>
          <w:i w:val="0"/>
          <w:sz w:val="18"/>
        </w:rPr>
        <w:t xml:space="preserve">, </w:t>
      </w:r>
      <w:r>
        <w:rPr>
          <w:b w:val="0"/>
          <w:i/>
          <w:sz w:val="18"/>
        </w:rPr>
        <w:t>527</w:t>
      </w:r>
      <w:r>
        <w:rPr>
          <w:b w:val="0"/>
          <w:i w:val="0"/>
          <w:sz w:val="18"/>
        </w:rPr>
        <w:t>, 235–239.</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Bell, D.N.F.; Blanchflower, D.G. </w:t>
      </w:r>
      <w:r>
        <w:rPr>
          <w:b w:val="0"/>
          <w:i w:val="0"/>
          <w:sz w:val="18"/>
        </w:rPr>
        <w:t xml:space="preserve">Young People and the Great Recession. </w:t>
      </w:r>
      <w:r>
        <w:rPr>
          <w:b w:val="0"/>
          <w:i/>
          <w:sz w:val="18"/>
        </w:rPr>
        <w:t xml:space="preserve">Oxf. Rev. Econ. Policy </w:t>
      </w:r>
      <w:r>
        <w:rPr>
          <w:b/>
          <w:i w:val="0"/>
          <w:sz w:val="18"/>
        </w:rPr>
        <w:t>2011</w:t>
      </w:r>
      <w:r>
        <w:rPr>
          <w:b w:val="0"/>
          <w:i w:val="0"/>
          <w:sz w:val="18"/>
        </w:rPr>
        <w:t xml:space="preserve">, </w:t>
      </w:r>
      <w:r>
        <w:rPr>
          <w:b w:val="0"/>
          <w:i/>
          <w:sz w:val="18"/>
        </w:rPr>
        <w:t>27</w:t>
      </w:r>
      <w:r>
        <w:rPr>
          <w:b w:val="0"/>
          <w:i w:val="0"/>
          <w:sz w:val="18"/>
        </w:rPr>
        <w:t>, 241–267.</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Council of the European Union. </w:t>
      </w:r>
      <w:r>
        <w:rPr>
          <w:b w:val="0"/>
          <w:i w:val="0"/>
          <w:sz w:val="18"/>
        </w:rPr>
        <w:t xml:space="preserve">Council Recommendation of 30 October 2020 on a Bridge to Jobs—Reinforcing the Youth Guarantee. </w:t>
      </w:r>
      <w:r>
        <w:rPr>
          <w:b w:val="0"/>
          <w:i/>
          <w:sz w:val="18"/>
        </w:rPr>
        <w:t xml:space="preserve">Off. J. Eur. Union </w:t>
      </w:r>
      <w:r>
        <w:rPr>
          <w:b/>
          <w:i w:val="0"/>
          <w:sz w:val="18"/>
        </w:rPr>
        <w:t>2020</w:t>
      </w:r>
      <w:r>
        <w:rPr>
          <w:b w:val="0"/>
          <w:i w:val="0"/>
          <w:sz w:val="18"/>
        </w:rPr>
        <w:t xml:space="preserve">, </w:t>
      </w:r>
      <w:r>
        <w:rPr>
          <w:b w:val="0"/>
          <w:i/>
          <w:sz w:val="18"/>
        </w:rPr>
        <w:t>C 372</w:t>
      </w:r>
      <w:r>
        <w:rPr>
          <w:b w:val="0"/>
          <w:i w:val="0"/>
          <w:sz w:val="18"/>
        </w:rPr>
        <w:t>, 1–9.</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Caliendo, M.; Schmidl, R. </w:t>
      </w:r>
      <w:r>
        <w:rPr>
          <w:b w:val="0"/>
          <w:i w:val="0"/>
          <w:sz w:val="18"/>
        </w:rPr>
        <w:t xml:space="preserve">Youth Unemployment and Active Labor Market Policies in Europe. </w:t>
      </w:r>
      <w:r>
        <w:rPr>
          <w:b w:val="0"/>
          <w:i/>
          <w:sz w:val="18"/>
        </w:rPr>
        <w:t xml:space="preserve">IZA J. Labor Policy </w:t>
      </w:r>
      <w:r>
        <w:rPr>
          <w:b/>
          <w:i w:val="0"/>
          <w:sz w:val="18"/>
        </w:rPr>
        <w:t>2016</w:t>
      </w:r>
      <w:r>
        <w:rPr>
          <w:b w:val="0"/>
          <w:i w:val="0"/>
          <w:sz w:val="18"/>
        </w:rPr>
        <w:t xml:space="preserve">, </w:t>
      </w:r>
      <w:r>
        <w:rPr>
          <w:b w:val="0"/>
          <w:i/>
          <w:sz w:val="18"/>
        </w:rPr>
        <w:t>5</w:t>
      </w:r>
      <w:r>
        <w:rPr>
          <w:b w:val="0"/>
          <w:i w:val="0"/>
          <w:sz w:val="18"/>
        </w:rPr>
        <w:t>, 1.</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Ebi, K.L.; Capon, A.; Berry, P.; Broderick, C.; de Dear, R.; Havenith, G.; Honda, Y.; Kovats, R.S.; Ma, W.; Malik, A.; et al. </w:t>
      </w:r>
      <w:r>
        <w:rPr>
          <w:b w:val="0"/>
          <w:i w:val="0"/>
          <w:sz w:val="18"/>
        </w:rPr>
        <w:t xml:space="preserve">Hot Weather and Heat Extremes: Health Risks. </w:t>
      </w:r>
      <w:r>
        <w:rPr>
          <w:b w:val="0"/>
          <w:i/>
          <w:sz w:val="18"/>
        </w:rPr>
        <w:t xml:space="preserve">Lancet </w:t>
      </w:r>
      <w:r>
        <w:rPr>
          <w:b/>
          <w:i w:val="0"/>
          <w:sz w:val="18"/>
        </w:rPr>
        <w:t>2021</w:t>
      </w:r>
      <w:r>
        <w:rPr>
          <w:b w:val="0"/>
          <w:i w:val="0"/>
          <w:sz w:val="18"/>
        </w:rPr>
        <w:t xml:space="preserve">, </w:t>
      </w:r>
      <w:r>
        <w:rPr>
          <w:b w:val="0"/>
          <w:i/>
          <w:sz w:val="18"/>
        </w:rPr>
        <w:t>398</w:t>
      </w:r>
      <w:r>
        <w:rPr>
          <w:b w:val="0"/>
          <w:i w:val="0"/>
          <w:sz w:val="18"/>
        </w:rPr>
        <w:t>, 698–708.</w:t>
      </w:r>
      <w:r>
        <w:rPr>
          <w:b w:val="0"/>
          <w:i w:val="0"/>
          <w:sz w:val="18"/>
        </w:rPr>
        <w:t xml:space="preserve"> [CrossRef]</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Tuholske, C.; Caylor, K.; Funk, C.; Verdin, A.; Sweeney, S.; Grace, K.; Peterson, P.; Evans, T. </w:t>
      </w:r>
      <w:r>
        <w:rPr>
          <w:b w:val="0"/>
          <w:i w:val="0"/>
          <w:sz w:val="18"/>
        </w:rPr>
        <w:t xml:space="preserve">Global Urban Population Exposure to Extreme Heat. </w:t>
      </w:r>
      <w:r>
        <w:rPr>
          <w:b w:val="0"/>
          <w:i/>
          <w:sz w:val="18"/>
        </w:rPr>
        <w:t xml:space="preserve">Proc. Natl. Acad. Sci. USA </w:t>
      </w:r>
      <w:r>
        <w:rPr>
          <w:b/>
          <w:i w:val="0"/>
          <w:sz w:val="18"/>
        </w:rPr>
        <w:t>2021</w:t>
      </w:r>
      <w:r>
        <w:rPr>
          <w:b w:val="0"/>
          <w:i w:val="0"/>
          <w:sz w:val="18"/>
        </w:rPr>
        <w:t xml:space="preserve">, </w:t>
      </w:r>
      <w:r>
        <w:rPr>
          <w:b w:val="0"/>
          <w:i/>
          <w:sz w:val="18"/>
        </w:rPr>
        <w:t>118</w:t>
      </w:r>
      <w:r>
        <w:rPr>
          <w:b w:val="0"/>
          <w:i w:val="0"/>
          <w:sz w:val="18"/>
        </w:rPr>
        <w:t>, e2024792118.</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Kabisch, N.; Strohbach, M.; Haase, D.; Kronenberg, J. </w:t>
      </w:r>
      <w:r>
        <w:rPr>
          <w:b w:val="0"/>
          <w:i w:val="0"/>
          <w:sz w:val="18"/>
        </w:rPr>
        <w:t xml:space="preserve">Urban Green Space Availability in European Cities. </w:t>
      </w:r>
      <w:r>
        <w:rPr>
          <w:b w:val="0"/>
          <w:i/>
          <w:sz w:val="18"/>
        </w:rPr>
        <w:t xml:space="preserve">Ecol. Indic. </w:t>
      </w:r>
      <w:r>
        <w:rPr>
          <w:b/>
          <w:i w:val="0"/>
          <w:sz w:val="18"/>
        </w:rPr>
        <w:t>2016</w:t>
      </w:r>
      <w:r>
        <w:rPr>
          <w:b w:val="0"/>
          <w:i w:val="0"/>
          <w:sz w:val="18"/>
        </w:rPr>
        <w:t xml:space="preserve">, </w:t>
      </w:r>
      <w:r>
        <w:rPr>
          <w:b w:val="0"/>
          <w:i/>
          <w:sz w:val="18"/>
        </w:rPr>
        <w:t>70</w:t>
      </w:r>
      <w:r>
        <w:rPr>
          <w:b w:val="0"/>
          <w:i w:val="0"/>
          <w:sz w:val="18"/>
        </w:rPr>
        <w:t>, 586–596.</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Wolch, J.R.; Byrne, J.; Newell, J.P. </w:t>
      </w:r>
      <w:r>
        <w:rPr>
          <w:b w:val="0"/>
          <w:i w:val="0"/>
          <w:sz w:val="18"/>
        </w:rPr>
        <w:t xml:space="preserve">Urban Green Space, Public Health, and Environmental Justice: The Challenge of Making Cities 'Just Green Enough’. </w:t>
      </w:r>
      <w:r>
        <w:rPr>
          <w:b w:val="0"/>
          <w:i/>
          <w:sz w:val="18"/>
        </w:rPr>
        <w:t xml:space="preserve">Landsc. Urban Plan. </w:t>
      </w:r>
      <w:r>
        <w:rPr>
          <w:b/>
          <w:i w:val="0"/>
          <w:sz w:val="18"/>
        </w:rPr>
        <w:t>2014</w:t>
      </w:r>
      <w:r>
        <w:rPr>
          <w:b w:val="0"/>
          <w:i w:val="0"/>
          <w:sz w:val="18"/>
        </w:rPr>
        <w:t xml:space="preserve">, </w:t>
      </w:r>
      <w:r>
        <w:rPr>
          <w:b w:val="0"/>
          <w:i/>
          <w:sz w:val="18"/>
        </w:rPr>
        <w:t>125</w:t>
      </w:r>
      <w:r>
        <w:rPr>
          <w:b w:val="0"/>
          <w:i w:val="0"/>
          <w:sz w:val="18"/>
        </w:rPr>
        <w:t>, 234–244.</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Copernicus Land Monitoring Service. </w:t>
      </w:r>
      <w:r>
        <w:rPr>
          <w:b w:val="0"/>
          <w:i w:val="0"/>
          <w:sz w:val="18"/>
        </w:rPr>
        <w:t xml:space="preserve">Urban Atlas Land Cover/Land Use 2018 (Vector), Europe. </w:t>
      </w:r>
      <w:r>
        <w:rPr>
          <w:b w:val="0"/>
          <w:i w:val="0"/>
          <w:sz w:val="18"/>
        </w:rPr>
        <w:t>Available online: https://land.copernicus.eu/en/products/urban-atlas (accessed on 17 August 2026).</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Eurostat. </w:t>
      </w:r>
      <w:r>
        <w:rPr>
          <w:b w:val="0"/>
          <w:i w:val="0"/>
          <w:sz w:val="18"/>
        </w:rPr>
        <w:t xml:space="preserve">Young People Neither in Employment nor in Education and Training by Sex and Age (edat_lfse_20). </w:t>
      </w:r>
      <w:r>
        <w:rPr>
          <w:b w:val="0"/>
          <w:i w:val="0"/>
          <w:sz w:val="18"/>
        </w:rPr>
        <w:t>Available online: https://ec.europa.eu/eurostat/databrowser/view/edat_lfse_20/default/table (accessed on 17 August 2026).</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Eurostat. </w:t>
      </w:r>
      <w:r>
        <w:rPr>
          <w:b w:val="0"/>
          <w:i w:val="0"/>
          <w:sz w:val="18"/>
        </w:rPr>
        <w:t xml:space="preserve">Unemployment by Sex and Age—Annual Data (une_rt_a). </w:t>
      </w:r>
      <w:r>
        <w:rPr>
          <w:b w:val="0"/>
          <w:i w:val="0"/>
          <w:sz w:val="18"/>
        </w:rPr>
        <w:t>Available online: https://ec.europa.eu/eurostat/databrowser/view/une_rt_a/default/table (accessed on 17 August 2026).</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Eurostat. </w:t>
      </w:r>
      <w:r>
        <w:rPr>
          <w:b w:val="0"/>
          <w:i w:val="0"/>
          <w:sz w:val="18"/>
        </w:rPr>
        <w:t xml:space="preserve">Cooling and Heating Degree Days by Country—Annual Data (nrg_chdd_a). </w:t>
      </w:r>
      <w:r>
        <w:rPr>
          <w:b w:val="0"/>
          <w:i w:val="0"/>
          <w:sz w:val="18"/>
        </w:rPr>
        <w:t>Available online: https://ec.europa.eu/eurostat/databrowser/view/nrg_chdd_a/default/table (accessed on 17 August 2026).</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Eurostat. </w:t>
      </w:r>
      <w:r>
        <w:rPr>
          <w:b w:val="0"/>
          <w:i w:val="0"/>
          <w:sz w:val="18"/>
        </w:rPr>
        <w:t xml:space="preserve">Real GDP Growth Rate—Volume (tec00115). </w:t>
      </w:r>
      <w:r>
        <w:rPr>
          <w:b w:val="0"/>
          <w:i w:val="0"/>
          <w:sz w:val="18"/>
        </w:rPr>
        <w:t>Available online: https://ec.europa.eu/eurostat/databrowser/view/tec00115/default/table (accessed on 17 August 2026).</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Eurostat. </w:t>
      </w:r>
      <w:r>
        <w:rPr>
          <w:b w:val="0"/>
          <w:i w:val="0"/>
          <w:sz w:val="18"/>
        </w:rPr>
        <w:t xml:space="preserve">Population by Educational Attainment Level, Sex and Age (edat_lfse_03). </w:t>
      </w:r>
      <w:r>
        <w:rPr>
          <w:b w:val="0"/>
          <w:i w:val="0"/>
          <w:sz w:val="18"/>
        </w:rPr>
        <w:t>Available online: https://ec.europa.eu/eurostat/databrowser/view/edat_lfse_03/default/table (accessed on 17 August 2026).</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Im, K.S.; Pesaran, M.H.; Shin, Y. </w:t>
      </w:r>
      <w:r>
        <w:rPr>
          <w:b w:val="0"/>
          <w:i w:val="0"/>
          <w:sz w:val="18"/>
        </w:rPr>
        <w:t xml:space="preserve">Testing for Unit Roots in Heterogeneous Panels. </w:t>
      </w:r>
      <w:r>
        <w:rPr>
          <w:b w:val="0"/>
          <w:i/>
          <w:sz w:val="18"/>
        </w:rPr>
        <w:t xml:space="preserve">J. Econom. </w:t>
      </w:r>
      <w:r>
        <w:rPr>
          <w:b/>
          <w:i w:val="0"/>
          <w:sz w:val="18"/>
        </w:rPr>
        <w:t>2003</w:t>
      </w:r>
      <w:r>
        <w:rPr>
          <w:b w:val="0"/>
          <w:i w:val="0"/>
          <w:sz w:val="18"/>
        </w:rPr>
        <w:t xml:space="preserve">, </w:t>
      </w:r>
      <w:r>
        <w:rPr>
          <w:b w:val="0"/>
          <w:i/>
          <w:sz w:val="18"/>
        </w:rPr>
        <w:t>115</w:t>
      </w:r>
      <w:r>
        <w:rPr>
          <w:b w:val="0"/>
          <w:i w:val="0"/>
          <w:sz w:val="18"/>
        </w:rPr>
        <w:t>, 53–74.</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Pesaran, M.H. </w:t>
      </w:r>
      <w:r>
        <w:rPr>
          <w:b w:val="0"/>
          <w:i w:val="0"/>
          <w:sz w:val="18"/>
        </w:rPr>
        <w:t xml:space="preserve">General Diagnostic Tests for Cross-Sectional Dependence in Panels. </w:t>
      </w:r>
      <w:r>
        <w:rPr>
          <w:b w:val="0"/>
          <w:i/>
          <w:sz w:val="18"/>
        </w:rPr>
        <w:t xml:space="preserve">Empir. Econ. </w:t>
      </w:r>
      <w:r>
        <w:rPr>
          <w:b/>
          <w:i w:val="0"/>
          <w:sz w:val="18"/>
        </w:rPr>
        <w:t>2021</w:t>
      </w:r>
      <w:r>
        <w:rPr>
          <w:b w:val="0"/>
          <w:i w:val="0"/>
          <w:sz w:val="18"/>
        </w:rPr>
        <w:t xml:space="preserve">, </w:t>
      </w:r>
      <w:r>
        <w:rPr>
          <w:b w:val="0"/>
          <w:i/>
          <w:sz w:val="18"/>
        </w:rPr>
        <w:t>60</w:t>
      </w:r>
      <w:r>
        <w:rPr>
          <w:b w:val="0"/>
          <w:i w:val="0"/>
          <w:sz w:val="18"/>
        </w:rPr>
        <w:t>, 13–50.</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Nickell, S. </w:t>
      </w:r>
      <w:r>
        <w:rPr>
          <w:b w:val="0"/>
          <w:i w:val="0"/>
          <w:sz w:val="18"/>
        </w:rPr>
        <w:t xml:space="preserve">Biases in Dynamic Models with Fixed Effects. </w:t>
      </w:r>
      <w:r>
        <w:rPr>
          <w:b w:val="0"/>
          <w:i/>
          <w:sz w:val="18"/>
        </w:rPr>
        <w:t xml:space="preserve">Econometrica </w:t>
      </w:r>
      <w:r>
        <w:rPr>
          <w:b/>
          <w:i w:val="0"/>
          <w:sz w:val="18"/>
        </w:rPr>
        <w:t>1981</w:t>
      </w:r>
      <w:r>
        <w:rPr>
          <w:b w:val="0"/>
          <w:i w:val="0"/>
          <w:sz w:val="18"/>
        </w:rPr>
        <w:t xml:space="preserve">, </w:t>
      </w:r>
      <w:r>
        <w:rPr>
          <w:b w:val="0"/>
          <w:i/>
          <w:sz w:val="18"/>
        </w:rPr>
        <w:t>49</w:t>
      </w:r>
      <w:r>
        <w:rPr>
          <w:b w:val="0"/>
          <w:i w:val="0"/>
          <w:sz w:val="18"/>
        </w:rPr>
        <w:t>, 1417–1426.</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Arellano, M.; Bond, S. </w:t>
      </w:r>
      <w:r>
        <w:rPr>
          <w:b w:val="0"/>
          <w:i w:val="0"/>
          <w:sz w:val="18"/>
        </w:rPr>
        <w:t xml:space="preserve">Some Tests of Specification for Panel Data: Monte Carlo Evidence and an Application to Employment Equations. </w:t>
      </w:r>
      <w:r>
        <w:rPr>
          <w:b w:val="0"/>
          <w:i/>
          <w:sz w:val="18"/>
        </w:rPr>
        <w:t xml:space="preserve">Rev. Econ. Stud. </w:t>
      </w:r>
      <w:r>
        <w:rPr>
          <w:b/>
          <w:i w:val="0"/>
          <w:sz w:val="18"/>
        </w:rPr>
        <w:t>1991</w:t>
      </w:r>
      <w:r>
        <w:rPr>
          <w:b w:val="0"/>
          <w:i w:val="0"/>
          <w:sz w:val="18"/>
        </w:rPr>
        <w:t xml:space="preserve">, </w:t>
      </w:r>
      <w:r>
        <w:rPr>
          <w:b w:val="0"/>
          <w:i/>
          <w:sz w:val="18"/>
        </w:rPr>
        <w:t>58</w:t>
      </w:r>
      <w:r>
        <w:rPr>
          <w:b w:val="0"/>
          <w:i w:val="0"/>
          <w:sz w:val="18"/>
        </w:rPr>
        <w:t>, 277–297.</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Arellano, M.; Bover, O. </w:t>
      </w:r>
      <w:r>
        <w:rPr>
          <w:b w:val="0"/>
          <w:i w:val="0"/>
          <w:sz w:val="18"/>
        </w:rPr>
        <w:t xml:space="preserve">Another Look at the Instrumental Variable Estimation of Error-Components Models. </w:t>
      </w:r>
      <w:r>
        <w:rPr>
          <w:b w:val="0"/>
          <w:i/>
          <w:sz w:val="18"/>
        </w:rPr>
        <w:t xml:space="preserve">J. Econom. </w:t>
      </w:r>
      <w:r>
        <w:rPr>
          <w:b/>
          <w:i w:val="0"/>
          <w:sz w:val="18"/>
        </w:rPr>
        <w:t>1995</w:t>
      </w:r>
      <w:r>
        <w:rPr>
          <w:b w:val="0"/>
          <w:i w:val="0"/>
          <w:sz w:val="18"/>
        </w:rPr>
        <w:t xml:space="preserve">, </w:t>
      </w:r>
      <w:r>
        <w:rPr>
          <w:b w:val="0"/>
          <w:i/>
          <w:sz w:val="18"/>
        </w:rPr>
        <w:t>68</w:t>
      </w:r>
      <w:r>
        <w:rPr>
          <w:b w:val="0"/>
          <w:i w:val="0"/>
          <w:sz w:val="18"/>
        </w:rPr>
        <w:t>, 29–51.</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Windmeijer, F. </w:t>
      </w:r>
      <w:r>
        <w:rPr>
          <w:b w:val="0"/>
          <w:i w:val="0"/>
          <w:sz w:val="18"/>
        </w:rPr>
        <w:t xml:space="preserve">A Finite Sample Correction for the Variance of Linear Efficient Two-Step GMM Estimators. </w:t>
      </w:r>
      <w:r>
        <w:rPr>
          <w:b w:val="0"/>
          <w:i/>
          <w:sz w:val="18"/>
        </w:rPr>
        <w:t xml:space="preserve">J. Econom. </w:t>
      </w:r>
      <w:r>
        <w:rPr>
          <w:b/>
          <w:i w:val="0"/>
          <w:sz w:val="18"/>
        </w:rPr>
        <w:t>2005</w:t>
      </w:r>
      <w:r>
        <w:rPr>
          <w:b w:val="0"/>
          <w:i w:val="0"/>
          <w:sz w:val="18"/>
        </w:rPr>
        <w:t xml:space="preserve">, </w:t>
      </w:r>
      <w:r>
        <w:rPr>
          <w:b w:val="0"/>
          <w:i/>
          <w:sz w:val="18"/>
        </w:rPr>
        <w:t>126</w:t>
      </w:r>
      <w:r>
        <w:rPr>
          <w:b w:val="0"/>
          <w:i w:val="0"/>
          <w:sz w:val="18"/>
        </w:rPr>
        <w:t>, 25–51.</w:t>
      </w:r>
      <w:r>
        <w:rPr>
          <w:b w:val="0"/>
          <w:i w:val="0"/>
          <w:sz w:val="18"/>
        </w:rPr>
        <w:t xml:space="preserve"> [CrossRef]</w:t>
      </w:r>
    </w:p>
    <w:sectPr w:rsidR="00A86E9F" w:rsidRPr="00DF3FBD" w:rsidSect="002C73CC">
      <w:headerReference w:type="even" r:id="rId11"/>
      <w:headerReference w:type="default" r:id="rId12"/>
      <w:headerReference w:type="first" r:id="rId13"/>
      <w:footerReference w:type="first" r:id="rId14"/>
      <w:footerReference w:type="default" r:id="rId19"/>
      <w:footerReference w:type="even" r:id="rId20"/>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006B3" w14:textId="77777777" w:rsidR="00FA22F0" w:rsidRPr="00AE7596" w:rsidRDefault="00FA22F0">
      <w:pPr>
        <w:spacing w:line="240" w:lineRule="auto"/>
      </w:pPr>
      <w:r w:rsidRPr="00AE7596">
        <w:separator/>
      </w:r>
    </w:p>
  </w:endnote>
  <w:endnote w:type="continuationSeparator" w:id="0">
    <w:p w14:paraId="2DB78588" w14:textId="77777777" w:rsidR="00FA22F0" w:rsidRPr="00AE7596" w:rsidRDefault="00FA22F0">
      <w:pPr>
        <w:spacing w:line="240" w:lineRule="auto"/>
      </w:pPr>
      <w:r w:rsidRPr="00AE7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suppressLineNumbers/>
    </w:pPr>
  </w:p>
  <w:p w14:paraId="15F40FBC" w14:textId="6C398FCE" w:rsidR="00C45F1E" w:rsidRPr="00AE7596" w:rsidRDefault="00C45F1E" w:rsidP="00BA570C">
    <w:pPr>
      <w:tabs>
        <w:tab w:val="right" w:pos="10466"/>
      </w:tabs>
      <w:spacing w:line="240" w:lineRule="auto"/>
      <w:rPr>
        <w:sz w:val="16"/>
        <w:szCs w:val="16"/>
      </w:rPr>
      <w:suppressLineNumbers/>
    </w:pPr>
    <w:r w:rsidRPr="00AE7596">
      <w:rPr>
        <w:i/>
        <w:iCs/>
        <w:sz w:val="16"/>
        <w:szCs w:val="16"/>
      </w:rPr>
      <w:t>Sustainability</w:t>
    </w:r>
    <w:r w:rsidRPr="00AE7596">
      <w:rPr>
        <w:sz w:val="16"/>
        <w:szCs w:val="16"/>
      </w:rPr>
      <w:t xml:space="preserve"> </w:t>
    </w:r>
    <w:r w:rsidR="002C73CC" w:rsidRPr="00AE7596">
      <w:rPr>
        <w:b/>
        <w:bCs/>
        <w:iCs/>
        <w:sz w:val="16"/>
        <w:szCs w:val="16"/>
      </w:rPr>
      <w:t>2025</w:t>
    </w:r>
    <w:r w:rsidR="00632077" w:rsidRPr="00AE7596">
      <w:rPr>
        <w:bCs/>
        <w:iCs/>
        <w:sz w:val="16"/>
        <w:szCs w:val="16"/>
      </w:rPr>
      <w:t>,</w:t>
    </w:r>
    <w:r w:rsidR="002C73CC" w:rsidRPr="00AE7596">
      <w:rPr>
        <w:bCs/>
        <w:i/>
        <w:iCs/>
        <w:sz w:val="16"/>
        <w:szCs w:val="16"/>
      </w:rPr>
      <w:t xml:space="preserve"> 17</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2C73CC" w:rsidRPr="00AE7596">
      <w:rPr>
        <w:sz w:val="16"/>
        <w:szCs w:val="16"/>
      </w:rPr>
      <w:t>https://doi.org/10.3390/xxxxx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28FF" w14:textId="77777777" w:rsidR="00FA22F0" w:rsidRPr="00AE7596" w:rsidRDefault="00FA22F0">
      <w:pPr>
        <w:spacing w:line="240" w:lineRule="auto"/>
      </w:pPr>
      <w:r w:rsidRPr="00AE7596">
        <w:separator/>
      </w:r>
    </w:p>
  </w:footnote>
  <w:footnote w:type="continuationSeparator" w:id="0">
    <w:p w14:paraId="424B648F" w14:textId="77777777" w:rsidR="00FA22F0" w:rsidRPr="00AE7596" w:rsidRDefault="00FA22F0">
      <w:pPr>
        <w:spacing w:line="240" w:lineRule="auto"/>
      </w:pPr>
      <w:r w:rsidRPr="00AE7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56856BBF" w:rsidR="00281E5B" w:rsidRPr="00AE7596" w:rsidRDefault="00C45F1E" w:rsidP="00BA570C">
    <w:pPr>
      <w:tabs>
        <w:tab w:val="right" w:pos="10466"/>
      </w:tabs>
      <w:adjustRightInd w:val="0"/>
      <w:snapToGrid w:val="0"/>
      <w:spacing w:line="240" w:lineRule="auto"/>
      <w:rPr>
        <w:sz w:val="16"/>
      </w:rPr>
      <w:suppressLineNumbers/>
    </w:pPr>
    <w:r w:rsidRPr="00AE7596">
      <w:rPr>
        <w:i/>
        <w:sz w:val="16"/>
      </w:rPr>
      <w:t xml:space="preserve">Sustainability </w:t>
    </w:r>
    <w:r w:rsidR="002C73CC" w:rsidRPr="00AE7596">
      <w:rPr>
        <w:b/>
        <w:sz w:val="16"/>
      </w:rPr>
      <w:t>2025</w:t>
    </w:r>
    <w:r w:rsidR="00632077" w:rsidRPr="00AE7596">
      <w:rPr>
        <w:sz w:val="16"/>
      </w:rPr>
      <w:t>,</w:t>
    </w:r>
    <w:r w:rsidR="002C73CC" w:rsidRPr="00AE7596">
      <w:rPr>
        <w:i/>
        <w:sz w:val="16"/>
      </w:rPr>
      <w:t xml:space="preserve"> 17</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suppressLineNumbers/>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suppressLineNumbers/>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suppressLineNumbers/>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993666">
    <w:abstractNumId w:val="6"/>
  </w:num>
  <w:num w:numId="2" w16cid:durableId="1509054446">
    <w:abstractNumId w:val="8"/>
  </w:num>
  <w:num w:numId="3" w16cid:durableId="1113590912">
    <w:abstractNumId w:val="4"/>
  </w:num>
  <w:num w:numId="4" w16cid:durableId="7317803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9608438">
    <w:abstractNumId w:val="7"/>
  </w:num>
  <w:num w:numId="6" w16cid:durableId="473181297">
    <w:abstractNumId w:val="10"/>
  </w:num>
  <w:num w:numId="7" w16cid:durableId="195194816">
    <w:abstractNumId w:val="2"/>
  </w:num>
  <w:num w:numId="8" w16cid:durableId="244807432">
    <w:abstractNumId w:val="10"/>
  </w:num>
  <w:num w:numId="9" w16cid:durableId="1036198040">
    <w:abstractNumId w:val="2"/>
  </w:num>
  <w:num w:numId="10" w16cid:durableId="993417376">
    <w:abstractNumId w:val="10"/>
  </w:num>
  <w:num w:numId="11" w16cid:durableId="124591053">
    <w:abstractNumId w:val="2"/>
  </w:num>
  <w:num w:numId="12" w16cid:durableId="1437142715">
    <w:abstractNumId w:val="11"/>
  </w:num>
  <w:num w:numId="13" w16cid:durableId="1884321205">
    <w:abstractNumId w:val="10"/>
  </w:num>
  <w:num w:numId="14" w16cid:durableId="146168580">
    <w:abstractNumId w:val="2"/>
  </w:num>
  <w:num w:numId="15" w16cid:durableId="2073844841">
    <w:abstractNumId w:val="1"/>
  </w:num>
  <w:num w:numId="16" w16cid:durableId="859780803">
    <w:abstractNumId w:val="9"/>
  </w:num>
  <w:num w:numId="17" w16cid:durableId="1042906778">
    <w:abstractNumId w:val="0"/>
  </w:num>
  <w:num w:numId="18" w16cid:durableId="1299140370">
    <w:abstractNumId w:val="10"/>
  </w:num>
  <w:num w:numId="19" w16cid:durableId="1616598920">
    <w:abstractNumId w:val="2"/>
  </w:num>
  <w:num w:numId="20" w16cid:durableId="1242713542">
    <w:abstractNumId w:val="1"/>
  </w:num>
  <w:num w:numId="21" w16cid:durableId="1702782998">
    <w:abstractNumId w:val="0"/>
  </w:num>
  <w:num w:numId="22" w16cid:durableId="1290279064">
    <w:abstractNumId w:val="5"/>
  </w:num>
  <w:num w:numId="23" w16cid:durableId="201018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9420B"/>
    <w:rsid w:val="00295161"/>
    <w:rsid w:val="00297A33"/>
    <w:rsid w:val="002B76DC"/>
    <w:rsid w:val="002C338C"/>
    <w:rsid w:val="002C73CC"/>
    <w:rsid w:val="002D650D"/>
    <w:rsid w:val="002E57DB"/>
    <w:rsid w:val="002E5B86"/>
    <w:rsid w:val="002F1BFE"/>
    <w:rsid w:val="00316C89"/>
    <w:rsid w:val="00326141"/>
    <w:rsid w:val="00330A75"/>
    <w:rsid w:val="003337EA"/>
    <w:rsid w:val="00337833"/>
    <w:rsid w:val="00354A5A"/>
    <w:rsid w:val="003746CD"/>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A4BBA"/>
    <w:rsid w:val="004B0B17"/>
    <w:rsid w:val="004B4287"/>
    <w:rsid w:val="004C3F57"/>
    <w:rsid w:val="004C46B1"/>
    <w:rsid w:val="004E0F98"/>
    <w:rsid w:val="004E21A1"/>
    <w:rsid w:val="004E5DF9"/>
    <w:rsid w:val="004F0E02"/>
    <w:rsid w:val="005022B4"/>
    <w:rsid w:val="005028E5"/>
    <w:rsid w:val="00502EEE"/>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D3203"/>
    <w:rsid w:val="00CE7302"/>
    <w:rsid w:val="00D07230"/>
    <w:rsid w:val="00D14CE0"/>
    <w:rsid w:val="00D223A8"/>
    <w:rsid w:val="00D2684C"/>
    <w:rsid w:val="00D32E9B"/>
    <w:rsid w:val="00D474EE"/>
    <w:rsid w:val="00D501D8"/>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6213"/>
    <w:rsid w:val="00FF00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00AA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E9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A86E9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A86E9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A86E9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A86E9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A86E9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86E9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A86E9F"/>
    <w:rPr>
      <w:rFonts w:ascii="Palatino Linotype" w:hAnsi="Palatino Linotype"/>
      <w:noProof/>
      <w:color w:val="000000"/>
      <w:szCs w:val="18"/>
    </w:rPr>
  </w:style>
  <w:style w:type="paragraph" w:customStyle="1" w:styleId="MDPI32textnoindent">
    <w:name w:val="MDPI_3.2_text_no_indent"/>
    <w:basedOn w:val="MDPI31text"/>
    <w:qFormat/>
    <w:rsid w:val="00A86E9F"/>
    <w:pPr>
      <w:ind w:firstLine="0"/>
    </w:pPr>
  </w:style>
  <w:style w:type="paragraph" w:customStyle="1" w:styleId="MDPI31text">
    <w:name w:val="MDPI_3.1_text"/>
    <w:qFormat/>
    <w:rsid w:val="003D1D4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A86E9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A86E9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86E9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A86E9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A86E9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A86E9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A86E9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A86E9F"/>
    <w:pPr>
      <w:keepNext/>
      <w:keepLines/>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A86E9F"/>
    <w:pPr>
      <w:keepNext/>
      <w:keepLines/>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A86E9F"/>
    <w:pPr>
      <w:keepNext/>
      <w:keepLines/>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A86E9F"/>
    <w:rPr>
      <w:rFonts w:cs="Tahoma"/>
      <w:szCs w:val="18"/>
    </w:rPr>
  </w:style>
  <w:style w:type="character" w:customStyle="1" w:styleId="BalloonTextChar">
    <w:name w:val="Balloon Text Char"/>
    <w:link w:val="BalloonText"/>
    <w:uiPriority w:val="99"/>
    <w:rsid w:val="00A86E9F"/>
    <w:rPr>
      <w:rFonts w:ascii="Palatino Linotype" w:hAnsi="Palatino Linotype" w:cs="Tahoma"/>
      <w:noProof/>
      <w:color w:val="000000"/>
      <w:szCs w:val="18"/>
    </w:rPr>
  </w:style>
  <w:style w:type="character" w:styleId="LineNumber">
    <w:name w:val="line number"/>
    <w:uiPriority w:val="99"/>
    <w:rsid w:val="00AF0644"/>
    <w:rPr>
      <w:rFonts w:ascii="Palatino Linotype" w:hAnsi="Palatino Linotype"/>
      <w:sz w:val="16"/>
    </w:rPr>
  </w:style>
  <w:style w:type="table" w:customStyle="1" w:styleId="MDPI41threelin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A86E9F"/>
    <w:rPr>
      <w:color w:val="0000FF"/>
      <w:u w:val="single"/>
    </w:rPr>
  </w:style>
  <w:style w:type="character" w:styleId="UnresolvedMention">
    <w:name w:val="Unresolved Mention"/>
    <w:uiPriority w:val="99"/>
    <w:semiHidden/>
    <w:unhideWhenUsed/>
    <w:rsid w:val="004C46B1"/>
    <w:rPr>
      <w:color w:val="605E5C"/>
      <w:shd w:val="clear" w:color="auto" w:fill="E1DFDD"/>
    </w:rPr>
  </w:style>
  <w:style w:type="paragraph" w:styleId="Footer">
    <w:name w:val="footer"/>
    <w:basedOn w:val="Normal"/>
    <w:link w:val="FooterChar"/>
    <w:uiPriority w:val="99"/>
    <w:rsid w:val="00A86E9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A86E9F"/>
    <w:rPr>
      <w:rFonts w:ascii="Palatino Linotype" w:hAnsi="Palatino Linotype"/>
      <w:noProof/>
      <w:color w:val="000000"/>
      <w:szCs w:val="18"/>
    </w:rPr>
  </w:style>
  <w:style w:type="table" w:styleId="PlainTable4">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A86E9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A86E9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A86E9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A86E9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A86E9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A86E9F"/>
  </w:style>
  <w:style w:type="paragraph" w:styleId="Bibliography">
    <w:name w:val="Bibliography"/>
    <w:basedOn w:val="Normal"/>
    <w:next w:val="Normal"/>
    <w:uiPriority w:val="37"/>
    <w:semiHidden/>
    <w:unhideWhenUsed/>
    <w:rsid w:val="00A86E9F"/>
  </w:style>
  <w:style w:type="paragraph" w:styleId="BodyText">
    <w:name w:val="Body Text"/>
    <w:link w:val="BodyTextChar"/>
    <w:rsid w:val="00A86E9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A86E9F"/>
    <w:rPr>
      <w:rFonts w:ascii="Palatino Linotype" w:hAnsi="Palatino Linotype"/>
      <w:color w:val="000000"/>
      <w:sz w:val="24"/>
      <w:lang w:eastAsia="de-DE"/>
    </w:rPr>
  </w:style>
  <w:style w:type="character" w:styleId="CommentReference">
    <w:name w:val="annotation reference"/>
    <w:rsid w:val="00A86E9F"/>
    <w:rPr>
      <w:sz w:val="21"/>
      <w:szCs w:val="21"/>
    </w:rPr>
  </w:style>
  <w:style w:type="paragraph" w:styleId="CommentText">
    <w:name w:val="annotation text"/>
    <w:basedOn w:val="Normal"/>
    <w:link w:val="CommentTextChar"/>
    <w:rsid w:val="00A86E9F"/>
  </w:style>
  <w:style w:type="character" w:customStyle="1" w:styleId="CommentTextChar">
    <w:name w:val="Comment Text Char"/>
    <w:link w:val="CommentText"/>
    <w:rsid w:val="00A86E9F"/>
    <w:rPr>
      <w:rFonts w:ascii="Palatino Linotype" w:hAnsi="Palatino Linotype"/>
      <w:noProof/>
      <w:color w:val="000000"/>
    </w:rPr>
  </w:style>
  <w:style w:type="paragraph" w:styleId="CommentSubject">
    <w:name w:val="annotation subject"/>
    <w:basedOn w:val="CommentText"/>
    <w:next w:val="CommentText"/>
    <w:link w:val="CommentSubjectChar"/>
    <w:rsid w:val="00A86E9F"/>
    <w:rPr>
      <w:b/>
      <w:bCs/>
    </w:rPr>
  </w:style>
  <w:style w:type="character" w:customStyle="1" w:styleId="CommentSubjectChar">
    <w:name w:val="Comment Subject Char"/>
    <w:link w:val="CommentSubject"/>
    <w:rsid w:val="00A86E9F"/>
    <w:rPr>
      <w:rFonts w:ascii="Palatino Linotype" w:hAnsi="Palatino Linotype"/>
      <w:b/>
      <w:bCs/>
      <w:noProof/>
      <w:color w:val="000000"/>
    </w:rPr>
  </w:style>
  <w:style w:type="character" w:styleId="EndnoteReference">
    <w:name w:val="endnote reference"/>
    <w:rsid w:val="00A86E9F"/>
    <w:rPr>
      <w:vertAlign w:val="superscript"/>
    </w:rPr>
  </w:style>
  <w:style w:type="paragraph" w:styleId="EndnoteText">
    <w:name w:val="endnote text"/>
    <w:basedOn w:val="Normal"/>
    <w:link w:val="EndnoteTextChar"/>
    <w:semiHidden/>
    <w:unhideWhenUsed/>
    <w:rsid w:val="00A86E9F"/>
    <w:pPr>
      <w:spacing w:line="240" w:lineRule="auto"/>
    </w:pPr>
  </w:style>
  <w:style w:type="character" w:customStyle="1" w:styleId="EndnoteTextChar">
    <w:name w:val="Endnote Text Char"/>
    <w:link w:val="EndnoteText"/>
    <w:semiHidden/>
    <w:rsid w:val="00A86E9F"/>
    <w:rPr>
      <w:rFonts w:ascii="Palatino Linotype" w:hAnsi="Palatino Linotype"/>
      <w:noProof/>
      <w:color w:val="000000"/>
    </w:rPr>
  </w:style>
  <w:style w:type="character" w:styleId="FollowedHyperlink">
    <w:name w:val="FollowedHyperlink"/>
    <w:rsid w:val="00A86E9F"/>
    <w:rPr>
      <w:color w:val="954F72"/>
      <w:u w:val="single"/>
    </w:rPr>
  </w:style>
  <w:style w:type="paragraph" w:styleId="FootnoteText">
    <w:name w:val="footnote text"/>
    <w:basedOn w:val="Normal"/>
    <w:link w:val="FootnoteTextChar"/>
    <w:semiHidden/>
    <w:unhideWhenUsed/>
    <w:rsid w:val="00A86E9F"/>
    <w:pPr>
      <w:spacing w:line="240" w:lineRule="auto"/>
    </w:pPr>
  </w:style>
  <w:style w:type="character" w:customStyle="1" w:styleId="FootnoteTextChar">
    <w:name w:val="Footnote Text Char"/>
    <w:link w:val="FootnoteText"/>
    <w:semiHidden/>
    <w:rsid w:val="00A86E9F"/>
    <w:rPr>
      <w:rFonts w:ascii="Palatino Linotype" w:hAnsi="Palatino Linotype"/>
      <w:noProof/>
      <w:color w:val="000000"/>
    </w:rPr>
  </w:style>
  <w:style w:type="paragraph" w:styleId="NormalWeb">
    <w:name w:val="Normal (Web)"/>
    <w:basedOn w:val="Normal"/>
    <w:uiPriority w:val="99"/>
    <w:rsid w:val="00A86E9F"/>
    <w:rPr>
      <w:szCs w:val="24"/>
    </w:rPr>
  </w:style>
  <w:style w:type="paragraph" w:customStyle="1" w:styleId="MsoFootnoteText0">
    <w:name w:val="MsoFootnoteText"/>
    <w:basedOn w:val="NormalWeb"/>
    <w:qFormat/>
    <w:rsid w:val="00A86E9F"/>
    <w:rPr>
      <w:rFonts w:ascii="Times New Roman" w:hAnsi="Times New Roman"/>
    </w:rPr>
  </w:style>
  <w:style w:type="character" w:styleId="PageNumber">
    <w:name w:val="page number"/>
    <w:rsid w:val="00A86E9F"/>
  </w:style>
  <w:style w:type="character" w:styleId="PlaceholderText">
    <w:name w:val="Placeholder Text"/>
    <w:uiPriority w:val="99"/>
    <w:semiHidden/>
    <w:rsid w:val="00A86E9F"/>
    <w:rPr>
      <w:color w:val="808080"/>
    </w:rPr>
  </w:style>
  <w:style w:type="paragraph" w:customStyle="1" w:styleId="MDPI71footnotes">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06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footer" Target="footer2.xml"/><Relationship Id="rId20"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2</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2025-08-12T07:53:00Z</dcterms:created>
  <dcterms:modified xsi:type="dcterms:W3CDTF">2025-08-12T07:53:00Z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51cee8ffc7805cfc103bcaa12fcf6366a37463e6398c02bb41b74ddc551b5faa</vt:lpwstr>
  </property>
</Properties>
</file>