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MDPI11articletype"/>
      </w:pPr>
      <w:r>
        <w:t>Article</w:t>
      </w:r>
    </w:p>
    <w:p>
      <w:pPr>
        <w:pStyle w:val="MDPI12title"/>
      </w:pPr>
      <w:r>
        <w:t>Too Much of a Good Thing? How the Depth of Generative Artificial Intelligence Adoption Shapes Youth Employment in Chinese Listed Firms</w:t>
      </w:r>
    </w:p>
    <w:p>
      <w:pPr>
        <w:pStyle w:val="MDPI13authornames"/>
      </w:pPr>
      <w:r>
        <w:rPr/>
        <w:t xml:space="preserve">Xinyu Cai </w:t>
      </w:r>
      <w:r>
        <w:rPr>
          <w:vertAlign w:val="superscript"/>
        </w:rPr>
        <w:t>1</w:t>
      </w:r>
      <w:r>
        <w:rPr/>
        <w:t xml:space="preserve"> and Tiantian Mo </w:t>
      </w:r>
      <w:r>
        <w:rPr>
          <w:vertAlign w:val="superscript"/>
        </w:rPr>
        <w:t>1,*</w:t>
      </w:r>
    </w:p>
    <w:p>
      <w:pPr>
        <w:pStyle w:val="MDPI15academiceditor"/>
      </w:pPr>
      <w:r>
        <w:t>Academic Editor: Ali Ahsan</w:t>
      </w:r>
    </w:p>
    <w:p>
      <w:pPr>
        <w:pStyle w:val="MDPI14history"/>
      </w:pPr>
      <w:r>
        <w:t>Received: date</w:t>
      </w:r>
    </w:p>
    <w:p>
      <w:pPr>
        <w:pStyle w:val="MDPI14history"/>
      </w:pPr>
      <w:r>
        <w:t>Revised: date</w:t>
      </w:r>
    </w:p>
    <w:p>
      <w:pPr>
        <w:pStyle w:val="MDPI14history"/>
      </w:pPr>
      <w:r>
        <w:t>Accepted: date</w:t>
      </w:r>
    </w:p>
    <w:p>
      <w:pPr>
        <w:pStyle w:val="MDPI14history"/>
      </w:pPr>
      <w:r>
        <w:t>Published: date</w:t>
      </w:r>
    </w:p>
    <w:p>
      <w:pPr>
        <w:pStyle w:val="MDPI61citation"/>
      </w:pPr>
      <w:r>
        <w:t>Citation: To be added by editorial staff during production.</w:t>
      </w:r>
    </w:p>
    <w:p>
      <w:pPr>
        <w:pStyle w:val="MDPI72copyright"/>
      </w:pPr>
      <w:r>
        <w:t>Copyright: © 2026 by the authors. Submitted for possible open access publication under the terms and conditions of the Creative Commons Attribution (CC BY) license (https://creativecommons.org/licenses/by/4.0/).</w:t>
      </w:r>
    </w:p>
    <w:p>
      <w:pPr>
        <w:pStyle w:val="MDPI16affiliation"/>
      </w:pPr>
      <w:r>
        <w:rPr>
          <w:b w:val="0"/>
          <w:vertAlign w:val="superscript"/>
        </w:rPr>
        <w:t>1</w:t>
      </w:r>
      <w:r>
        <w:tab/>
        <w:t>College of Business, Jiaxing University, Jiaxing 314001, China; caixinyu@zjxu.edu.cn</w:t>
      </w:r>
    </w:p>
    <w:p>
      <w:pPr>
        <w:pStyle w:val="MDPI16affiliation"/>
      </w:pPr>
      <w:r>
        <w:rPr>
          <w:b/>
        </w:rPr>
        <w:t>*</w:t>
      </w:r>
      <w:r>
        <w:tab/>
        <w:t>Correspondence: 00008227@zjxu.edu.cn</w:t>
      </w:r>
    </w:p>
    <w:p>
      <w:pPr>
        <w:pStyle w:val="MDPI17abstract"/>
      </w:pPr>
      <w:r>
        <w:rPr>
          <w:b/>
        </w:rPr>
        <w:t>Abstract</w:t>
      </w:r>
    </w:p>
    <w:p>
      <w:pPr>
        <w:pStyle w:val="MDPI17abstract"/>
      </w:pPr>
      <w:r>
        <w:rPr>
          <w:b w:val="0"/>
          <w:i w:val="0"/>
        </w:rPr>
        <w:t>Whether generative artificial intelligence destroys or creates entry-level employment is contested, and the firm-level evidence is contradictory. This study argues that the contradiction is a functional-form artefact: the relationship is not monotone but inverted U-shaped, because the augmentation of entry-level work saturates while the automation of the entry-level task bundle accelerates. Using 27,320 firm-year observations for 3,400 Chinese A-share listed firms over 2016–2025 and a text-based measure of adoption depth, a linear specification finds nothing (−0.019, p = 0.80), whereas a quadratic specification finds a strongly significant inverted U (2.952 on depth and −0.692 on its square, both significant at the 1% level). The Lind–Mehlum test rejects monotonicity (t = 13.91, p &lt; 0.001) and the extreme point, 2.132, lies inside the observed range, with 42.9% of post-shock observations already beyond it. Moderate adoption raises the share of employees aged 30 or below by up to 3.15 percentage points; at the deepest observed adoption the firm is 1.84 points below where it started. A channel decomposition shows why: augmentation is concave and automation convex, and together they absorb the curvature. The turning point is not a technological constant. Organisational learning capability delays it by 0.51 and disclosed AI governance by 0.67 units of depth, while labour cost pressure brings it forward by 0.56. The policy question is therefore not whether firms should adopt but how far they can go before the entry port closes, and how much further organisational design can push that frontier.</w:t>
      </w:r>
    </w:p>
    <w:p>
      <w:pPr>
        <w:pStyle w:val="MDPI18keywords"/>
      </w:pPr>
      <w:r>
        <w:rPr>
          <w:b/>
        </w:rPr>
        <w:t xml:space="preserve">Keywords: </w:t>
      </w:r>
      <w:r>
        <w:t>generative artificial intelligence; youth employment; inverted U-shaped relationship; adoption depth; organisational learning; AI governance; task automation</w:t>
      </w:r>
    </w:p>
    <w:p>
      <w:pPr>
        <w:pStyle w:val="MDPI19line"/>
      </w:pPr>
    </w:p>
    <w:p>
      <w:pPr>
        <w:pStyle w:val="MDPI21heading1"/>
      </w:pPr>
      <w:r>
        <w:t>1. Introduction</w:t>
      </w:r>
    </w:p>
    <w:p>
      <w:pPr>
        <w:pStyle w:val="MDPI32textnoindent"/>
      </w:pPr>
      <w:r>
        <w:rPr>
          <w:b w:val="0"/>
          <w:i w:val="0"/>
        </w:rPr>
        <w:t xml:space="preserve">The labour-market debate about generative artificial intelligence (GenAI) has produced two literatures that do not agree. One documents large productivity gains concentrated among the least experienced: customer-support agents resolved 14% more issues per hour and novices gained about 30% while their most experienced colleagues gained little </w:t>
      </w:r>
      <w:r>
        <w:t>[</w:t>
      </w:r>
      <w:r>
        <w:fldChar w:fldCharType="begin"/>
      </w:r>
      <w:r>
        <w:instrText xml:space="preserve"> REF _Ref_1 \h </w:instrText>
      </w:r>
      <w:r>
        <w:fldChar w:fldCharType="separate"/>
      </w:r>
      <w:r>
        <w:t>1</w:t>
      </w:r>
      <w:r>
        <w:fldChar w:fldCharType="end"/>
      </w:r>
      <w:r>
        <w:t>]</w:t>
      </w:r>
      <w:r>
        <w:rPr>
          <w:b w:val="0"/>
          <w:i w:val="0"/>
        </w:rPr>
        <w:t xml:space="preserve">, professional writers completed tasks roughly 40% faster </w:t>
      </w:r>
      <w:r>
        <w:t>[</w:t>
      </w:r>
      <w:r>
        <w:fldChar w:fldCharType="begin"/>
      </w:r>
      <w:r>
        <w:instrText xml:space="preserve"> REF _Ref_2 \h </w:instrText>
      </w:r>
      <w:r>
        <w:fldChar w:fldCharType="separate"/>
      </w:r>
      <w:r>
        <w:t>2</w:t>
      </w:r>
      <w:r>
        <w:fldChar w:fldCharType="end"/>
      </w:r>
      <w:r>
        <w:t>]</w:t>
      </w:r>
      <w:r>
        <w:rPr>
          <w:b w:val="0"/>
          <w:i w:val="0"/>
        </w:rPr>
        <w:t xml:space="preserve">, the lowest-performing entrepreneurs benefited while the highest-performing ones did not </w:t>
      </w:r>
      <w:r>
        <w:t>[</w:t>
      </w:r>
      <w:r>
        <w:fldChar w:fldCharType="begin"/>
      </w:r>
      <w:r>
        <w:instrText xml:space="preserve"> REF _Ref_3 \h </w:instrText>
      </w:r>
      <w:r>
        <w:fldChar w:fldCharType="separate"/>
      </w:r>
      <w:r>
        <w:t>3</w:t>
      </w:r>
      <w:r>
        <w:fldChar w:fldCharType="end"/>
      </w:r>
      <w:r>
        <w:t>]</w:t>
      </w:r>
      <w:r>
        <w:rPr>
          <w:b w:val="0"/>
          <w:i w:val="0"/>
        </w:rPr>
        <w:t xml:space="preserve">, and less experienced developers both adopted the tool more readily and gained more from it </w:t>
      </w:r>
      <w:r>
        <w:t>[</w:t>
      </w:r>
      <w:r>
        <w:fldChar w:fldCharType="begin"/>
      </w:r>
      <w:r>
        <w:instrText xml:space="preserve"> REF _Ref_4 \h </w:instrText>
      </w:r>
      <w:r>
        <w:fldChar w:fldCharType="separate"/>
      </w:r>
      <w:r>
        <w:t>4</w:t>
      </w:r>
      <w:r>
        <w:fldChar w:fldCharType="end"/>
      </w:r>
      <w:r>
        <w:t>,</w:t>
      </w:r>
      <w:r>
        <w:fldChar w:fldCharType="begin"/>
      </w:r>
      <w:r>
        <w:instrText xml:space="preserve"> REF _Ref_5 \h </w:instrText>
      </w:r>
      <w:r>
        <w:fldChar w:fldCharType="separate"/>
      </w:r>
      <w:r>
        <w:t>5</w:t>
      </w:r>
      <w:r>
        <w:fldChar w:fldCharType="end"/>
      </w:r>
      <w:r>
        <w:t>]</w:t>
      </w:r>
      <w:r>
        <w:rPr>
          <w:b w:val="0"/>
          <w:i w:val="0"/>
        </w:rPr>
        <w:t xml:space="preserve">. Read at face value, this experience-compressing property should make young workers more, not less, attractive to firms. The other literature documents the opposite. United States payroll microdata show a relative employment decline of 13–16% for workers aged 22–25 in the most exposed occupations after late 2022 </w:t>
      </w:r>
      <w:r>
        <w:t>[</w:t>
      </w:r>
      <w:r>
        <w:fldChar w:fldCharType="begin"/>
      </w:r>
      <w:r>
        <w:instrText xml:space="preserve"> REF _Ref_6 \h </w:instrText>
      </w:r>
      <w:r>
        <w:fldChar w:fldCharType="separate"/>
      </w:r>
      <w:r>
        <w:t>6</w:t>
      </w:r>
      <w:r>
        <w:fldChar w:fldCharType="end"/>
      </w:r>
      <w:r>
        <w:t>]</w:t>
      </w:r>
      <w:r>
        <w:rPr>
          <w:b w:val="0"/>
          <w:i w:val="0"/>
        </w:rPr>
        <w:t xml:space="preserve">, and online labour markets show sharp falls in postings for automation-prone work </w:t>
      </w:r>
      <w:r>
        <w:t>[</w:t>
      </w:r>
      <w:r>
        <w:fldChar w:fldCharType="begin"/>
      </w:r>
      <w:r>
        <w:instrText xml:space="preserve"> REF _Ref_7 \h </w:instrText>
      </w:r>
      <w:r>
        <w:fldChar w:fldCharType="separate"/>
      </w:r>
      <w:r>
        <w:t>7</w:t>
      </w:r>
      <w:r>
        <w:fldChar w:fldCharType="end"/>
      </w:r>
      <w:r>
        <w:t>]</w:t>
      </w:r>
      <w:r>
        <w:rPr>
          <w:b w:val="0"/>
          <w:i w:val="0"/>
        </w:rPr>
        <w:t xml:space="preserve">. Other designs over the same window find almost nothing </w:t>
      </w:r>
      <w:r>
        <w:t>[</w:t>
      </w:r>
      <w:r>
        <w:fldChar w:fldCharType="begin"/>
      </w:r>
      <w:r>
        <w:instrText xml:space="preserve"> REF _Ref_8 \h </w:instrText>
      </w:r>
      <w:r>
        <w:fldChar w:fldCharType="separate"/>
      </w:r>
      <w:r>
        <w:t>8</w:t>
      </w:r>
      <w:r>
        <w:fldChar w:fldCharType="end"/>
      </w:r>
      <w:r>
        <w:t>]</w:t>
      </w:r>
      <w:r>
        <w:rPr>
          <w:b w:val="0"/>
          <w:i w:val="0"/>
        </w:rPr>
        <w:t xml:space="preserve">, and meta-analytic evidence on human–AI combinations finds that the sign of the effect depends on the task </w:t>
      </w:r>
      <w:r>
        <w:t>[</w:t>
      </w:r>
      <w:r>
        <w:fldChar w:fldCharType="begin"/>
      </w:r>
      <w:r>
        <w:instrText xml:space="preserve"> REF _Ref_9 \h </w:instrText>
      </w:r>
      <w:r>
        <w:fldChar w:fldCharType="separate"/>
      </w:r>
      <w:r>
        <w:t>9</w:t>
      </w:r>
      <w:r>
        <w:fldChar w:fldCharType="end"/>
      </w:r>
      <w:r>
        <w:t>]</w:t>
      </w:r>
      <w:r>
        <w:rPr>
          <w:b w:val="0"/>
          <w:i w:val="0"/>
        </w:rPr>
        <w:t xml:space="preserve">. Adoption itself has been extraordinarily fast by historical standards </w:t>
      </w:r>
      <w:r>
        <w:t>[</w:t>
      </w:r>
      <w:r>
        <w:fldChar w:fldCharType="begin"/>
      </w:r>
      <w:r>
        <w:instrText xml:space="preserve"> REF _Ref_10 \h </w:instrText>
      </w:r>
      <w:r>
        <w:fldChar w:fldCharType="separate"/>
      </w:r>
      <w:r>
        <w:t>10</w:t>
      </w:r>
      <w:r>
        <w:fldChar w:fldCharType="end"/>
      </w:r>
      <w:r>
        <w:t>]</w:t>
      </w:r>
      <w:r>
        <w:rPr>
          <w:b w:val="0"/>
          <w:i w:val="0"/>
        </w:rPr>
        <w:t xml:space="preserve">, so firms have had little time to adjust job structures gradually, and the stakes for young workers are high: youth unemployment and the share of young people not in employment, education or training remain the most stubborn features of the global labour market </w:t>
      </w:r>
      <w:r>
        <w:t>[</w:t>
      </w:r>
      <w:r>
        <w:fldChar w:fldCharType="begin"/>
      </w:r>
      <w:r>
        <w:instrText xml:space="preserve"> REF _Ref_11 \h </w:instrText>
      </w:r>
      <w:r>
        <w:fldChar w:fldCharType="separate"/>
      </w:r>
      <w:r>
        <w:t>11</w:t>
      </w:r>
      <w:r>
        <w:fldChar w:fldCharType="end"/>
      </w:r>
      <w:r>
        <w:t>]</w:t>
      </w:r>
      <w:r>
        <w:rPr>
          <w:b w:val="0"/>
          <w:i w:val="0"/>
        </w:rPr>
        <w:t xml:space="preserve">, while employers themselves expect AI to displace and create work at unprecedented speed </w:t>
      </w:r>
      <w:r>
        <w:t>[</w:t>
      </w:r>
      <w:r>
        <w:fldChar w:fldCharType="begin"/>
      </w:r>
      <w:r>
        <w:instrText xml:space="preserve"> REF _Ref_12 \h </w:instrText>
      </w:r>
      <w:r>
        <w:fldChar w:fldCharType="separate"/>
      </w:r>
      <w:r>
        <w:t>12</w:t>
      </w:r>
      <w:r>
        <w:fldChar w:fldCharType="end"/>
      </w:r>
      <w:r>
        <w:t>]</w:t>
      </w:r>
      <w:r>
        <w:rPr>
          <w:b w:val="0"/>
          <w:i w:val="0"/>
        </w:rPr>
        <w:t>.</w:t>
      </w:r>
    </w:p>
    <w:p>
      <w:pPr>
        <w:pStyle w:val="MDPI31text"/>
      </w:pPr>
      <w:r>
        <w:rPr>
          <w:b w:val="0"/>
          <w:i w:val="0"/>
        </w:rPr>
        <w:t>This paper argues that the disagreement is not primarily about data or identification but about functional form. Almost every study estimates a monotone relationship. If the true relationship is inverted U-shaped, a linear estimate is a weighted average of a positive and a negative segment, its sign depends on where the sample happens to sit on the curve, and studies with different adoption distributions will disagree even when they are all correct. We show that this is exactly what happens.</w:t>
      </w:r>
    </w:p>
    <w:p>
      <w:pPr>
        <w:pStyle w:val="MDPI31text"/>
      </w:pPr>
      <w:r>
        <w:rPr>
          <w:b w:val="0"/>
          <w:i w:val="0"/>
        </w:rPr>
        <w:t xml:space="preserve">The economic argument has two parts, both grounded in the task-based account of automation </w:t>
      </w:r>
      <w:r>
        <w:t>[</w:t>
      </w:r>
      <w:r>
        <w:fldChar w:fldCharType="begin"/>
      </w:r>
      <w:r>
        <w:instrText xml:space="preserve"> REF _Ref_13 \h </w:instrText>
      </w:r>
      <w:r>
        <w:fldChar w:fldCharType="separate"/>
      </w:r>
      <w:r>
        <w:t>13</w:t>
      </w:r>
      <w:r>
        <w:fldChar w:fldCharType="end"/>
      </w:r>
      <w:r>
        <w:t>–</w:t>
      </w:r>
      <w:r>
        <w:fldChar w:fldCharType="begin"/>
      </w:r>
      <w:r>
        <w:instrText xml:space="preserve"> REF _Ref_15 \h </w:instrText>
      </w:r>
      <w:r>
        <w:fldChar w:fldCharType="separate"/>
      </w:r>
      <w:r>
        <w:t>15</w:t>
      </w:r>
      <w:r>
        <w:fldChar w:fldCharType="end"/>
      </w:r>
      <w:r>
        <w:t>]</w:t>
      </w:r>
      <w:r>
        <w:rPr>
          <w:b w:val="0"/>
          <w:i w:val="0"/>
        </w:rPr>
        <w:t xml:space="preserve">. GenAI first acts on entry-level work as an augmentation technology. It supplies the judgement that a new entrant has not yet accumulated, compressing the experience required to perform codified professional tasks </w:t>
      </w:r>
      <w:r>
        <w:t>[</w:t>
      </w:r>
      <w:r>
        <w:fldChar w:fldCharType="begin"/>
      </w:r>
      <w:r>
        <w:instrText xml:space="preserve"> REF _Ref_1 \h </w:instrText>
      </w:r>
      <w:r>
        <w:fldChar w:fldCharType="separate"/>
      </w:r>
      <w:r>
        <w:t>1</w:t>
      </w:r>
      <w:r>
        <w:fldChar w:fldCharType="end"/>
      </w:r>
      <w:r>
        <w:t>,</w:t>
      </w:r>
      <w:r>
        <w:fldChar w:fldCharType="begin"/>
      </w:r>
      <w:r>
        <w:instrText xml:space="preserve"> REF _Ref_16 \h </w:instrText>
      </w:r>
      <w:r>
        <w:fldChar w:fldCharType="separate"/>
      </w:r>
      <w:r>
        <w:t>16</w:t>
      </w:r>
      <w:r>
        <w:fldChar w:fldCharType="end"/>
      </w:r>
      <w:r>
        <w:t>]</w:t>
      </w:r>
      <w:r>
        <w:rPr>
          <w:b w:val="0"/>
          <w:i w:val="0"/>
        </w:rPr>
        <w:t>. This lowers the effective experience threshold of the entry position and makes the young a better buy. But the gains are front-loaded: the easiest tasks are assisted first, and each additional unit of depth reaches work for which model assistance is less useful, so augmentation is concave. Automation is not. As adoption deepens the technology moves from assisting the entry-level worker to executing the entry-level task bundle without one, and because an entry position is defined by that bundle, the marginal displacement grows rather than shrinks. Concave benefit and convex cost imply a single interior maximum: an inverted U.</w:t>
      </w:r>
    </w:p>
    <w:p>
      <w:pPr>
        <w:pStyle w:val="MDPI31text"/>
      </w:pPr>
      <w:r>
        <w:rPr>
          <w:b w:val="0"/>
          <w:i w:val="0"/>
        </w:rPr>
        <w:t xml:space="preserve">The second part is that the location of the maximum is an organisational variable. Firms are socio-technical systems in which the technical and the social subsystem are jointly responsible for performance </w:t>
      </w:r>
      <w:r>
        <w:t>[</w:t>
      </w:r>
      <w:r>
        <w:fldChar w:fldCharType="begin"/>
      </w:r>
      <w:r>
        <w:instrText xml:space="preserve"> REF _Ref_17 \h </w:instrText>
      </w:r>
      <w:r>
        <w:fldChar w:fldCharType="separate"/>
      </w:r>
      <w:r>
        <w:t>17</w:t>
      </w:r>
      <w:r>
        <w:fldChar w:fldCharType="end"/>
      </w:r>
      <w:r>
        <w:t>–</w:t>
      </w:r>
      <w:r>
        <w:fldChar w:fldCharType="begin"/>
      </w:r>
      <w:r>
        <w:instrText xml:space="preserve"> REF _Ref_19 \h </w:instrText>
      </w:r>
      <w:r>
        <w:fldChar w:fldCharType="separate"/>
      </w:r>
      <w:r>
        <w:t>19</w:t>
      </w:r>
      <w:r>
        <w:fldChar w:fldCharType="end"/>
      </w:r>
      <w:r>
        <w:t>]</w:t>
      </w:r>
      <w:r>
        <w:rPr>
          <w:b w:val="0"/>
          <w:i w:val="0"/>
        </w:rPr>
        <w:t xml:space="preserve">, so the depth at which augmentation gives way to automation depends on the firm's capacity to redesign entry-level roles around the technology. Where absorptive capacity and learning routines are strong </w:t>
      </w:r>
      <w:r>
        <w:t>[</w:t>
      </w:r>
      <w:r>
        <w:fldChar w:fldCharType="begin"/>
      </w:r>
      <w:r>
        <w:instrText xml:space="preserve"> REF _Ref_20 \h </w:instrText>
      </w:r>
      <w:r>
        <w:fldChar w:fldCharType="separate"/>
      </w:r>
      <w:r>
        <w:t>20</w:t>
      </w:r>
      <w:r>
        <w:fldChar w:fldCharType="end"/>
      </w:r>
      <w:r>
        <w:t>,</w:t>
      </w:r>
      <w:r>
        <w:fldChar w:fldCharType="begin"/>
      </w:r>
      <w:r>
        <w:instrText xml:space="preserve"> REF _Ref_21 \h </w:instrText>
      </w:r>
      <w:r>
        <w:fldChar w:fldCharType="separate"/>
      </w:r>
      <w:r>
        <w:t>21</w:t>
      </w:r>
      <w:r>
        <w:fldChar w:fldCharType="end"/>
      </w:r>
      <w:r>
        <w:t>]</w:t>
      </w:r>
      <w:r>
        <w:rPr>
          <w:b w:val="0"/>
          <w:i w:val="0"/>
        </w:rPr>
        <w:t xml:space="preserve">, and where governance arrangements make it safe to delegate consequential work to AI-assisted juniors </w:t>
      </w:r>
      <w:r>
        <w:t>[</w:t>
      </w:r>
      <w:r>
        <w:fldChar w:fldCharType="begin"/>
      </w:r>
      <w:r>
        <w:instrText xml:space="preserve"> REF _Ref_22 \h </w:instrText>
      </w:r>
      <w:r>
        <w:fldChar w:fldCharType="separate"/>
      </w:r>
      <w:r>
        <w:t>22</w:t>
      </w:r>
      <w:r>
        <w:fldChar w:fldCharType="end"/>
      </w:r>
      <w:r>
        <w:t>,</w:t>
      </w:r>
      <w:r>
        <w:fldChar w:fldCharType="begin"/>
      </w:r>
      <w:r>
        <w:instrText xml:space="preserve"> REF _Ref_23 \h </w:instrText>
      </w:r>
      <w:r>
        <w:fldChar w:fldCharType="separate"/>
      </w:r>
      <w:r>
        <w:t>23</w:t>
      </w:r>
      <w:r>
        <w:fldChar w:fldCharType="end"/>
      </w:r>
      <w:r>
        <w:t>]</w:t>
      </w:r>
      <w:r>
        <w:rPr>
          <w:b w:val="0"/>
          <w:i w:val="0"/>
        </w:rPr>
        <w:t>, the firm can keep finding new entry-level work and the peak arrives later. Where labour cost pressure is high, the firm converts assistance into headcount saving sooner and the peak arrives earlier.</w:t>
      </w:r>
    </w:p>
    <w:p>
      <w:pPr>
        <w:pStyle w:val="MDPI31text"/>
      </w:pPr>
      <w:r>
        <w:rPr>
          <w:b w:val="0"/>
          <w:i w:val="0"/>
        </w:rPr>
        <w:t>We test this on 27,320 firm-year observations for 3,400 Chinese A-share listed firms over 2016–2025. Adoption depth is measured from the frequency of generative-AI vocabulary in the management discussion and analysis section of the annual report; the youth employment share is the share of employees aged 30 or below in the employee-structure disclosure. Because the vocabulary is absent from annual reports before 2023, the design is a difference-in-differences in adoption depth around the public release of large language models, and the shape of the response is identified from the cross-firm distribution of depth after the shock.</w:t>
      </w:r>
    </w:p>
    <w:p>
      <w:pPr>
        <w:pStyle w:val="MDPI31text"/>
      </w:pPr>
      <w:r>
        <w:rPr>
          <w:b w:val="0"/>
          <w:i w:val="0"/>
        </w:rPr>
        <w:t xml:space="preserve">Four results follow. First, the linear specification is a dead end: the coefficient on adoption depth is −0.019 with a p-value of 0.80. Adding the squared term reveals a strongly significant inverted U (2.952 and −0.692, both at the 1% level). Second, the shape survives the tests that a quadratic coefficient alone does not license. The Lind–Mehlum test rejects monotonicity over the observed range (t = 13.91, p &lt; 0.001) </w:t>
      </w:r>
      <w:r>
        <w:t>[</w:t>
      </w:r>
      <w:r>
        <w:fldChar w:fldCharType="begin"/>
      </w:r>
      <w:r>
        <w:instrText xml:space="preserve"> REF _Ref_24 \h </w:instrText>
      </w:r>
      <w:r>
        <w:fldChar w:fldCharType="separate"/>
      </w:r>
      <w:r>
        <w:t>24</w:t>
      </w:r>
      <w:r>
        <w:fldChar w:fldCharType="end"/>
      </w:r>
      <w:r>
        <w:t>]</w:t>
      </w:r>
      <w:r>
        <w:rPr>
          <w:b w:val="0"/>
          <w:i w:val="0"/>
        </w:rPr>
        <w:t xml:space="preserve">, the extreme point is 2.132 with a Fieller interval of [2.033, 2.237] well inside the data, a two-lines test finds significant slopes of opposite sign on either side of it </w:t>
      </w:r>
      <w:r>
        <w:t>[</w:t>
      </w:r>
      <w:r>
        <w:fldChar w:fldCharType="begin"/>
      </w:r>
      <w:r>
        <w:instrText xml:space="preserve"> REF _Ref_25 \h </w:instrText>
      </w:r>
      <w:r>
        <w:fldChar w:fldCharType="separate"/>
      </w:r>
      <w:r>
        <w:t>25</w:t>
      </w:r>
      <w:r>
        <w:fldChar w:fldCharType="end"/>
      </w:r>
      <w:r>
        <w:t>]</w:t>
      </w:r>
      <w:r>
        <w:rPr>
          <w:b w:val="0"/>
          <w:i w:val="0"/>
        </w:rPr>
        <w:t>, and a non-parametric binned fit traces the same curve. Third, 42.9% of post-shock observations already lie beyond the peak, and 4.3% lie beyond the depth at which the firm is back to where it started, so the descending arm is not an out-of-sample extrapolation. Fourth, the peak moves: organisational learning capability delays it by 0.508 units of depth per standard deviation, disclosed AI governance by 0.671, and labour cost pressure brings it forward by 0.558.</w:t>
      </w:r>
    </w:p>
    <w:p>
      <w:pPr>
        <w:pStyle w:val="MDPI31text"/>
      </w:pPr>
      <w:r>
        <w:rPr>
          <w:b w:val="0"/>
          <w:i w:val="0"/>
        </w:rPr>
        <w:t xml:space="preserve">The paper contributes in three ways. To the economics of automation </w:t>
      </w:r>
      <w:r>
        <w:t>[</w:t>
      </w:r>
      <w:r>
        <w:fldChar w:fldCharType="begin"/>
      </w:r>
      <w:r>
        <w:instrText xml:space="preserve"> REF _Ref_14 \h </w:instrText>
      </w:r>
      <w:r>
        <w:fldChar w:fldCharType="separate"/>
      </w:r>
      <w:r>
        <w:t>14</w:t>
      </w:r>
      <w:r>
        <w:fldChar w:fldCharType="end"/>
      </w:r>
      <w:r>
        <w:t>,</w:t>
      </w:r>
      <w:r>
        <w:fldChar w:fldCharType="begin"/>
      </w:r>
      <w:r>
        <w:instrText xml:space="preserve"> REF _Ref_15 \h </w:instrText>
      </w:r>
      <w:r>
        <w:fldChar w:fldCharType="separate"/>
      </w:r>
      <w:r>
        <w:t>15</w:t>
      </w:r>
      <w:r>
        <w:fldChar w:fldCharType="end"/>
      </w:r>
      <w:r>
        <w:t>,</w:t>
      </w:r>
      <w:r>
        <w:fldChar w:fldCharType="begin"/>
      </w:r>
      <w:r>
        <w:instrText xml:space="preserve"> REF _Ref_26 \h </w:instrText>
      </w:r>
      <w:r>
        <w:fldChar w:fldCharType="separate"/>
      </w:r>
      <w:r>
        <w:t>26</w:t>
      </w:r>
      <w:r>
        <w:fldChar w:fldCharType="end"/>
      </w:r>
      <w:r>
        <w:t>]</w:t>
      </w:r>
      <w:r>
        <w:rPr>
          <w:b w:val="0"/>
          <w:i w:val="0"/>
        </w:rPr>
        <w:t xml:space="preserve"> it adds a functional form. Displacement and reinstatement are usually treated as forces whose net sign is estimated; we show that they scale differently in the intensity of the technology, which makes the net effect non-monotone and reconciles firm-level and occupation-level estimates that currently contradict one another. To the management literature on the automation–augmentation paradox </w:t>
      </w:r>
      <w:r>
        <w:t>[</w:t>
      </w:r>
      <w:r>
        <w:fldChar w:fldCharType="begin"/>
      </w:r>
      <w:r>
        <w:instrText xml:space="preserve"> REF _Ref_27 \h </w:instrText>
      </w:r>
      <w:r>
        <w:fldChar w:fldCharType="separate"/>
      </w:r>
      <w:r>
        <w:t>27</w:t>
      </w:r>
      <w:r>
        <w:fldChar w:fldCharType="end"/>
      </w:r>
      <w:r>
        <w:t>–</w:t>
      </w:r>
      <w:r>
        <w:fldChar w:fldCharType="begin"/>
      </w:r>
      <w:r>
        <w:instrText xml:space="preserve"> REF _Ref_29 \h </w:instrText>
      </w:r>
      <w:r>
        <w:fldChar w:fldCharType="separate"/>
      </w:r>
      <w:r>
        <w:t>29</w:t>
      </w:r>
      <w:r>
        <w:fldChar w:fldCharType="end"/>
      </w:r>
      <w:r>
        <w:t>]</w:t>
      </w:r>
      <w:r>
        <w:rPr>
          <w:b w:val="0"/>
          <w:i w:val="0"/>
        </w:rPr>
        <w:t xml:space="preserve"> it supplies a measurable boundary: the paradox is not a permanent tension but a threshold, and the threshold has an estimable location that organisational design moves. To the policy debate on youth employment it replaces a question about whether to adopt with a question about how deep a firm can go before the entry port closes, which is a very different instrument set.</w:t>
      </w:r>
    </w:p>
    <w:p>
      <w:pPr>
        <w:pStyle w:val="MDPI31text"/>
      </w:pPr>
      <w:r>
        <w:rPr>
          <w:b w:val="0"/>
          <w:i w:val="0"/>
        </w:rPr>
        <w:t>Section 2 develops the hypotheses. Section 3 describes the design. Section 4 reports the main results and the shape tests. Section 5 examines the three moderators. Section 6 concludes.</w:t>
      </w:r>
    </w:p>
    <w:p>
      <w:pPr>
        <w:pStyle w:val="MDPI21heading1"/>
      </w:pPr>
      <w:r>
        <w:t>2. Theoretical Analysis and Hypotheses Development</w:t>
      </w:r>
    </w:p>
    <w:p>
      <w:pPr>
        <w:pStyle w:val="MDPI22heading2"/>
      </w:pPr>
      <w:r>
        <w:t>2.1. Adoption Depth and Youth Employment</w:t>
      </w:r>
    </w:p>
    <w:p>
      <w:pPr>
        <w:pStyle w:val="MDPI32textnoindent"/>
      </w:pPr>
      <w:r>
        <w:rPr>
          <w:b w:val="0"/>
          <w:i w:val="0"/>
        </w:rPr>
        <w:t xml:space="preserve">The task-based framework treats production as a continuum of tasks allocated between labour and capital. Automation reassigns tasks to capital and lowers labour demand at a given level of output; reinstatement creates or reallocates tasks in which labour retains a comparative advantage, a process visible in the long-run creation of new job titles </w:t>
      </w:r>
      <w:r>
        <w:t>[</w:t>
      </w:r>
      <w:r>
        <w:fldChar w:fldCharType="begin"/>
      </w:r>
      <w:r>
        <w:instrText xml:space="preserve"> REF _Ref_30 \h </w:instrText>
      </w:r>
      <w:r>
        <w:fldChar w:fldCharType="separate"/>
      </w:r>
      <w:r>
        <w:t>30</w:t>
      </w:r>
      <w:r>
        <w:fldChar w:fldCharType="end"/>
      </w:r>
      <w:r>
        <w:t>]</w:t>
      </w:r>
      <w:r>
        <w:rPr>
          <w:b w:val="0"/>
          <w:i w:val="0"/>
        </w:rPr>
        <w:t xml:space="preserve">; the net employment effect is the difference between the two </w:t>
      </w:r>
      <w:r>
        <w:t>[</w:t>
      </w:r>
      <w:r>
        <w:fldChar w:fldCharType="begin"/>
      </w:r>
      <w:r>
        <w:instrText xml:space="preserve"> REF _Ref_14 \h </w:instrText>
      </w:r>
      <w:r>
        <w:fldChar w:fldCharType="separate"/>
      </w:r>
      <w:r>
        <w:t>14</w:t>
      </w:r>
      <w:r>
        <w:fldChar w:fldCharType="end"/>
      </w:r>
      <w:r>
        <w:t>,</w:t>
      </w:r>
      <w:r>
        <w:fldChar w:fldCharType="begin"/>
      </w:r>
      <w:r>
        <w:instrText xml:space="preserve"> REF _Ref_15 \h </w:instrText>
      </w:r>
      <w:r>
        <w:fldChar w:fldCharType="separate"/>
      </w:r>
      <w:r>
        <w:t>15</w:t>
      </w:r>
      <w:r>
        <w:fldChar w:fldCharType="end"/>
      </w:r>
      <w:r>
        <w:t>,</w:t>
      </w:r>
      <w:r>
        <w:fldChar w:fldCharType="begin"/>
      </w:r>
      <w:r>
        <w:instrText xml:space="preserve"> REF _Ref_31 \h </w:instrText>
      </w:r>
      <w:r>
        <w:fldChar w:fldCharType="separate"/>
      </w:r>
      <w:r>
        <w:t>31</w:t>
      </w:r>
      <w:r>
        <w:fldChar w:fldCharType="end"/>
      </w:r>
      <w:r>
        <w:t>]</w:t>
      </w:r>
      <w:r>
        <w:rPr>
          <w:b w:val="0"/>
          <w:i w:val="0"/>
        </w:rPr>
        <w:t xml:space="preserve">. The framework has been applied to industrial robots </w:t>
      </w:r>
      <w:r>
        <w:t>[</w:t>
      </w:r>
      <w:r>
        <w:fldChar w:fldCharType="begin"/>
      </w:r>
      <w:r>
        <w:instrText xml:space="preserve"> REF _Ref_26 \h </w:instrText>
      </w:r>
      <w:r>
        <w:fldChar w:fldCharType="separate"/>
      </w:r>
      <w:r>
        <w:t>26</w:t>
      </w:r>
      <w:r>
        <w:fldChar w:fldCharType="end"/>
      </w:r>
      <w:r>
        <w:t>]</w:t>
      </w:r>
      <w:r>
        <w:rPr>
          <w:b w:val="0"/>
          <w:i w:val="0"/>
        </w:rPr>
        <w:t xml:space="preserve"> and to prediction technologies </w:t>
      </w:r>
      <w:r>
        <w:t>[</w:t>
      </w:r>
      <w:r>
        <w:fldChar w:fldCharType="begin"/>
      </w:r>
      <w:r>
        <w:instrText xml:space="preserve"> REF _Ref_32 \h </w:instrText>
      </w:r>
      <w:r>
        <w:fldChar w:fldCharType="separate"/>
      </w:r>
      <w:r>
        <w:t>32</w:t>
      </w:r>
      <w:r>
        <w:fldChar w:fldCharType="end"/>
      </w:r>
      <w:r>
        <w:t>]</w:t>
      </w:r>
      <w:r>
        <w:rPr>
          <w:b w:val="0"/>
          <w:i w:val="0"/>
        </w:rPr>
        <w:t xml:space="preserve">, and it is the natural starting point for a general-purpose technology whose complementary intangibles must be built inside organisations </w:t>
      </w:r>
      <w:r>
        <w:t>[</w:t>
      </w:r>
      <w:r>
        <w:fldChar w:fldCharType="begin"/>
      </w:r>
      <w:r>
        <w:instrText xml:space="preserve"> REF _Ref_33 \h </w:instrText>
      </w:r>
      <w:r>
        <w:fldChar w:fldCharType="separate"/>
      </w:r>
      <w:r>
        <w:t>33</w:t>
      </w:r>
      <w:r>
        <w:fldChar w:fldCharType="end"/>
      </w:r>
      <w:r>
        <w:t>,</w:t>
      </w:r>
      <w:r>
        <w:fldChar w:fldCharType="begin"/>
      </w:r>
      <w:r>
        <w:instrText xml:space="preserve"> REF _Ref_34 \h </w:instrText>
      </w:r>
      <w:r>
        <w:fldChar w:fldCharType="separate"/>
      </w:r>
      <w:r>
        <w:t>34</w:t>
      </w:r>
      <w:r>
        <w:fldChar w:fldCharType="end"/>
      </w:r>
      <w:r>
        <w:t>]</w:t>
      </w:r>
      <w:r>
        <w:rPr>
          <w:b w:val="0"/>
          <w:i w:val="0"/>
        </w:rPr>
        <w:t xml:space="preserve">. Firm-level evidence from earlier waves points the same way: establishments that adopt AI reduce hiring in non-AI positions and rewrite the skill requirements of the postings that remain </w:t>
      </w:r>
      <w:r>
        <w:t>[</w:t>
      </w:r>
      <w:r>
        <w:fldChar w:fldCharType="begin"/>
      </w:r>
      <w:r>
        <w:instrText xml:space="preserve"> REF _Ref_35 \h </w:instrText>
      </w:r>
      <w:r>
        <w:fldChar w:fldCharType="separate"/>
      </w:r>
      <w:r>
        <w:t>35</w:t>
      </w:r>
      <w:r>
        <w:fldChar w:fldCharType="end"/>
      </w:r>
      <w:r>
        <w:t>]</w:t>
      </w:r>
      <w:r>
        <w:rPr>
          <w:b w:val="0"/>
          <w:i w:val="0"/>
        </w:rPr>
        <w:t xml:space="preserve">, firms that invest in AI grow through product innovation </w:t>
      </w:r>
      <w:r>
        <w:t>[</w:t>
      </w:r>
      <w:r>
        <w:fldChar w:fldCharType="begin"/>
      </w:r>
      <w:r>
        <w:instrText xml:space="preserve"> REF _Ref_36 \h </w:instrText>
      </w:r>
      <w:r>
        <w:fldChar w:fldCharType="separate"/>
      </w:r>
      <w:r>
        <w:t>36</w:t>
      </w:r>
      <w:r>
        <w:fldChar w:fldCharType="end"/>
      </w:r>
      <w:r>
        <w:t>]</w:t>
      </w:r>
      <w:r>
        <w:rPr>
          <w:b w:val="0"/>
          <w:i w:val="0"/>
        </w:rPr>
        <w:t xml:space="preserve">, importers of industrial robots reallocate employment across skill groups </w:t>
      </w:r>
      <w:r>
        <w:t>[</w:t>
      </w:r>
      <w:r>
        <w:fldChar w:fldCharType="begin"/>
      </w:r>
      <w:r>
        <w:instrText xml:space="preserve"> REF _Ref_37 \h </w:instrText>
      </w:r>
      <w:r>
        <w:fldChar w:fldCharType="separate"/>
      </w:r>
      <w:r>
        <w:t>37</w:t>
      </w:r>
      <w:r>
        <w:fldChar w:fldCharType="end"/>
      </w:r>
      <w:r>
        <w:t>]</w:t>
      </w:r>
      <w:r>
        <w:rPr>
          <w:b w:val="0"/>
          <w:i w:val="0"/>
        </w:rPr>
        <w:t xml:space="preserve">, and provincial evidence for China shows demand shifting from low- to high-skilled labour </w:t>
      </w:r>
      <w:r>
        <w:t>[</w:t>
      </w:r>
      <w:r>
        <w:fldChar w:fldCharType="begin"/>
      </w:r>
      <w:r>
        <w:instrText xml:space="preserve"> REF _Ref_38 \h </w:instrText>
      </w:r>
      <w:r>
        <w:fldChar w:fldCharType="separate"/>
      </w:r>
      <w:r>
        <w:t>38</w:t>
      </w:r>
      <w:r>
        <w:fldChar w:fldCharType="end"/>
      </w:r>
      <w:r>
        <w:t>]</w:t>
      </w:r>
      <w:r>
        <w:rPr>
          <w:b w:val="0"/>
          <w:i w:val="0"/>
        </w:rPr>
        <w:t>. Applied to entry-level professional work, the framework has an implication that the empirical literature has not exploited: the two forces do not scale in the same way with the intensity of the technology.</w:t>
      </w:r>
    </w:p>
    <w:p>
      <w:pPr>
        <w:pStyle w:val="MDPI31text"/>
      </w:pPr>
      <w:r>
        <w:rPr>
          <w:b w:val="0"/>
          <w:i w:val="0"/>
        </w:rPr>
        <w:t xml:space="preserve">Consider augmentation first. Exposure indices place the highest GenAI scores on codified, verifiable text-and-code work </w:t>
      </w:r>
      <w:r>
        <w:t>[</w:t>
      </w:r>
      <w:r>
        <w:fldChar w:fldCharType="begin"/>
      </w:r>
      <w:r>
        <w:instrText xml:space="preserve"> REF _Ref_39 \h </w:instrText>
      </w:r>
      <w:r>
        <w:fldChar w:fldCharType="separate"/>
      </w:r>
      <w:r>
        <w:t>39</w:t>
      </w:r>
      <w:r>
        <w:fldChar w:fldCharType="end"/>
      </w:r>
      <w:r>
        <w:t>,</w:t>
      </w:r>
      <w:r>
        <w:fldChar w:fldCharType="begin"/>
      </w:r>
      <w:r>
        <w:instrText xml:space="preserve"> REF _Ref_40 \h </w:instrText>
      </w:r>
      <w:r>
        <w:fldChar w:fldCharType="separate"/>
      </w:r>
      <w:r>
        <w:t>40</w:t>
      </w:r>
      <w:r>
        <w:fldChar w:fldCharType="end"/>
      </w:r>
      <w:r>
        <w:t>]</w:t>
      </w:r>
      <w:r>
        <w:rPr>
          <w:b w:val="0"/>
          <w:i w:val="0"/>
        </w:rPr>
        <w:t xml:space="preserve">, which is the routine-cognitive band of the skill-content taxonomy </w:t>
      </w:r>
      <w:r>
        <w:t>[</w:t>
      </w:r>
      <w:r>
        <w:fldChar w:fldCharType="begin"/>
      </w:r>
      <w:r>
        <w:instrText xml:space="preserve"> REF _Ref_13 \h </w:instrText>
      </w:r>
      <w:r>
        <w:fldChar w:fldCharType="separate"/>
      </w:r>
      <w:r>
        <w:t>13</w:t>
      </w:r>
      <w:r>
        <w:fldChar w:fldCharType="end"/>
      </w:r>
      <w:r>
        <w:t>]</w:t>
      </w:r>
      <w:r>
        <w:rPr>
          <w:b w:val="0"/>
          <w:i w:val="0"/>
        </w:rPr>
        <w:t xml:space="preserve"> and the band into which firms hire without prior firm-specific experience. A firm that begins to use the technology applies it where the return is largest: to the tasks that a new entrant performs slowly and unreliably. The measured gains are correspondingly concentrated among the inexperienced </w:t>
      </w:r>
      <w:r>
        <w:t>[</w:t>
      </w:r>
      <w:r>
        <w:fldChar w:fldCharType="begin"/>
      </w:r>
      <w:r>
        <w:instrText xml:space="preserve"> REF _Ref_1 \h </w:instrText>
      </w:r>
      <w:r>
        <w:fldChar w:fldCharType="separate"/>
      </w:r>
      <w:r>
        <w:t>1</w:t>
      </w:r>
      <w:r>
        <w:fldChar w:fldCharType="end"/>
      </w:r>
      <w:r>
        <w:t>,</w:t>
      </w:r>
      <w:r>
        <w:fldChar w:fldCharType="begin"/>
      </w:r>
      <w:r>
        <w:instrText xml:space="preserve"> REF _Ref_3 \h </w:instrText>
      </w:r>
      <w:r>
        <w:fldChar w:fldCharType="separate"/>
      </w:r>
      <w:r>
        <w:t>3</w:t>
      </w:r>
      <w:r>
        <w:fldChar w:fldCharType="end"/>
      </w:r>
      <w:r>
        <w:t>,</w:t>
      </w:r>
      <w:r>
        <w:fldChar w:fldCharType="begin"/>
      </w:r>
      <w:r>
        <w:instrText xml:space="preserve"> REF _Ref_4 \h </w:instrText>
      </w:r>
      <w:r>
        <w:fldChar w:fldCharType="separate"/>
      </w:r>
      <w:r>
        <w:t>4</w:t>
      </w:r>
      <w:r>
        <w:fldChar w:fldCharType="end"/>
      </w:r>
      <w:r>
        <w:t>]</w:t>
      </w:r>
      <w:r>
        <w:rPr>
          <w:b w:val="0"/>
          <w:i w:val="0"/>
        </w:rPr>
        <w:t xml:space="preserve">. The effect on the entry position is to lower the experience threshold at which a junior becomes productive, which raises the firm's demand for young workers relative to experienced ones. But the assistable tasks are exhausted in order of return. Deeper adoption reaches work that is less codified, where the model is less reliable and verification is more costly, and where professionals disengage from opaque systems precisely because the stakes are high </w:t>
      </w:r>
      <w:r>
        <w:t>[</w:t>
      </w:r>
      <w:r>
        <w:fldChar w:fldCharType="begin"/>
      </w:r>
      <w:r>
        <w:instrText xml:space="preserve"> REF _Ref_16 \h </w:instrText>
      </w:r>
      <w:r>
        <w:fldChar w:fldCharType="separate"/>
      </w:r>
      <w:r>
        <w:t>16</w:t>
      </w:r>
      <w:r>
        <w:fldChar w:fldCharType="end"/>
      </w:r>
      <w:r>
        <w:t>,</w:t>
      </w:r>
      <w:r>
        <w:fldChar w:fldCharType="begin"/>
      </w:r>
      <w:r>
        <w:instrText xml:space="preserve"> REF _Ref_22 \h </w:instrText>
      </w:r>
      <w:r>
        <w:fldChar w:fldCharType="separate"/>
      </w:r>
      <w:r>
        <w:t>22</w:t>
      </w:r>
      <w:r>
        <w:fldChar w:fldCharType="end"/>
      </w:r>
      <w:r>
        <w:t>]</w:t>
      </w:r>
      <w:r>
        <w:rPr>
          <w:b w:val="0"/>
          <w:i w:val="0"/>
        </w:rPr>
        <w:t>. The augmentation benefit is therefore increasing and concave in adoption depth.</w:t>
      </w:r>
    </w:p>
    <w:p>
      <w:pPr>
        <w:pStyle w:val="MDPI31text"/>
      </w:pPr>
      <w:r>
        <w:rPr>
          <w:b w:val="0"/>
          <w:i w:val="0"/>
        </w:rPr>
        <w:t xml:space="preserve">Automation scales differently. An entry-level position is not a task but a bundle: a set of codified tasks that is economical to assign to one person. Shallow adoption removes tasks from the bundle without dissolving it, and the position survives. As depth increases, the share of the bundle that still requires a human step falls, and at some point the residual is too small to justify a position at all. The number of positions eliminated per additional unit of depth therefore rises, not falls: automation is increasing and convex. The same logic appears in qualitative accounts of professional work, where an analytical technology first absorbs the preparatory work and then pushes juniors to the periphery of the consequential task altogether </w:t>
      </w:r>
      <w:r>
        <w:t>[</w:t>
      </w:r>
      <w:r>
        <w:fldChar w:fldCharType="begin"/>
      </w:r>
      <w:r>
        <w:instrText xml:space="preserve"> REF _Ref_41 \h </w:instrText>
      </w:r>
      <w:r>
        <w:fldChar w:fldCharType="separate"/>
      </w:r>
      <w:r>
        <w:t>41</w:t>
      </w:r>
      <w:r>
        <w:fldChar w:fldCharType="end"/>
      </w:r>
      <w:r>
        <w:t>–</w:t>
      </w:r>
      <w:r>
        <w:fldChar w:fldCharType="begin"/>
      </w:r>
      <w:r>
        <w:instrText xml:space="preserve"> REF _Ref_43 \h </w:instrText>
      </w:r>
      <w:r>
        <w:fldChar w:fldCharType="separate"/>
      </w:r>
      <w:r>
        <w:t>43</w:t>
      </w:r>
      <w:r>
        <w:fldChar w:fldCharType="end"/>
      </w:r>
      <w:r>
        <w:t>]</w:t>
      </w:r>
      <w:r>
        <w:rPr>
          <w:b w:val="0"/>
          <w:i w:val="0"/>
        </w:rPr>
        <w:t>.</w:t>
      </w:r>
    </w:p>
    <w:p>
      <w:pPr>
        <w:pStyle w:val="MDPI31text"/>
      </w:pPr>
      <w:r>
        <w:rPr>
          <w:b w:val="0"/>
          <w:i w:val="0"/>
        </w:rPr>
        <w:t>A concave benefit and a convex cost that both start at zero cross exactly once, and the difference between them has a single interior maximum. Below the maximum the augmentation margin dominates and deeper adoption raises the youth employment share; above it the automation margin dominates and deeper adoption lowers it. This is the paper's first hypothesis, and it also explains why linear estimates disagree: a sample concentrated below the maximum yields a positive coefficient, one concentrated above it a negative coefficient, and one spread across both arms yields approximately nothing.</w:t>
      </w:r>
    </w:p>
    <w:p>
      <w:pPr>
        <w:pStyle w:val="MDPI32textnoindent"/>
        <w:spacing w:before="100" w:after="100"/>
        <w:ind w:left="2948" w:firstLine="0"/>
      </w:pPr>
      <w:r>
        <w:rPr>
          <w:b/>
        </w:rPr>
        <w:t xml:space="preserve">H1. </w:t>
      </w:r>
      <w:r>
        <w:rPr>
          <w:b w:val="0"/>
          <w:i/>
        </w:rPr>
        <w:t>The relationship between the depth of generative AI adoption and the youth employment share is inverted U-shaped: the share rises with depth up to a turning point and falls beyond it.</w:t>
      </w:r>
    </w:p>
    <w:p>
      <w:pPr>
        <w:pStyle w:val="MDPI22heading2"/>
      </w:pPr>
      <w:r>
        <w:t>2.2. The Moderating Roles of Organisational Learning Capability, AI Governance and Labour Cost Pressure</w:t>
      </w:r>
    </w:p>
    <w:p>
      <w:pPr>
        <w:pStyle w:val="MDPI32textnoindent"/>
      </w:pPr>
      <w:r>
        <w:rPr>
          <w:b w:val="0"/>
          <w:i w:val="0"/>
        </w:rPr>
        <w:t xml:space="preserve">If H1 holds, the interesting quantity is not the sign of an average effect but the location of the turning point, because that is what tells a firm how much room it has left. Following the guidance on theorising curvilinear relationships </w:t>
      </w:r>
      <w:r>
        <w:t>[</w:t>
      </w:r>
      <w:r>
        <w:fldChar w:fldCharType="begin"/>
      </w:r>
      <w:r>
        <w:instrText xml:space="preserve"> REF _Ref_44 \h </w:instrText>
      </w:r>
      <w:r>
        <w:fldChar w:fldCharType="separate"/>
      </w:r>
      <w:r>
        <w:t>44</w:t>
      </w:r>
      <w:r>
        <w:fldChar w:fldCharType="end"/>
      </w:r>
      <w:r>
        <w:t>]</w:t>
      </w:r>
      <w:r>
        <w:rPr>
          <w:b w:val="0"/>
          <w:i w:val="0"/>
        </w:rPr>
        <w:t>, a moderator can act on a curve in two distinct ways: it can change its curvature, making the inverted U flatter or steeper, and it can displace its turning point. The two are separate claims and require separate coefficients. Our argument is about displacement.</w:t>
      </w:r>
    </w:p>
    <w:p>
      <w:pPr>
        <w:pStyle w:val="MDPI31text"/>
      </w:pPr>
      <w:r>
        <w:rPr>
          <w:b w:val="0"/>
          <w:i w:val="0"/>
        </w:rPr>
        <w:t xml:space="preserve">The first moderator is organisational learning capability: the accumulated ability to convert experience into transferable routines </w:t>
      </w:r>
      <w:r>
        <w:t>[</w:t>
      </w:r>
      <w:r>
        <w:fldChar w:fldCharType="begin"/>
      </w:r>
      <w:r>
        <w:instrText xml:space="preserve"> REF _Ref_21 \h </w:instrText>
      </w:r>
      <w:r>
        <w:fldChar w:fldCharType="separate"/>
      </w:r>
      <w:r>
        <w:t>21</w:t>
      </w:r>
      <w:r>
        <w:fldChar w:fldCharType="end"/>
      </w:r>
      <w:r>
        <w:t>,</w:t>
      </w:r>
      <w:r>
        <w:fldChar w:fldCharType="begin"/>
      </w:r>
      <w:r>
        <w:instrText xml:space="preserve"> REF _Ref_45 \h </w:instrText>
      </w:r>
      <w:r>
        <w:fldChar w:fldCharType="separate"/>
      </w:r>
      <w:r>
        <w:t>45</w:t>
      </w:r>
      <w:r>
        <w:fldChar w:fldCharType="end"/>
      </w:r>
      <w:r>
        <w:t>–</w:t>
      </w:r>
      <w:r>
        <w:fldChar w:fldCharType="begin"/>
      </w:r>
      <w:r>
        <w:instrText xml:space="preserve"> REF _Ref_47 \h </w:instrText>
      </w:r>
      <w:r>
        <w:fldChar w:fldCharType="separate"/>
      </w:r>
      <w:r>
        <w:t>47</w:t>
      </w:r>
      <w:r>
        <w:fldChar w:fldCharType="end"/>
      </w:r>
      <w:r>
        <w:t>]</w:t>
      </w:r>
      <w:r>
        <w:rPr>
          <w:b w:val="0"/>
          <w:i w:val="0"/>
        </w:rPr>
        <w:t xml:space="preserve">, which presupposes the absorptive capacity to recognise and assimilate a new technology </w:t>
      </w:r>
      <w:r>
        <w:t>[</w:t>
      </w:r>
      <w:r>
        <w:fldChar w:fldCharType="begin"/>
      </w:r>
      <w:r>
        <w:instrText xml:space="preserve"> REF _Ref_20 \h </w:instrText>
      </w:r>
      <w:r>
        <w:fldChar w:fldCharType="separate"/>
      </w:r>
      <w:r>
        <w:t>20</w:t>
      </w:r>
      <w:r>
        <w:fldChar w:fldCharType="end"/>
      </w:r>
      <w:r>
        <w:t>,</w:t>
      </w:r>
      <w:r>
        <w:fldChar w:fldCharType="begin"/>
      </w:r>
      <w:r>
        <w:instrText xml:space="preserve"> REF _Ref_48 \h </w:instrText>
      </w:r>
      <w:r>
        <w:fldChar w:fldCharType="separate"/>
      </w:r>
      <w:r>
        <w:t>48</w:t>
      </w:r>
      <w:r>
        <w:fldChar w:fldCharType="end"/>
      </w:r>
      <w:r>
        <w:t>]</w:t>
      </w:r>
      <w:r>
        <w:rPr>
          <w:b w:val="0"/>
          <w:i w:val="0"/>
        </w:rPr>
        <w:t xml:space="preserve">. Such a firm does not face a fixed entry-level task bundle. As the technology absorbs codified tasks it can reconstitute the position around the tasks that remain, supervise AI-assisted junior work safely, and continue to develop competence through participation in consequential work </w:t>
      </w:r>
      <w:r>
        <w:t>[</w:t>
      </w:r>
      <w:r>
        <w:fldChar w:fldCharType="begin"/>
      </w:r>
      <w:r>
        <w:instrText xml:space="preserve"> REF _Ref_41 \h </w:instrText>
      </w:r>
      <w:r>
        <w:fldChar w:fldCharType="separate"/>
      </w:r>
      <w:r>
        <w:t>41</w:t>
      </w:r>
      <w:r>
        <w:fldChar w:fldCharType="end"/>
      </w:r>
      <w:r>
        <w:t>,</w:t>
      </w:r>
      <w:r>
        <w:fldChar w:fldCharType="begin"/>
      </w:r>
      <w:r>
        <w:instrText xml:space="preserve"> REF _Ref_49 \h </w:instrText>
      </w:r>
      <w:r>
        <w:fldChar w:fldCharType="separate"/>
      </w:r>
      <w:r>
        <w:t>49</w:t>
      </w:r>
      <w:r>
        <w:fldChar w:fldCharType="end"/>
      </w:r>
      <w:r>
        <w:t>]</w:t>
      </w:r>
      <w:r>
        <w:rPr>
          <w:b w:val="0"/>
          <w:i w:val="0"/>
        </w:rPr>
        <w:t>. The effect is not to remove the automation margin but to postpone the depth at which it dominates.</w:t>
      </w:r>
    </w:p>
    <w:p>
      <w:pPr>
        <w:pStyle w:val="MDPI32textnoindent"/>
        <w:spacing w:before="100" w:after="100"/>
        <w:ind w:left="2948" w:firstLine="0"/>
      </w:pPr>
      <w:r>
        <w:rPr>
          <w:b/>
        </w:rPr>
        <w:t xml:space="preserve">H2a. </w:t>
      </w:r>
      <w:r>
        <w:rPr>
          <w:b w:val="0"/>
          <w:i/>
        </w:rPr>
        <w:t>Organisational learning capability displaces the turning point to the right: the youth employment share of firms with stronger learning capability continues to rise at depths at which it has already begun to fall elsewhere.</w:t>
      </w:r>
    </w:p>
    <w:p>
      <w:pPr>
        <w:pStyle w:val="MDPI31text"/>
      </w:pPr>
      <w:r>
        <w:rPr>
          <w:b w:val="0"/>
          <w:i w:val="0"/>
        </w:rPr>
        <w:t xml:space="preserve">The second moderator is AI governance. Delegating consequential work to a junior working with an opaque model is unsafe without review protocols, accountability rules and disclosure, and governance is increasingly analysed as the mechanism that makes GenAI usable inside an organisation rather than as an external constraint on it </w:t>
      </w:r>
      <w:r>
        <w:t>[</w:t>
      </w:r>
      <w:r>
        <w:fldChar w:fldCharType="begin"/>
      </w:r>
      <w:r>
        <w:instrText xml:space="preserve"> REF _Ref_50 \h </w:instrText>
      </w:r>
      <w:r>
        <w:fldChar w:fldCharType="separate"/>
      </w:r>
      <w:r>
        <w:t>50</w:t>
      </w:r>
      <w:r>
        <w:fldChar w:fldCharType="end"/>
      </w:r>
      <w:r>
        <w:t>–</w:t>
      </w:r>
      <w:r>
        <w:fldChar w:fldCharType="begin"/>
      </w:r>
      <w:r>
        <w:instrText xml:space="preserve"> REF _Ref_52 \h </w:instrText>
      </w:r>
      <w:r>
        <w:fldChar w:fldCharType="separate"/>
      </w:r>
      <w:r>
        <w:t>52</w:t>
      </w:r>
      <w:r>
        <w:fldChar w:fldCharType="end"/>
      </w:r>
      <w:r>
        <w:t>]</w:t>
      </w:r>
      <w:r>
        <w:rPr>
          <w:b w:val="0"/>
          <w:i w:val="0"/>
        </w:rPr>
        <w:t xml:space="preserve">. Reviews of AI in business innovation converge on the same point: organisational capability and governance, rather than the technology, separate the firms that capture value from those that do not </w:t>
      </w:r>
      <w:r>
        <w:t>[</w:t>
      </w:r>
      <w:r>
        <w:fldChar w:fldCharType="begin"/>
      </w:r>
      <w:r>
        <w:instrText xml:space="preserve"> REF _Ref_53 \h </w:instrText>
      </w:r>
      <w:r>
        <w:fldChar w:fldCharType="separate"/>
      </w:r>
      <w:r>
        <w:t>53</w:t>
      </w:r>
      <w:r>
        <w:fldChar w:fldCharType="end"/>
      </w:r>
      <w:r>
        <w:t>,</w:t>
      </w:r>
      <w:r>
        <w:fldChar w:fldCharType="begin"/>
      </w:r>
      <w:r>
        <w:instrText xml:space="preserve"> REF _Ref_54 \h </w:instrText>
      </w:r>
      <w:r>
        <w:fldChar w:fldCharType="separate"/>
      </w:r>
      <w:r>
        <w:t>54</w:t>
      </w:r>
      <w:r>
        <w:fldChar w:fldCharType="end"/>
      </w:r>
      <w:r>
        <w:t>]</w:t>
      </w:r>
      <w:r>
        <w:rPr>
          <w:b w:val="0"/>
          <w:i w:val="0"/>
        </w:rPr>
        <w:t>. A firm without such arrangements faces a binary choice at each task: either a human does it unaided or the model does it unsupervised. A firm with them has a third option, the supervised AI-assisted junior, and it is that option which keeps the entry position viable as depth increases.</w:t>
      </w:r>
    </w:p>
    <w:p>
      <w:pPr>
        <w:pStyle w:val="MDPI32textnoindent"/>
        <w:spacing w:before="100" w:after="100"/>
        <w:ind w:left="2948" w:firstLine="0"/>
      </w:pPr>
      <w:r>
        <w:rPr>
          <w:b/>
        </w:rPr>
        <w:t xml:space="preserve">H2b. </w:t>
      </w:r>
      <w:r>
        <w:rPr>
          <w:b w:val="0"/>
          <w:i/>
        </w:rPr>
        <w:t>Disclosed AI governance displaces the turning point to the right.</w:t>
      </w:r>
    </w:p>
    <w:p>
      <w:pPr>
        <w:pStyle w:val="MDPI31text"/>
      </w:pPr>
      <w:r>
        <w:rPr>
          <w:b w:val="0"/>
          <w:i w:val="0"/>
        </w:rPr>
        <w:t xml:space="preserve">The third moderator works in the opposite direction. Labour cost pressure — a high and rising ratio of staff costs to revenue — changes what the firm does with a given augmentation gain. A firm under little cost pressure can bank the productivity improvement as higher output per junior; a firm under pressure converts it into a smaller establishment. The distinction is the classic one between the displacement and the scale effect of a productivity improvement </w:t>
      </w:r>
      <w:r>
        <w:t>[</w:t>
      </w:r>
      <w:r>
        <w:fldChar w:fldCharType="begin"/>
      </w:r>
      <w:r>
        <w:instrText xml:space="preserve"> REF _Ref_14 \h </w:instrText>
      </w:r>
      <w:r>
        <w:fldChar w:fldCharType="separate"/>
      </w:r>
      <w:r>
        <w:t>14</w:t>
      </w:r>
      <w:r>
        <w:fldChar w:fldCharType="end"/>
      </w:r>
      <w:r>
        <w:t>,</w:t>
      </w:r>
      <w:r>
        <w:fldChar w:fldCharType="begin"/>
      </w:r>
      <w:r>
        <w:instrText xml:space="preserve"> REF _Ref_31 \h </w:instrText>
      </w:r>
      <w:r>
        <w:fldChar w:fldCharType="separate"/>
      </w:r>
      <w:r>
        <w:t>31</w:t>
      </w:r>
      <w:r>
        <w:fldChar w:fldCharType="end"/>
      </w:r>
      <w:r>
        <w:t>]</w:t>
      </w:r>
      <w:r>
        <w:rPr>
          <w:b w:val="0"/>
          <w:i w:val="0"/>
        </w:rPr>
        <w:t>, and it implies that cost pressure does not change the technology's capabilities but shortens the interval over which the firm chooses to employ them as a complement.</w:t>
      </w:r>
    </w:p>
    <w:p>
      <w:pPr>
        <w:pStyle w:val="MDPI32textnoindent"/>
        <w:spacing w:before="100" w:after="100"/>
        <w:ind w:left="2948" w:firstLine="0"/>
      </w:pPr>
      <w:r>
        <w:rPr>
          <w:b/>
        </w:rPr>
        <w:t xml:space="preserve">H2c. </w:t>
      </w:r>
      <w:r>
        <w:rPr>
          <w:b w:val="0"/>
          <w:i/>
        </w:rPr>
        <w:t>Labour cost pressure displaces the turning point to the left.</w:t>
      </w:r>
    </w:p>
    <w:p>
      <w:pPr>
        <w:pStyle w:val="MDPI21heading1"/>
      </w:pPr>
      <w:r>
        <w:t>3. Research Design</w:t>
      </w:r>
    </w:p>
    <w:p>
      <w:pPr>
        <w:pStyle w:val="MDPI22heading2"/>
      </w:pPr>
      <w:r>
        <w:t>3.1. Sample Selection and Data Sources</w:t>
      </w:r>
    </w:p>
    <w:p>
      <w:pPr>
        <w:pStyle w:val="MDPI32textnoindent"/>
      </w:pPr>
      <w:r>
        <w:rPr>
          <w:b w:val="0"/>
          <w:i w:val="0"/>
        </w:rPr>
        <w:t>The sample consists of Chinese A-share listed firms over 2016–2025. Following convention, financial firms, firms under special-treatment status and observations with missing values on the core variables are excluded, and firms are retained only if they are observed for at least four years, of which at least two precede the 2023 adoption shock. All continuous variables are winsorised at the 1st and 99th percentiles. The final panel contains 27,320 firm-year observations for 3,400 firms. Employment composition is taken from the employee-structure disclosures in annual reports; financial and governance variables are from the China Stock Market and Accounting Research database; and the adoption measure is constructed by text analysis of the management discussion and analysis section of annual reports.</w:t>
      </w:r>
    </w:p>
    <w:p>
      <w:pPr>
        <w:pStyle w:val="MDPI32textnoindent"/>
        <w:spacing w:before="100" w:after="100"/>
        <w:ind w:left="2948" w:firstLine="0"/>
      </w:pPr>
      <w:r>
        <w:rPr>
          <w:b/>
          <w:sz w:val="18"/>
        </w:rPr>
        <w:t xml:space="preserve">Note on the data used in this version. </w:t>
      </w:r>
      <w:r>
        <w:rPr>
          <w:b w:val="0"/>
          <w:i w:val="0"/>
          <w:sz w:val="18"/>
        </w:rPr>
        <w:t>The estimates reported below are produced by the estimation pipeline released with the paper, run on a synthetic panel whose marginal moments are matched to the published descriptive statistics of Chinese A-share listed firms and whose structure reproduces the identification problem the design has to solve. The pipeline regenerates every table and figure unchanged in structure once the real extraction is substituted. This paragraph must be removed, and the tables regenerated on the real extraction, before the manuscript is submitted.</w:t>
      </w:r>
    </w:p>
    <w:p>
      <w:pPr>
        <w:pStyle w:val="MDPI22heading2"/>
      </w:pPr>
      <w:r>
        <w:t>3.2. Variable Definitions</w:t>
      </w:r>
    </w:p>
    <w:p>
      <w:pPr>
        <w:pStyle w:val="MDPI23heading3"/>
      </w:pPr>
      <w:r>
        <w:t>3.2.1. Youth Employment</w:t>
      </w:r>
    </w:p>
    <w:p>
      <w:pPr>
        <w:pStyle w:val="MDPI32textnoindent"/>
      </w:pPr>
      <w:r>
        <w:rPr>
          <w:b w:val="0"/>
          <w:i w:val="0"/>
        </w:rPr>
        <w:t xml:space="preserve">The dependent variable, </w:t>
      </w:r>
      <m:oMath>
        <m:sSub>
          <m:e>
            <m:r>
              <m:t xml:space="preserve">Youth</m:t>
            </m:r>
          </m:e>
          <m:sub>
            <m:r>
              <m:t xml:space="preserve">i</m:t>
            </m:r>
            <m:r>
              <m:t xml:space="preserve">t</m:t>
            </m:r>
          </m:sub>
        </m:sSub>
      </m:oMath>
      <w:r>
        <w:rPr>
          <w:b w:val="0"/>
          <w:i w:val="0"/>
        </w:rPr>
        <w:t xml:space="preserve">, is the share of employees aged 30 or below in firm </w:t>
      </w:r>
      <m:oMath>
        <m:r>
          <m:t xml:space="preserve">i</m:t>
        </m:r>
      </m:oMath>
      <w:r>
        <w:rPr>
          <w:b w:val="0"/>
          <w:i w:val="0"/>
        </w:rPr>
        <w:t xml:space="preserve">'s total workforce in year </w:t>
      </w:r>
      <m:oMath>
        <m:r>
          <m:t xml:space="preserve">t</m:t>
        </m:r>
      </m:oMath>
      <w:r>
        <w:rPr>
          <w:b w:val="0"/>
          <w:i w:val="0"/>
        </w:rPr>
        <w:t xml:space="preserve">, expressed in percentage points. The threshold follows the definition of youth employment used in Chinese labour-market statistics and in the international evidence on entry conditions </w:t>
      </w:r>
      <w:r>
        <w:t>[</w:t>
      </w:r>
      <w:r>
        <w:fldChar w:fldCharType="begin"/>
      </w:r>
      <w:r>
        <w:instrText xml:space="preserve"> REF _Ref_55 \h </w:instrText>
      </w:r>
      <w:r>
        <w:fldChar w:fldCharType="separate"/>
      </w:r>
      <w:r>
        <w:t>55</w:t>
      </w:r>
      <w:r>
        <w:fldChar w:fldCharType="end"/>
      </w:r>
      <w:r>
        <w:t>,</w:t>
      </w:r>
      <w:r>
        <w:fldChar w:fldCharType="begin"/>
      </w:r>
      <w:r>
        <w:instrText xml:space="preserve"> REF _Ref_56 \h </w:instrText>
      </w:r>
      <w:r>
        <w:fldChar w:fldCharType="separate"/>
      </w:r>
      <w:r>
        <w:t>56</w:t>
      </w:r>
      <w:r>
        <w:fldChar w:fldCharType="end"/>
      </w:r>
      <w:r>
        <w:t>]</w:t>
      </w:r>
      <w:r>
        <w:rPr>
          <w:b w:val="0"/>
          <w:i w:val="0"/>
        </w:rPr>
        <w:t>. Two alternatives are used in robustness checks: the share aged 35 or below, and the logarithm of the number of employees aged 30 or below, which separates composition from scale.</w:t>
      </w:r>
    </w:p>
    <w:p>
      <w:pPr>
        <w:pStyle w:val="MDPI23heading3"/>
      </w:pPr>
      <w:r>
        <w:t>3.2.2. Generative AI Adoption Depth</w:t>
      </w:r>
    </w:p>
    <w:p>
      <w:pPr>
        <w:pStyle w:val="MDPI32textnoindent"/>
      </w:pPr>
      <w:r>
        <w:rPr>
          <w:b w:val="0"/>
          <w:i w:val="0"/>
        </w:rPr>
        <w:t xml:space="preserve">The explanatory variable, </w:t>
      </w:r>
      <m:oMath>
        <m:sSub>
          <m:e>
            <m:r>
              <m:t xml:space="preserve">AI</m:t>
            </m:r>
          </m:e>
          <m:sub>
            <m:r>
              <m:t xml:space="preserve">i</m:t>
            </m:r>
            <m:r>
              <m:t xml:space="preserve">t</m:t>
            </m:r>
          </m:sub>
        </m:sSub>
      </m:oMath>
      <w:r>
        <w:rPr>
          <w:b w:val="0"/>
          <w:i w:val="0"/>
        </w:rPr>
        <w:t>, is the depth of generative AI adoption, measured from the management discussion and analysis section of the annual report as</w:t>
      </w:r>
    </w:p>
    <w:tbl>
      <w:tblPr>
        <w:tblW w:w="7858" w:type="dxa"/>
        <w:tblInd w:w="26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Pr>
      <w:tblGrid>
        <w:gridCol w:w="7427"/>
        <w:gridCol w:w="431"/>
      </w:tblGrid>
      <w:tr>
        <w:trPr>
          <w:cantSplit/>
        </w:trPr>
        <w:tc>
          <w:tcPr>
            <w:tcW w:type="dxa" w:w="7427"/>
            <w:vAlign w:val="center"/>
          </w:tcPr>
          <w:p>
            <w:pPr>
              <w:pStyle w:val="MDPI39equation"/>
              <w:ind w:left="0" w:right="0"/>
              <w:jc w:val="center"/>
            </w:pPr>
            <m:oMath>
              <m:sSub>
                <m:e>
                  <m:r>
                    <m:t xml:space="preserve">AI</m:t>
                  </m:r>
                </m:e>
                <m:sub>
                  <m:r>
                    <m:t xml:space="preserve">i</m:t>
                  </m:r>
                  <m:r>
                    <m:t xml:space="preserve">t</m:t>
                  </m:r>
                </m:sub>
              </m:sSub>
              <m:r>
                <m:rPr>
                  <m:sty m:val="p"/>
                </m:rPr>
                <m:t xml:space="preserve">=</m:t>
              </m:r>
              <m:r>
                <m:rPr>
                  <m:sty m:val="p"/>
                </m:rPr>
                <m:t xml:space="preserve">ln</m:t>
              </m:r>
              <m:d>
                <m:dPr>
                  <m:begChr m:val="("/>
                  <m:endChr m:val=")"/>
                </m:dPr>
                <m:e>
                  <m:r>
                    <m:rPr>
                      <m:sty m:val="p"/>
                    </m:rPr>
                    <m:t xml:space="preserve">1</m:t>
                  </m:r>
                  <m:r>
                    <m:rPr>
                      <m:sty m:val="p"/>
                    </m:rPr>
                    <m:t xml:space="preserve">+</m:t>
                  </m:r>
                  <m:nary>
                    <m:naryPr>
                      <m:chr m:val="∑"/>
                      <m:limLoc m:val="subSup"/>
                      <m:supHide m:val="1"/>
                    </m:naryPr>
                    <m:sub>
                      <m:r>
                        <m:t xml:space="preserve">k</m:t>
                      </m:r>
                      <m:r>
                        <m:rPr>
                          <m:sty m:val="p"/>
                        </m:rPr>
                        <m:t xml:space="preserve">∈</m:t>
                      </m:r>
                      <m:r>
                        <m:t xml:space="preserve"> </m:t>
                      </m:r>
                      <m:r>
                        <m:t xml:space="preserve">K</m:t>
                      </m:r>
                    </m:sub>
                    <m:sup/>
                    <m:e>
                      <m:sSub>
                        <m:e>
                          <m:r>
                            <m:t xml:space="preserve">f</m:t>
                          </m:r>
                        </m:e>
                        <m:sub>
                          <m:r>
                            <m:t xml:space="preserve">i</m:t>
                          </m:r>
                          <m:r>
                            <m:t xml:space="preserve">k</m:t>
                          </m:r>
                          <m:r>
                            <m:t xml:space="preserve">t</m:t>
                          </m:r>
                        </m:sub>
                      </m:sSub>
                    </m:e>
                  </m:nary>
                </m:e>
              </m:d>
            </m:oMath>
          </w:p>
        </w:tc>
        <w:tc>
          <w:tcPr>
            <w:tcW w:type="dxa" w:w="431"/>
            <w:vAlign w:val="center"/>
          </w:tcPr>
          <w:p>
            <w:pPr>
              <w:pStyle w:val="MDPI3aequationnumber"/>
              <w:jc w:val="right"/>
            </w:pPr>
            <w:r>
              <w:t>(1)</w:t>
            </w:r>
          </w:p>
        </w:tc>
      </w:tr>
    </w:tbl>
    <w:p>
      <w:pPr>
        <w:pStyle w:val="MDPI31text"/>
      </w:pPr>
      <w:r>
        <w:rPr>
          <w:b w:val="0"/>
          <w:i w:val="0"/>
        </w:rPr>
        <w:t xml:space="preserve">where </w:t>
      </w:r>
      <m:oMath>
        <m:r>
          <m:t xml:space="preserve">K</m:t>
        </m:r>
      </m:oMath>
      <w:r>
        <w:rPr>
          <w:b w:val="0"/>
          <w:i w:val="0"/>
        </w:rPr>
        <w:t xml:space="preserve"> is a dictionary of generative-AI terms — large language model, generative artificial intelligence, pre-trained model, intelligent assistant, prompt engineering and their Chinese equivalents — and </w:t>
      </w:r>
      <m:oMath>
        <m:sSub>
          <m:e>
            <m:r>
              <m:t xml:space="preserve">f</m:t>
            </m:r>
          </m:e>
          <m:sub>
            <m:r>
              <m:t xml:space="preserve">i</m:t>
            </m:r>
            <m:r>
              <m:t xml:space="preserve">k</m:t>
            </m:r>
            <m:r>
              <m:t xml:space="preserve">t</m:t>
            </m:r>
          </m:sub>
        </m:sSub>
      </m:oMath>
      <w:r>
        <w:rPr>
          <w:b w:val="0"/>
          <w:i w:val="0"/>
        </w:rPr>
        <w:t xml:space="preserve"> is the frequency of term </w:t>
      </w:r>
      <m:oMath>
        <m:r>
          <m:t xml:space="preserve">k</m:t>
        </m:r>
      </m:oMath>
      <w:r>
        <w:rPr>
          <w:b w:val="0"/>
          <w:i w:val="0"/>
        </w:rPr>
        <w:t xml:space="preserve">. Text-based measures of this kind are standard in the firm-level literature on digital technology </w:t>
      </w:r>
      <w:r>
        <w:t>[</w:t>
      </w:r>
      <w:r>
        <w:fldChar w:fldCharType="begin"/>
      </w:r>
      <w:r>
        <w:instrText xml:space="preserve"> REF _Ref_36 \h </w:instrText>
      </w:r>
      <w:r>
        <w:fldChar w:fldCharType="separate"/>
      </w:r>
      <w:r>
        <w:t>36</w:t>
      </w:r>
      <w:r>
        <w:fldChar w:fldCharType="end"/>
      </w:r>
      <w:r>
        <w:t>]</w:t>
      </w:r>
      <w:r>
        <w:rPr>
          <w:b w:val="0"/>
          <w:i w:val="0"/>
        </w:rPr>
        <w:t>. The measure is identically zero before 2023, because the vocabulary does not appear in annual reports before the public release of large language models, and it is bounded above by construction, so it is censored at both ends rather than by ex post winsorisation. We use the word depth rather than intensity deliberately: the object of interest is how far into the firm's work the technology has been pushed, which is what the hypotheses are about.</w:t>
      </w:r>
    </w:p>
    <w:p>
      <w:pPr>
        <w:pStyle w:val="MDPI23heading3"/>
      </w:pPr>
      <w:r>
        <w:t>3.2.3. The Two Channels</w:t>
      </w:r>
    </w:p>
    <w:p>
      <w:pPr>
        <w:pStyle w:val="MDPI32textnoindent"/>
      </w:pPr>
      <w:r>
        <w:rPr>
          <w:b w:val="0"/>
          <w:i w:val="0"/>
        </w:rPr>
        <w:t xml:space="preserve">Two intermediate variables make the mechanism observable. </w:t>
      </w:r>
      <m:oMath>
        <m:sSub>
          <m:e>
            <m:r>
              <m:t xml:space="preserve">AUG</m:t>
            </m:r>
          </m:e>
          <m:sub>
            <m:r>
              <m:t xml:space="preserve">i</m:t>
            </m:r>
            <m:r>
              <m:t xml:space="preserve">t</m:t>
            </m:r>
          </m:sub>
        </m:sSub>
      </m:oMath>
      <w:r>
        <w:rPr>
          <w:b w:val="0"/>
          <w:i w:val="0"/>
        </w:rPr>
        <w:t xml:space="preserve">, augmentation, is the share of entry-level positions in which the annual report or the recruitment disclosure indicates that model assistance is used. </w:t>
      </w:r>
      <m:oMath>
        <m:sSub>
          <m:e>
            <m:r>
              <m:t xml:space="preserve">AUT</m:t>
            </m:r>
          </m:e>
          <m:sub>
            <m:r>
              <m:t xml:space="preserve">i</m:t>
            </m:r>
            <m:r>
              <m:t xml:space="preserve">t</m:t>
            </m:r>
          </m:sub>
        </m:sSub>
      </m:oMath>
      <w:r>
        <w:rPr>
          <w:b w:val="0"/>
          <w:i w:val="0"/>
        </w:rPr>
        <w:t xml:space="preserve">, automation, is the share of the entry-level routine-cognitive task bundle that the firm reports as executed without a human step. Both are expressed in percentage points. H1 implies that </w:t>
      </w:r>
      <m:oMath>
        <m:r>
          <m:t xml:space="preserve">AUG</m:t>
        </m:r>
      </m:oMath>
      <w:r>
        <w:rPr>
          <w:b w:val="0"/>
          <w:i w:val="0"/>
        </w:rPr>
        <w:t xml:space="preserve"> is increasing and concave in depth and </w:t>
      </w:r>
      <m:oMath>
        <m:r>
          <m:t xml:space="preserve">AUT</m:t>
        </m:r>
      </m:oMath>
      <w:r>
        <w:rPr>
          <w:b w:val="0"/>
          <w:i w:val="0"/>
        </w:rPr>
        <w:t xml:space="preserve"> increasing and convex, and that the youth share loads positively on the first and negatively on the second.</w:t>
      </w:r>
    </w:p>
    <w:p>
      <w:pPr>
        <w:pStyle w:val="MDPI23heading3"/>
      </w:pPr>
      <w:r>
        <w:t>3.2.4. Moderators</w:t>
      </w:r>
    </w:p>
    <w:p>
      <w:pPr>
        <w:pStyle w:val="MDPI32textnoindent"/>
      </w:pPr>
      <w:r>
        <w:rPr>
          <w:b w:val="0"/>
          <w:i w:val="0"/>
        </w:rPr>
        <w:t xml:space="preserve">Organisational learning capability, </w:t>
      </w:r>
      <m:oMath>
        <m:sSub>
          <m:e>
            <m:r>
              <m:t xml:space="preserve">OLC</m:t>
            </m:r>
          </m:e>
          <m:sub>
            <m:r>
              <m:t xml:space="preserve">i</m:t>
            </m:r>
          </m:sub>
        </m:sSub>
      </m:oMath>
      <w:r>
        <w:rPr>
          <w:b w:val="0"/>
          <w:i w:val="0"/>
        </w:rPr>
        <w:t xml:space="preserve">, is the standardised pre-shock employee training and development expenditure per employee, a conventional observable proxy for the routines through which experience is converted into transferable capability </w:t>
      </w:r>
      <w:r>
        <w:t>[</w:t>
      </w:r>
      <w:r>
        <w:fldChar w:fldCharType="begin"/>
      </w:r>
      <w:r>
        <w:instrText xml:space="preserve"> REF _Ref_21 \h </w:instrText>
      </w:r>
      <w:r>
        <w:fldChar w:fldCharType="separate"/>
      </w:r>
      <w:r>
        <w:t>21</w:t>
      </w:r>
      <w:r>
        <w:fldChar w:fldCharType="end"/>
      </w:r>
      <w:r>
        <w:t>]</w:t>
      </w:r>
      <w:r>
        <w:rPr>
          <w:b w:val="0"/>
          <w:i w:val="0"/>
        </w:rPr>
        <w:t xml:space="preserve">. It is measured before the shock and is time invariant, so it is absorbed by the firm effects and enters only through its interactions. AI governance, </w:t>
      </w:r>
      <m:oMath>
        <m:sSub>
          <m:e>
            <m:r>
              <m:t xml:space="preserve">AIGov</m:t>
            </m:r>
          </m:e>
          <m:sub>
            <m:r>
              <m:t xml:space="preserve">i</m:t>
            </m:r>
            <m:r>
              <m:t xml:space="preserve">t</m:t>
            </m:r>
          </m:sub>
        </m:sSub>
      </m:oMath>
      <w:r>
        <w:rPr>
          <w:b w:val="0"/>
          <w:i w:val="0"/>
        </w:rPr>
        <w:t xml:space="preserve">, is an indicator equal to one if the annual report discloses AI or algorithmic governance arrangements: an ethics or technology committee, a model review process, or explicit accountability rules </w:t>
      </w:r>
      <w:r>
        <w:t>[</w:t>
      </w:r>
      <w:r>
        <w:fldChar w:fldCharType="begin"/>
      </w:r>
      <w:r>
        <w:instrText xml:space="preserve"> REF _Ref_50 \h </w:instrText>
      </w:r>
      <w:r>
        <w:fldChar w:fldCharType="separate"/>
      </w:r>
      <w:r>
        <w:t>50</w:t>
      </w:r>
      <w:r>
        <w:fldChar w:fldCharType="end"/>
      </w:r>
      <w:r>
        <w:t>,</w:t>
      </w:r>
      <w:r>
        <w:fldChar w:fldCharType="begin"/>
      </w:r>
      <w:r>
        <w:instrText xml:space="preserve"> REF _Ref_51 \h </w:instrText>
      </w:r>
      <w:r>
        <w:fldChar w:fldCharType="separate"/>
      </w:r>
      <w:r>
        <w:t>51</w:t>
      </w:r>
      <w:r>
        <w:fldChar w:fldCharType="end"/>
      </w:r>
      <w:r>
        <w:t>]</w:t>
      </w:r>
      <w:r>
        <w:rPr>
          <w:b w:val="0"/>
          <w:i w:val="0"/>
        </w:rPr>
        <w:t xml:space="preserve">. Labour cost pressure, </w:t>
      </w:r>
      <m:oMath>
        <m:sSub>
          <m:e>
            <m:r>
              <m:t xml:space="preserve">LCP</m:t>
            </m:r>
          </m:e>
          <m:sub>
            <m:r>
              <m:t xml:space="preserve">i</m:t>
            </m:r>
            <m:r>
              <m:t xml:space="preserve">t</m:t>
            </m:r>
          </m:sub>
        </m:sSub>
      </m:oMath>
      <w:r>
        <w:rPr>
          <w:b w:val="0"/>
          <w:i w:val="0"/>
        </w:rPr>
        <w:t>, is the standardised ratio of cash paid to and on behalf of employees to operating revenue. All three are described in Table 1.</w:t>
      </w:r>
    </w:p>
    <w:p>
      <w:pPr>
        <w:pStyle w:val="MDPI23heading3"/>
      </w:pPr>
      <w:r>
        <w:t>3.2.5. Control Variables</w:t>
      </w:r>
    </w:p>
    <w:p>
      <w:pPr>
        <w:pStyle w:val="MDPI32textnoindent"/>
      </w:pPr>
      <w:r>
        <w:rPr>
          <w:b w:val="0"/>
          <w:i w:val="0"/>
        </w:rPr>
        <w:t>Following the firm-level literature we control for firm size (the natural logarithm of total assets), leverage, return on equity, revenue growth, firm age, board size, the share of independent directors, CEO duality, Tobin's Q and fixed-asset intensity. Table 1 defines all variables.</w:t>
      </w:r>
    </w:p>
    <w:p>
      <w:pPr>
        <w:pStyle w:val="MDPI41tablecaption"/>
        <w:keepNext/>
        <w:spacing w:after="60"/>
      </w:pPr>
      <w:r>
        <w:rPr>
          <w:b/>
          <w:sz w:val="18"/>
        </w:rPr>
        <w:t xml:space="preserve">Table 1. </w:t>
      </w:r>
      <w:r>
        <w:rPr>
          <w:b w:val="0"/>
          <w:i w:val="0"/>
          <w:sz w:val="18"/>
        </w:rPr>
        <w:t>Definitions of variables.</w:t>
      </w:r>
    </w:p>
    <w:tbl>
      <w:tblPr>
        <w:tblStyle w:val="MDPI41threelinetable"/>
        <w:tblW w:w="7858" w:type="dxa"/>
        <w:tblInd w:w="2608" w:type="dxa"/>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CellMar>
          <w:top w:w="0" w:type="dxa"/>
          <w:left w:w="57" w:type="dxa"/>
          <w:bottom w:w="0" w:type="dxa"/>
          <w:right w:w="57" w:type="dxa"/>
        </w:tblCellMar>
        <w:tblLook w:firstColumn="1" w:firstRow="1" w:lastColumn="0" w:lastRow="0" w:noHBand="0" w:noVBand="1" w:val="04A0"/>
      </w:tblPr>
      <w:tblGrid>
        <w:gridCol w:w="1571"/>
        <w:gridCol w:w="6286"/>
      </w:tblGrid>
      <w:tr>
        <w:trPr>
          <w:cantSplit/>
          <w:tblHeader/>
        </w:trPr>
        <w:tc>
          <w:tcPr>
            <w:tcW w:type="dxa" w:w="1571"/>
            <w:tcBorders>
              <w:bottom w:val="single" w:sz="8" w:space="0" w:color="auto"/>
            </w:tcBorders>
          </w:tcPr>
          <w:p>
            <w:pPr>
              <w:pStyle w:val="MDPI42tablebody"/>
              <w:keepNext/>
              <w:spacing w:line="240" w:lineRule="auto" w:before="30" w:after="30"/>
              <w:jc w:val="center"/>
            </w:pPr>
            <w:r>
              <w:rPr>
                <w:b/>
                <w:i w:val="0"/>
                <w:sz w:val="18"/>
              </w:rPr>
              <w:t>Variable</w:t>
            </w:r>
          </w:p>
        </w:tc>
        <w:tc>
          <w:tcPr>
            <w:tcW w:type="dxa" w:w="6286"/>
            <w:tcBorders>
              <w:bottom w:val="single" w:sz="8" w:space="0" w:color="auto"/>
            </w:tcBorders>
          </w:tcPr>
          <w:p>
            <w:pPr>
              <w:pStyle w:val="MDPI42tablebody"/>
              <w:keepNext/>
              <w:spacing w:line="240" w:lineRule="auto" w:before="30" w:after="30"/>
              <w:jc w:val="center"/>
            </w:pPr>
            <w:r>
              <w:rPr>
                <w:b/>
                <w:i w:val="0"/>
                <w:sz w:val="18"/>
              </w:rPr>
              <w:t>Definition</w:t>
            </w:r>
          </w:p>
        </w:tc>
      </w:tr>
      <w:tr>
        <w:trPr>
          <w:cantSplit/>
        </w:trPr>
        <w:tc>
          <w:tcPr>
            <w:tcW w:type="dxa" w:w="7858"/>
            <w:gridSpan w:val="2"/>
          </w:tcPr>
          <w:p>
            <w:pPr>
              <w:pStyle w:val="MDPI42tablebody"/>
              <w:keepNext/>
              <w:spacing w:line="240" w:lineRule="auto" w:before="60" w:after="30"/>
              <w:jc w:val="left"/>
            </w:pPr>
            <w:r>
              <w:rPr>
                <w:b/>
                <w:i/>
                <w:sz w:val="18"/>
              </w:rPr>
              <w:t>Dependent variables</w:t>
            </w:r>
          </w:p>
        </w:tc>
      </w:tr>
      <w:tr>
        <w:trPr>
          <w:cantSplit/>
        </w:trPr>
        <w:tc>
          <w:tcPr>
            <w:tcW w:type="dxa" w:w="1571"/>
          </w:tcPr>
          <w:p>
            <w:pPr>
              <w:pStyle w:val="MDPI42tablebody"/>
              <w:keepNext/>
              <w:spacing w:line="240" w:lineRule="auto" w:before="30" w:after="30"/>
              <w:jc w:val="left"/>
            </w:pPr>
            <w:r>
              <w:rPr>
                <w:b w:val="0"/>
                <w:i/>
                <w:sz w:val="18"/>
              </w:rPr>
              <w:t>Youth</w:t>
            </w:r>
          </w:p>
        </w:tc>
        <w:tc>
          <w:tcPr>
            <w:tcW w:type="dxa" w:w="6286"/>
          </w:tcPr>
          <w:p>
            <w:pPr>
              <w:pStyle w:val="MDPI42tablebody"/>
              <w:keepNext/>
              <w:spacing w:line="240" w:lineRule="auto" w:before="30" w:after="30"/>
              <w:jc w:val="left"/>
            </w:pPr>
            <w:r>
              <w:rPr>
                <w:b w:val="0"/>
                <w:i w:val="0"/>
                <w:sz w:val="18"/>
              </w:rPr>
              <w:t>Share of employees aged 30 or below in total employees (%)</w:t>
            </w:r>
          </w:p>
        </w:tc>
      </w:tr>
      <w:tr>
        <w:trPr>
          <w:cantSplit/>
        </w:trPr>
        <w:tc>
          <w:tcPr>
            <w:tcW w:type="dxa" w:w="1571"/>
          </w:tcPr>
          <w:p>
            <w:pPr>
              <w:pStyle w:val="MDPI42tablebody"/>
              <w:keepNext/>
              <w:spacing w:line="240" w:lineRule="auto" w:before="30" w:after="30"/>
              <w:jc w:val="left"/>
            </w:pPr>
            <w:r>
              <w:rPr>
                <w:b w:val="0"/>
                <w:i/>
                <w:sz w:val="18"/>
              </w:rPr>
              <w:t>Youth35</w:t>
            </w:r>
          </w:p>
        </w:tc>
        <w:tc>
          <w:tcPr>
            <w:tcW w:type="dxa" w:w="6286"/>
          </w:tcPr>
          <w:p>
            <w:pPr>
              <w:pStyle w:val="MDPI42tablebody"/>
              <w:keepNext/>
              <w:spacing w:line="240" w:lineRule="auto" w:before="30" w:after="30"/>
              <w:jc w:val="left"/>
            </w:pPr>
            <w:r>
              <w:rPr>
                <w:b w:val="0"/>
                <w:i w:val="0"/>
                <w:sz w:val="18"/>
              </w:rPr>
              <w:t>Share of employees aged 35 or below in total employees (%)</w:t>
            </w:r>
          </w:p>
        </w:tc>
      </w:tr>
      <w:tr>
        <w:trPr>
          <w:cantSplit/>
        </w:trPr>
        <w:tc>
          <w:tcPr>
            <w:tcW w:type="dxa" w:w="1571"/>
          </w:tcPr>
          <w:p>
            <w:pPr>
              <w:pStyle w:val="MDPI42tablebody"/>
              <w:keepNext/>
              <w:spacing w:line="240" w:lineRule="auto" w:before="30" w:after="30"/>
              <w:jc w:val="left"/>
            </w:pPr>
            <w:r>
              <w:rPr>
                <w:b w:val="0"/>
                <w:i/>
                <w:sz w:val="18"/>
              </w:rPr>
              <w:t>LnYoung</w:t>
            </w:r>
          </w:p>
        </w:tc>
        <w:tc>
          <w:tcPr>
            <w:tcW w:type="dxa" w:w="6286"/>
          </w:tcPr>
          <w:p>
            <w:pPr>
              <w:pStyle w:val="MDPI42tablebody"/>
              <w:keepNext/>
              <w:spacing w:line="240" w:lineRule="auto" w:before="30" w:after="30"/>
              <w:jc w:val="left"/>
            </w:pPr>
            <w:r>
              <w:rPr>
                <w:b w:val="0"/>
                <w:i w:val="0"/>
                <w:sz w:val="18"/>
              </w:rPr>
              <w:t>Natural logarithm of one plus the number of employees aged 30 or below</w:t>
            </w:r>
          </w:p>
        </w:tc>
      </w:tr>
      <w:tr>
        <w:trPr>
          <w:cantSplit/>
        </w:trPr>
        <w:tc>
          <w:tcPr>
            <w:tcW w:type="dxa" w:w="7858"/>
            <w:gridSpan w:val="2"/>
          </w:tcPr>
          <w:p>
            <w:pPr>
              <w:pStyle w:val="MDPI42tablebody"/>
              <w:keepNext/>
              <w:spacing w:line="240" w:lineRule="auto" w:before="60" w:after="30"/>
              <w:jc w:val="left"/>
            </w:pPr>
            <w:r>
              <w:rPr>
                <w:b/>
                <w:i/>
                <w:sz w:val="18"/>
              </w:rPr>
              <w:t>Explanatory variable</w:t>
            </w:r>
          </w:p>
        </w:tc>
      </w:tr>
      <w:tr>
        <w:trPr>
          <w:cantSplit/>
        </w:trPr>
        <w:tc>
          <w:tcPr>
            <w:tcW w:type="dxa" w:w="1571"/>
          </w:tcPr>
          <w:p>
            <w:pPr>
              <w:pStyle w:val="MDPI42tablebody"/>
              <w:keepNext/>
              <w:spacing w:line="240" w:lineRule="auto" w:before="30" w:after="30"/>
              <w:jc w:val="left"/>
            </w:pPr>
            <w:r>
              <w:rPr>
                <w:b w:val="0"/>
                <w:i/>
                <w:sz w:val="18"/>
              </w:rPr>
              <w:t>AI</w:t>
            </w:r>
          </w:p>
        </w:tc>
        <w:tc>
          <w:tcPr>
            <w:tcW w:type="dxa" w:w="6286"/>
          </w:tcPr>
          <w:p>
            <w:pPr>
              <w:pStyle w:val="MDPI42tablebody"/>
              <w:keepNext/>
              <w:spacing w:line="240" w:lineRule="auto" w:before="30" w:after="30"/>
              <w:jc w:val="left"/>
            </w:pPr>
            <w:r>
              <w:rPr>
                <w:b w:val="0"/>
                <w:i w:val="0"/>
                <w:sz w:val="18"/>
              </w:rPr>
              <w:t>Depth of generative AI adoption: the natural logarithm of one plus the frequency of generative-AI terms in the management discussion and analysis section of the annual report</w:t>
            </w:r>
          </w:p>
        </w:tc>
      </w:tr>
      <w:tr>
        <w:trPr>
          <w:cantSplit/>
        </w:trPr>
        <w:tc>
          <w:tcPr>
            <w:tcW w:type="dxa" w:w="1571"/>
          </w:tcPr>
          <w:p>
            <w:pPr>
              <w:pStyle w:val="MDPI42tablebody"/>
              <w:keepNext/>
              <w:spacing w:line="240" w:lineRule="auto" w:before="30" w:after="30"/>
              <w:jc w:val="left"/>
            </w:pPr>
            <w:r>
              <w:rPr>
                <w:b w:val="0"/>
                <w:i/>
                <w:sz w:val="18"/>
              </w:rPr>
              <w:t>AI</w:t>
            </w:r>
            <w:r>
              <w:rPr>
                <w:b w:val="0"/>
                <w:i/>
                <w:sz w:val="18"/>
                <w:vertAlign w:val="superscript"/>
              </w:rPr>
              <w:t>2</w:t>
            </w:r>
          </w:p>
        </w:tc>
        <w:tc>
          <w:tcPr>
            <w:tcW w:type="dxa" w:w="6286"/>
          </w:tcPr>
          <w:p>
            <w:pPr>
              <w:pStyle w:val="MDPI42tablebody"/>
              <w:keepNext/>
              <w:spacing w:line="240" w:lineRule="auto" w:before="30" w:after="30"/>
              <w:jc w:val="left"/>
            </w:pPr>
            <w:r>
              <w:rPr>
                <w:b w:val="0"/>
                <w:i w:val="0"/>
                <w:sz w:val="18"/>
              </w:rPr>
              <w:t>Square of the adoption depth</w:t>
            </w:r>
          </w:p>
        </w:tc>
      </w:tr>
      <w:tr>
        <w:trPr>
          <w:cantSplit/>
        </w:trPr>
        <w:tc>
          <w:tcPr>
            <w:tcW w:type="dxa" w:w="7858"/>
            <w:gridSpan w:val="2"/>
          </w:tcPr>
          <w:p>
            <w:pPr>
              <w:pStyle w:val="MDPI42tablebody"/>
              <w:keepNext/>
              <w:spacing w:line="240" w:lineRule="auto" w:before="60" w:after="30"/>
              <w:jc w:val="left"/>
            </w:pPr>
            <w:r>
              <w:rPr>
                <w:b/>
                <w:i/>
                <w:sz w:val="18"/>
              </w:rPr>
              <w:t>Channel variables</w:t>
            </w:r>
          </w:p>
        </w:tc>
      </w:tr>
      <w:tr>
        <w:trPr>
          <w:cantSplit/>
        </w:trPr>
        <w:tc>
          <w:tcPr>
            <w:tcW w:type="dxa" w:w="1571"/>
          </w:tcPr>
          <w:p>
            <w:pPr>
              <w:pStyle w:val="MDPI42tablebody"/>
              <w:keepNext/>
              <w:spacing w:line="240" w:lineRule="auto" w:before="30" w:after="30"/>
              <w:jc w:val="left"/>
            </w:pPr>
            <w:r>
              <w:rPr>
                <w:b w:val="0"/>
                <w:i/>
                <w:sz w:val="18"/>
              </w:rPr>
              <w:t>AUG</w:t>
            </w:r>
          </w:p>
        </w:tc>
        <w:tc>
          <w:tcPr>
            <w:tcW w:type="dxa" w:w="6286"/>
          </w:tcPr>
          <w:p>
            <w:pPr>
              <w:pStyle w:val="MDPI42tablebody"/>
              <w:keepNext/>
              <w:spacing w:line="240" w:lineRule="auto" w:before="30" w:after="30"/>
              <w:jc w:val="left"/>
            </w:pPr>
            <w:r>
              <w:rPr>
                <w:b w:val="0"/>
                <w:i w:val="0"/>
                <w:sz w:val="18"/>
              </w:rPr>
              <w:t>Augmentation: share of entry-level positions in which model assistance is reported (%)</w:t>
            </w:r>
          </w:p>
        </w:tc>
      </w:tr>
      <w:tr>
        <w:trPr>
          <w:cantSplit/>
        </w:trPr>
        <w:tc>
          <w:tcPr>
            <w:tcW w:type="dxa" w:w="1571"/>
          </w:tcPr>
          <w:p>
            <w:pPr>
              <w:pStyle w:val="MDPI42tablebody"/>
              <w:keepNext/>
              <w:spacing w:line="240" w:lineRule="auto" w:before="30" w:after="30"/>
              <w:jc w:val="left"/>
            </w:pPr>
            <w:r>
              <w:rPr>
                <w:b w:val="0"/>
                <w:i/>
                <w:sz w:val="18"/>
              </w:rPr>
              <w:t>AUT</w:t>
            </w:r>
          </w:p>
        </w:tc>
        <w:tc>
          <w:tcPr>
            <w:tcW w:type="dxa" w:w="6286"/>
          </w:tcPr>
          <w:p>
            <w:pPr>
              <w:pStyle w:val="MDPI42tablebody"/>
              <w:keepNext/>
              <w:spacing w:line="240" w:lineRule="auto" w:before="30" w:after="30"/>
              <w:jc w:val="left"/>
            </w:pPr>
            <w:r>
              <w:rPr>
                <w:b w:val="0"/>
                <w:i w:val="0"/>
                <w:sz w:val="18"/>
              </w:rPr>
              <w:t>Automation: share of the entry-level routine-cognitive task bundle executed with no human step (%)</w:t>
            </w:r>
          </w:p>
        </w:tc>
      </w:tr>
      <w:tr>
        <w:trPr>
          <w:cantSplit/>
        </w:trPr>
        <w:tc>
          <w:tcPr>
            <w:tcW w:type="dxa" w:w="7858"/>
            <w:gridSpan w:val="2"/>
          </w:tcPr>
          <w:p>
            <w:pPr>
              <w:pStyle w:val="MDPI42tablebody"/>
              <w:keepNext/>
              <w:spacing w:line="240" w:lineRule="auto" w:before="60" w:after="30"/>
              <w:jc w:val="left"/>
            </w:pPr>
            <w:r>
              <w:rPr>
                <w:b/>
                <w:i/>
                <w:sz w:val="18"/>
              </w:rPr>
              <w:t>Moderating variables</w:t>
            </w:r>
          </w:p>
        </w:tc>
      </w:tr>
      <w:tr>
        <w:trPr>
          <w:cantSplit/>
        </w:trPr>
        <w:tc>
          <w:tcPr>
            <w:tcW w:type="dxa" w:w="1571"/>
          </w:tcPr>
          <w:p>
            <w:pPr>
              <w:pStyle w:val="MDPI42tablebody"/>
              <w:keepNext/>
              <w:spacing w:line="240" w:lineRule="auto" w:before="30" w:after="30"/>
              <w:jc w:val="left"/>
            </w:pPr>
            <w:r>
              <w:rPr>
                <w:b w:val="0"/>
                <w:i/>
                <w:sz w:val="18"/>
              </w:rPr>
              <w:t>OLC</w:t>
            </w:r>
          </w:p>
        </w:tc>
        <w:tc>
          <w:tcPr>
            <w:tcW w:type="dxa" w:w="6286"/>
          </w:tcPr>
          <w:p>
            <w:pPr>
              <w:pStyle w:val="MDPI42tablebody"/>
              <w:keepNext/>
              <w:spacing w:line="240" w:lineRule="auto" w:before="30" w:after="30"/>
              <w:jc w:val="left"/>
            </w:pPr>
            <w:r>
              <w:rPr>
                <w:b w:val="0"/>
                <w:i w:val="0"/>
                <w:sz w:val="18"/>
              </w:rPr>
              <w:t>Organisational learning capability: standardised pre-shock employee training and development expenditure per employee</w:t>
            </w:r>
          </w:p>
        </w:tc>
      </w:tr>
      <w:tr>
        <w:trPr>
          <w:cantSplit/>
        </w:trPr>
        <w:tc>
          <w:tcPr>
            <w:tcW w:type="dxa" w:w="1571"/>
          </w:tcPr>
          <w:p>
            <w:pPr>
              <w:pStyle w:val="MDPI42tablebody"/>
              <w:keepNext/>
              <w:spacing w:line="240" w:lineRule="auto" w:before="30" w:after="30"/>
              <w:jc w:val="left"/>
            </w:pPr>
            <w:r>
              <w:rPr>
                <w:b w:val="0"/>
                <w:i/>
                <w:sz w:val="18"/>
              </w:rPr>
              <w:t>AIGov</w:t>
            </w:r>
          </w:p>
        </w:tc>
        <w:tc>
          <w:tcPr>
            <w:tcW w:type="dxa" w:w="6286"/>
          </w:tcPr>
          <w:p>
            <w:pPr>
              <w:pStyle w:val="MDPI42tablebody"/>
              <w:keepNext/>
              <w:spacing w:line="240" w:lineRule="auto" w:before="30" w:after="30"/>
              <w:jc w:val="left"/>
            </w:pPr>
            <w:r>
              <w:rPr>
                <w:b w:val="0"/>
                <w:i w:val="0"/>
                <w:sz w:val="18"/>
              </w:rPr>
              <w:t>Indicator equal to one if the annual report discloses AI or algorithmic governance arrangements</w:t>
            </w:r>
          </w:p>
        </w:tc>
      </w:tr>
      <w:tr>
        <w:trPr>
          <w:cantSplit/>
        </w:trPr>
        <w:tc>
          <w:tcPr>
            <w:tcW w:type="dxa" w:w="1571"/>
          </w:tcPr>
          <w:p>
            <w:pPr>
              <w:pStyle w:val="MDPI42tablebody"/>
              <w:keepNext/>
              <w:spacing w:line="240" w:lineRule="auto" w:before="30" w:after="30"/>
              <w:jc w:val="left"/>
            </w:pPr>
            <w:r>
              <w:rPr>
                <w:b w:val="0"/>
                <w:i/>
                <w:sz w:val="18"/>
              </w:rPr>
              <w:t>LCP</w:t>
            </w:r>
          </w:p>
        </w:tc>
        <w:tc>
          <w:tcPr>
            <w:tcW w:type="dxa" w:w="6286"/>
          </w:tcPr>
          <w:p>
            <w:pPr>
              <w:pStyle w:val="MDPI42tablebody"/>
              <w:keepNext/>
              <w:spacing w:line="240" w:lineRule="auto" w:before="30" w:after="30"/>
              <w:jc w:val="left"/>
            </w:pPr>
            <w:r>
              <w:rPr>
                <w:b w:val="0"/>
                <w:i w:val="0"/>
                <w:sz w:val="18"/>
              </w:rPr>
              <w:t>Labour cost pressure: standardised ratio of cash paid to and on behalf of employees to operating revenue</w:t>
            </w:r>
          </w:p>
        </w:tc>
      </w:tr>
      <w:tr>
        <w:trPr>
          <w:cantSplit/>
        </w:trPr>
        <w:tc>
          <w:tcPr>
            <w:tcW w:type="dxa" w:w="7858"/>
            <w:gridSpan w:val="2"/>
          </w:tcPr>
          <w:p>
            <w:pPr>
              <w:pStyle w:val="MDPI42tablebody"/>
              <w:keepNext/>
              <w:spacing w:line="240" w:lineRule="auto" w:before="60" w:after="30"/>
              <w:jc w:val="left"/>
            </w:pPr>
            <w:r>
              <w:rPr>
                <w:b/>
                <w:i/>
                <w:sz w:val="18"/>
              </w:rPr>
              <w:t>Control variables</w:t>
            </w:r>
          </w:p>
        </w:tc>
      </w:tr>
      <w:tr>
        <w:trPr>
          <w:cantSplit/>
        </w:trPr>
        <w:tc>
          <w:tcPr>
            <w:tcW w:type="dxa" w:w="1571"/>
          </w:tcPr>
          <w:p>
            <w:pPr>
              <w:pStyle w:val="MDPI42tablebody"/>
              <w:keepNext/>
              <w:spacing w:line="240" w:lineRule="auto" w:before="30" w:after="30"/>
              <w:jc w:val="left"/>
            </w:pPr>
            <w:r>
              <w:rPr>
                <w:b w:val="0"/>
                <w:i/>
                <w:sz w:val="18"/>
              </w:rPr>
              <w:t>Size</w:t>
            </w:r>
          </w:p>
        </w:tc>
        <w:tc>
          <w:tcPr>
            <w:tcW w:type="dxa" w:w="6286"/>
          </w:tcPr>
          <w:p>
            <w:pPr>
              <w:pStyle w:val="MDPI42tablebody"/>
              <w:keepNext/>
              <w:spacing w:line="240" w:lineRule="auto" w:before="30" w:after="30"/>
              <w:jc w:val="left"/>
            </w:pPr>
            <w:r>
              <w:rPr>
                <w:b w:val="0"/>
                <w:i w:val="0"/>
                <w:sz w:val="18"/>
              </w:rPr>
              <w:t>Natural logarithm of total assets</w:t>
            </w:r>
          </w:p>
        </w:tc>
      </w:tr>
      <w:tr>
        <w:trPr>
          <w:cantSplit/>
        </w:trPr>
        <w:tc>
          <w:tcPr>
            <w:tcW w:type="dxa" w:w="1571"/>
          </w:tcPr>
          <w:p>
            <w:pPr>
              <w:pStyle w:val="MDPI42tablebody"/>
              <w:keepNext/>
              <w:spacing w:line="240" w:lineRule="auto" w:before="30" w:after="30"/>
              <w:jc w:val="left"/>
            </w:pPr>
            <w:r>
              <w:rPr>
                <w:b w:val="0"/>
                <w:i/>
                <w:sz w:val="18"/>
              </w:rPr>
              <w:t>Lev</w:t>
            </w:r>
          </w:p>
        </w:tc>
        <w:tc>
          <w:tcPr>
            <w:tcW w:type="dxa" w:w="6286"/>
          </w:tcPr>
          <w:p>
            <w:pPr>
              <w:pStyle w:val="MDPI42tablebody"/>
              <w:keepNext/>
              <w:spacing w:line="240" w:lineRule="auto" w:before="30" w:after="30"/>
              <w:jc w:val="left"/>
            </w:pPr>
            <w:r>
              <w:rPr>
                <w:b w:val="0"/>
                <w:i w:val="0"/>
                <w:sz w:val="18"/>
              </w:rPr>
              <w:t>Total liabilities divided by total assets</w:t>
            </w:r>
          </w:p>
        </w:tc>
      </w:tr>
      <w:tr>
        <w:trPr>
          <w:cantSplit/>
        </w:trPr>
        <w:tc>
          <w:tcPr>
            <w:tcW w:type="dxa" w:w="1571"/>
          </w:tcPr>
          <w:p>
            <w:pPr>
              <w:pStyle w:val="MDPI42tablebody"/>
              <w:keepNext/>
              <w:spacing w:line="240" w:lineRule="auto" w:before="30" w:after="30"/>
              <w:jc w:val="left"/>
            </w:pPr>
            <w:r>
              <w:rPr>
                <w:b w:val="0"/>
                <w:i/>
                <w:sz w:val="18"/>
              </w:rPr>
              <w:t>ROE</w:t>
            </w:r>
          </w:p>
        </w:tc>
        <w:tc>
          <w:tcPr>
            <w:tcW w:type="dxa" w:w="6286"/>
          </w:tcPr>
          <w:p>
            <w:pPr>
              <w:pStyle w:val="MDPI42tablebody"/>
              <w:keepNext/>
              <w:spacing w:line="240" w:lineRule="auto" w:before="30" w:after="30"/>
              <w:jc w:val="left"/>
            </w:pPr>
            <w:r>
              <w:rPr>
                <w:b w:val="0"/>
                <w:i w:val="0"/>
                <w:sz w:val="18"/>
              </w:rPr>
              <w:t>Net profit divided by total shareholders' equity</w:t>
            </w:r>
          </w:p>
        </w:tc>
      </w:tr>
      <w:tr>
        <w:trPr>
          <w:cantSplit/>
        </w:trPr>
        <w:tc>
          <w:tcPr>
            <w:tcW w:type="dxa" w:w="1571"/>
          </w:tcPr>
          <w:p>
            <w:pPr>
              <w:pStyle w:val="MDPI42tablebody"/>
              <w:keepNext/>
              <w:spacing w:line="240" w:lineRule="auto" w:before="30" w:after="30"/>
              <w:jc w:val="left"/>
            </w:pPr>
            <w:r>
              <w:rPr>
                <w:b w:val="0"/>
                <w:i/>
                <w:sz w:val="18"/>
              </w:rPr>
              <w:t>Growth</w:t>
            </w:r>
          </w:p>
        </w:tc>
        <w:tc>
          <w:tcPr>
            <w:tcW w:type="dxa" w:w="6286"/>
          </w:tcPr>
          <w:p>
            <w:pPr>
              <w:pStyle w:val="MDPI42tablebody"/>
              <w:keepNext/>
              <w:spacing w:line="240" w:lineRule="auto" w:before="30" w:after="30"/>
              <w:jc w:val="left"/>
            </w:pPr>
            <w:r>
              <w:rPr>
                <w:b w:val="0"/>
                <w:i w:val="0"/>
                <w:sz w:val="18"/>
              </w:rPr>
              <w:t>Year-on-year growth rate of operating revenue</w:t>
            </w:r>
          </w:p>
        </w:tc>
      </w:tr>
      <w:tr>
        <w:trPr>
          <w:cantSplit/>
        </w:trPr>
        <w:tc>
          <w:tcPr>
            <w:tcW w:type="dxa" w:w="1571"/>
          </w:tcPr>
          <w:p>
            <w:pPr>
              <w:pStyle w:val="MDPI42tablebody"/>
              <w:keepNext/>
              <w:spacing w:line="240" w:lineRule="auto" w:before="30" w:after="30"/>
              <w:jc w:val="left"/>
            </w:pPr>
            <w:r>
              <w:rPr>
                <w:b w:val="0"/>
                <w:i/>
                <w:sz w:val="18"/>
              </w:rPr>
              <w:t>Age</w:t>
            </w:r>
          </w:p>
        </w:tc>
        <w:tc>
          <w:tcPr>
            <w:tcW w:type="dxa" w:w="6286"/>
          </w:tcPr>
          <w:p>
            <w:pPr>
              <w:pStyle w:val="MDPI42tablebody"/>
              <w:keepNext/>
              <w:spacing w:line="240" w:lineRule="auto" w:before="30" w:after="30"/>
              <w:jc w:val="left"/>
            </w:pPr>
            <w:r>
              <w:rPr>
                <w:b w:val="0"/>
                <w:i w:val="0"/>
                <w:sz w:val="18"/>
              </w:rPr>
              <w:t>Natural logarithm of one plus the number of years since the firm was founded</w:t>
            </w:r>
          </w:p>
        </w:tc>
      </w:tr>
      <w:tr>
        <w:trPr>
          <w:cantSplit/>
        </w:trPr>
        <w:tc>
          <w:tcPr>
            <w:tcW w:type="dxa" w:w="1571"/>
          </w:tcPr>
          <w:p>
            <w:pPr>
              <w:pStyle w:val="MDPI42tablebody"/>
              <w:keepNext/>
              <w:spacing w:line="240" w:lineRule="auto" w:before="30" w:after="30"/>
              <w:jc w:val="left"/>
            </w:pPr>
            <w:r>
              <w:rPr>
                <w:b w:val="0"/>
                <w:i/>
                <w:sz w:val="18"/>
              </w:rPr>
              <w:t>Board</w:t>
            </w:r>
          </w:p>
        </w:tc>
        <w:tc>
          <w:tcPr>
            <w:tcW w:type="dxa" w:w="6286"/>
          </w:tcPr>
          <w:p>
            <w:pPr>
              <w:pStyle w:val="MDPI42tablebody"/>
              <w:keepNext/>
              <w:spacing w:line="240" w:lineRule="auto" w:before="30" w:after="30"/>
              <w:jc w:val="left"/>
            </w:pPr>
            <w:r>
              <w:rPr>
                <w:b w:val="0"/>
                <w:i w:val="0"/>
                <w:sz w:val="18"/>
              </w:rPr>
              <w:t>Natural logarithm of the number of directors</w:t>
            </w:r>
          </w:p>
        </w:tc>
      </w:tr>
      <w:tr>
        <w:trPr>
          <w:cantSplit/>
        </w:trPr>
        <w:tc>
          <w:tcPr>
            <w:tcW w:type="dxa" w:w="1571"/>
          </w:tcPr>
          <w:p>
            <w:pPr>
              <w:pStyle w:val="MDPI42tablebody"/>
              <w:keepNext/>
              <w:spacing w:line="240" w:lineRule="auto" w:before="30" w:after="30"/>
              <w:jc w:val="left"/>
            </w:pPr>
            <w:r>
              <w:rPr>
                <w:b w:val="0"/>
                <w:i/>
                <w:sz w:val="18"/>
              </w:rPr>
              <w:t>Indep</w:t>
            </w:r>
          </w:p>
        </w:tc>
        <w:tc>
          <w:tcPr>
            <w:tcW w:type="dxa" w:w="6286"/>
          </w:tcPr>
          <w:p>
            <w:pPr>
              <w:pStyle w:val="MDPI42tablebody"/>
              <w:keepNext/>
              <w:spacing w:line="240" w:lineRule="auto" w:before="30" w:after="30"/>
              <w:jc w:val="left"/>
            </w:pPr>
            <w:r>
              <w:rPr>
                <w:b w:val="0"/>
                <w:i w:val="0"/>
                <w:sz w:val="18"/>
              </w:rPr>
              <w:t>Number of independent directors divided by board size</w:t>
            </w:r>
          </w:p>
        </w:tc>
      </w:tr>
      <w:tr>
        <w:trPr>
          <w:cantSplit/>
        </w:trPr>
        <w:tc>
          <w:tcPr>
            <w:tcW w:type="dxa" w:w="1571"/>
          </w:tcPr>
          <w:p>
            <w:pPr>
              <w:pStyle w:val="MDPI42tablebody"/>
              <w:keepNext/>
              <w:spacing w:line="240" w:lineRule="auto" w:before="30" w:after="30"/>
              <w:jc w:val="left"/>
            </w:pPr>
            <w:r>
              <w:rPr>
                <w:b w:val="0"/>
                <w:i/>
                <w:sz w:val="18"/>
              </w:rPr>
              <w:t>Dual</w:t>
            </w:r>
          </w:p>
        </w:tc>
        <w:tc>
          <w:tcPr>
            <w:tcW w:type="dxa" w:w="6286"/>
          </w:tcPr>
          <w:p>
            <w:pPr>
              <w:pStyle w:val="MDPI42tablebody"/>
              <w:keepNext/>
              <w:spacing w:line="240" w:lineRule="auto" w:before="30" w:after="30"/>
              <w:jc w:val="left"/>
            </w:pPr>
            <w:r>
              <w:rPr>
                <w:b w:val="0"/>
                <w:i w:val="0"/>
                <w:sz w:val="18"/>
              </w:rPr>
              <w:t>Indicator equal to one if the CEO also chairs the board</w:t>
            </w:r>
          </w:p>
        </w:tc>
      </w:tr>
      <w:tr>
        <w:trPr>
          <w:cantSplit/>
        </w:trPr>
        <w:tc>
          <w:tcPr>
            <w:tcW w:type="dxa" w:w="1571"/>
          </w:tcPr>
          <w:p>
            <w:pPr>
              <w:pStyle w:val="MDPI42tablebody"/>
              <w:keepNext/>
              <w:spacing w:line="240" w:lineRule="auto" w:before="30" w:after="30"/>
              <w:jc w:val="left"/>
            </w:pPr>
            <w:r>
              <w:rPr>
                <w:b w:val="0"/>
                <w:i/>
                <w:sz w:val="18"/>
              </w:rPr>
              <w:t>TobinQ</w:t>
            </w:r>
          </w:p>
        </w:tc>
        <w:tc>
          <w:tcPr>
            <w:tcW w:type="dxa" w:w="6286"/>
          </w:tcPr>
          <w:p>
            <w:pPr>
              <w:pStyle w:val="MDPI42tablebody"/>
              <w:keepNext/>
              <w:spacing w:line="240" w:lineRule="auto" w:before="30" w:after="30"/>
              <w:jc w:val="left"/>
            </w:pPr>
            <w:r>
              <w:rPr>
                <w:b w:val="0"/>
                <w:i w:val="0"/>
                <w:sz w:val="18"/>
              </w:rPr>
              <w:t>Market value divided by the replacement cost of assets</w:t>
            </w:r>
          </w:p>
        </w:tc>
      </w:tr>
      <w:tr>
        <w:trPr>
          <w:cantSplit/>
        </w:trPr>
        <w:tc>
          <w:tcPr>
            <w:tcW w:type="dxa" w:w="1571"/>
          </w:tcPr>
          <w:p>
            <w:pPr>
              <w:pStyle w:val="MDPI42tablebody"/>
              <w:keepNext/>
              <w:spacing w:line="240" w:lineRule="auto" w:before="30" w:after="30"/>
              <w:jc w:val="left"/>
            </w:pPr>
            <w:r>
              <w:rPr>
                <w:b w:val="0"/>
                <w:i/>
                <w:sz w:val="18"/>
              </w:rPr>
              <w:t>Fixed</w:t>
            </w:r>
          </w:p>
        </w:tc>
        <w:tc>
          <w:tcPr>
            <w:tcW w:type="dxa" w:w="6286"/>
          </w:tcPr>
          <w:p>
            <w:pPr>
              <w:pStyle w:val="MDPI42tablebody"/>
              <w:keepNext/>
              <w:spacing w:line="240" w:lineRule="auto" w:before="30" w:after="30"/>
              <w:jc w:val="left"/>
            </w:pPr>
            <w:r>
              <w:rPr>
                <w:b w:val="0"/>
                <w:i w:val="0"/>
                <w:sz w:val="18"/>
              </w:rPr>
              <w:t>Net fixed assets divided by total assets</w:t>
            </w:r>
          </w:p>
        </w:tc>
      </w:tr>
      <w:tr>
        <w:trPr>
          <w:cantSplit/>
        </w:trPr>
        <w:tc>
          <w:tcPr>
            <w:tcW w:type="dxa" w:w="7858"/>
            <w:gridSpan w:val="2"/>
          </w:tcPr>
          <w:p>
            <w:pPr>
              <w:pStyle w:val="MDPI42tablebody"/>
              <w:keepNext/>
              <w:spacing w:line="240" w:lineRule="auto" w:before="60" w:after="30"/>
              <w:jc w:val="left"/>
            </w:pPr>
            <w:r>
              <w:rPr>
                <w:b/>
                <w:i/>
                <w:sz w:val="18"/>
              </w:rPr>
              <w:t>Instruments</w:t>
            </w:r>
          </w:p>
        </w:tc>
      </w:tr>
      <w:tr>
        <w:trPr>
          <w:cantSplit/>
        </w:trPr>
        <w:tc>
          <w:tcPr>
            <w:tcW w:type="dxa" w:w="1571"/>
          </w:tcPr>
          <w:p>
            <w:pPr>
              <w:pStyle w:val="MDPI42tablebody"/>
              <w:keepNext/>
              <w:spacing w:line="240" w:lineRule="auto" w:before="30" w:after="30"/>
              <w:jc w:val="left"/>
            </w:pPr>
            <w:r>
              <w:rPr>
                <w:b w:val="0"/>
                <w:i/>
                <w:sz w:val="18"/>
              </w:rPr>
              <w:t>IV</w:t>
            </w:r>
            <w:r>
              <w:rPr>
                <w:b w:val="0"/>
                <w:i/>
                <w:sz w:val="18"/>
                <w:vertAlign w:val="superscript"/>
              </w:rPr>
              <w:t>Phone</w:t>
            </w:r>
          </w:p>
        </w:tc>
        <w:tc>
          <w:tcPr>
            <w:tcW w:type="dxa" w:w="6286"/>
          </w:tcPr>
          <w:p>
            <w:pPr>
              <w:pStyle w:val="MDPI42tablebody"/>
              <w:keepNext/>
              <w:spacing w:line="240" w:lineRule="auto" w:before="30" w:after="30"/>
              <w:jc w:val="left"/>
            </w:pPr>
            <w:r>
              <w:rPr>
                <w:b w:val="0"/>
                <w:i w:val="0"/>
                <w:sz w:val="18"/>
              </w:rPr>
              <w:t>1984 provincial fixed-line telephone penetration rate interacted with the national generative-AI diffusion index, rebased to unity in every pre-shock year</w:t>
            </w:r>
          </w:p>
        </w:tc>
      </w:tr>
      <w:tr>
        <w:trPr>
          <w:cantSplit/>
        </w:trPr>
        <w:tc>
          <w:tcPr>
            <w:tcW w:type="dxa" w:w="1571"/>
          </w:tcPr>
          <w:p>
            <w:pPr>
              <w:pStyle w:val="MDPI42tablebody"/>
              <w:keepNext/>
              <w:spacing w:line="240" w:lineRule="auto" w:before="30" w:after="30"/>
              <w:jc w:val="left"/>
            </w:pPr>
            <w:r>
              <w:rPr>
                <w:b w:val="0"/>
                <w:i/>
                <w:sz w:val="18"/>
              </w:rPr>
              <w:t>IV</w:t>
            </w:r>
            <w:r>
              <w:rPr>
                <w:b w:val="0"/>
                <w:i/>
                <w:sz w:val="18"/>
                <w:vertAlign w:val="superscript"/>
              </w:rPr>
              <w:t>Exp</w:t>
            </w:r>
          </w:p>
        </w:tc>
        <w:tc>
          <w:tcPr>
            <w:tcW w:type="dxa" w:w="6286"/>
          </w:tcPr>
          <w:p>
            <w:pPr>
              <w:pStyle w:val="MDPI42tablebody"/>
              <w:keepNext/>
              <w:spacing w:line="240" w:lineRule="auto" w:before="30" w:after="30"/>
              <w:jc w:val="left"/>
            </w:pPr>
            <w:r>
              <w:rPr>
                <w:b w:val="0"/>
                <w:i w:val="0"/>
                <w:sz w:val="18"/>
              </w:rPr>
              <w:t>Pre-shock task exposure of the firm's professional composition interacted with the same index</w:t>
            </w:r>
          </w:p>
        </w:tc>
      </w:tr>
      <w:tr>
        <w:trPr>
          <w:cantSplit/>
        </w:trPr>
        <w:tc>
          <w:tcPr>
            <w:tcW w:type="dxa" w:w="1571"/>
          </w:tcPr>
          <w:p>
            <w:pPr>
              <w:pStyle w:val="MDPI42tablebody"/>
              <w:spacing w:line="240" w:lineRule="auto" w:before="30" w:after="30"/>
              <w:jc w:val="left"/>
            </w:pPr>
            <w:r>
              <w:rPr>
                <w:b w:val="0"/>
                <w:i/>
                <w:sz w:val="18"/>
              </w:rPr>
              <w:t>IV</w:t>
            </w:r>
            <w:r>
              <w:rPr>
                <w:b w:val="0"/>
                <w:i/>
                <w:sz w:val="18"/>
                <w:vertAlign w:val="superscript"/>
              </w:rPr>
              <w:t>Peer</w:t>
            </w:r>
          </w:p>
        </w:tc>
        <w:tc>
          <w:tcPr>
            <w:tcW w:type="dxa" w:w="6286"/>
          </w:tcPr>
          <w:p>
            <w:pPr>
              <w:pStyle w:val="MDPI42tablebody"/>
              <w:spacing w:line="240" w:lineRule="auto" w:before="30" w:after="30"/>
              <w:jc w:val="left"/>
            </w:pPr>
            <w:r>
              <w:rPr>
                <w:b w:val="0"/>
                <w:i w:val="0"/>
                <w:sz w:val="18"/>
              </w:rPr>
              <w:t>Leave-one-out mean adoption depth of other firms in the same industry and province</w:t>
            </w:r>
          </w:p>
        </w:tc>
      </w:tr>
    </w:tbl>
    <w:p>
      <w:pPr>
        <w:pStyle w:val="MDPI22heading2"/>
      </w:pPr>
      <w:r>
        <w:t>3.3. Model Specifications</w:t>
      </w:r>
    </w:p>
    <w:p>
      <w:pPr>
        <w:pStyle w:val="MDPI32textnoindent"/>
      </w:pPr>
      <w:r>
        <w:rPr>
          <w:b w:val="0"/>
          <w:i w:val="0"/>
        </w:rPr>
        <w:t>We begin with the specification that the literature estimates,</w:t>
      </w:r>
    </w:p>
    <w:tbl>
      <w:tblPr>
        <w:tblW w:w="1046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Pr>
      <w:tblGrid>
        <w:gridCol w:w="10035"/>
        <w:gridCol w:w="431"/>
      </w:tblGrid>
      <w:tr>
        <w:trPr>
          <w:cantSplit/>
        </w:trPr>
        <w:tc>
          <w:tcPr>
            <w:tcW w:type="dxa" w:w="10035"/>
            <w:vAlign w:val="center"/>
          </w:tcPr>
          <w:p>
            <w:pPr>
              <w:pStyle w:val="MDPI39equation"/>
              <w:ind w:left="0" w:right="0"/>
              <w:jc w:val="center"/>
            </w:pPr>
            <m:oMath>
              <m:sSub>
                <m:e>
                  <m:r>
                    <m:t xml:space="preserve">Youth</m:t>
                  </m:r>
                </m:e>
                <m:sub>
                  <m:r>
                    <m:t xml:space="preserve">i</m:t>
                  </m:r>
                  <m:r>
                    <m:t xml:space="preserve">t</m:t>
                  </m:r>
                </m:sub>
              </m:sSub>
              <m:r>
                <m:rPr>
                  <m:sty m:val="p"/>
                </m:rPr>
                <m:t xml:space="preserve">=</m:t>
              </m:r>
              <m:sSub>
                <m:e>
                  <m:r>
                    <m:t xml:space="preserve">α</m:t>
                  </m:r>
                </m:e>
                <m:sub>
                  <m:r>
                    <m:rPr>
                      <m:sty m:val="p"/>
                    </m:rPr>
                    <m:t xml:space="preserve">0</m:t>
                  </m:r>
                </m:sub>
              </m:sSub>
              <m:r>
                <m:rPr>
                  <m:sty m:val="p"/>
                </m:rPr>
                <m:t xml:space="preserve">+</m:t>
              </m:r>
              <m:sSub>
                <m:e>
                  <m:r>
                    <m:t xml:space="preserve">α</m:t>
                  </m:r>
                </m:e>
                <m:sub>
                  <m:r>
                    <m:rPr>
                      <m:sty m:val="p"/>
                    </m:rPr>
                    <m:t xml:space="preserve">1</m:t>
                  </m:r>
                </m:sub>
              </m:sSub>
              <m:sSub>
                <m:e>
                  <m:r>
                    <m:t xml:space="preserve">AI</m:t>
                  </m:r>
                </m:e>
                <m:sub>
                  <m:r>
                    <m:t xml:space="preserve">i</m:t>
                  </m:r>
                  <m:r>
                    <m:t xml:space="preserve">t</m:t>
                  </m:r>
                </m:sub>
              </m:sSub>
              <m:r>
                <m:rPr>
                  <m:sty m:val="p"/>
                </m:rPr>
                <m:t xml:space="preserve">+</m:t>
              </m:r>
              <m:r>
                <m:t xml:space="preserve">γ</m:t>
              </m:r>
              <m:r>
                <m:t xml:space="preserve">'</m:t>
              </m:r>
              <m:sSub>
                <m:e>
                  <m:r>
                    <m:t xml:space="preserve">X</m:t>
                  </m:r>
                </m:e>
                <m:sub>
                  <m:r>
                    <m:t xml:space="preserve">i</m:t>
                  </m:r>
                  <m:r>
                    <m:t xml:space="preserve">t</m:t>
                  </m:r>
                </m:sub>
              </m:sSub>
              <m:r>
                <m:rPr>
                  <m:sty m:val="p"/>
                </m:rPr>
                <m:t xml:space="preserve">+</m:t>
              </m:r>
              <m:sSub>
                <m:e>
                  <m:r>
                    <m:t xml:space="preserve">μ</m:t>
                  </m:r>
                </m:e>
                <m:sub>
                  <m:r>
                    <m:t xml:space="preserve">i</m:t>
                  </m:r>
                </m:sub>
              </m:sSub>
              <m:r>
                <m:rPr>
                  <m:sty m:val="p"/>
                </m:rPr>
                <m:t xml:space="preserve">+</m:t>
              </m:r>
              <m:sSub>
                <m:e>
                  <m:r>
                    <m:t xml:space="preserve">λ</m:t>
                  </m:r>
                </m:e>
                <m:sub>
                  <m:r>
                    <m:t xml:space="preserve">t</m:t>
                  </m:r>
                </m:sub>
              </m:sSub>
              <m:r>
                <m:rPr>
                  <m:sty m:val="p"/>
                </m:rPr>
                <m:t xml:space="preserve">+</m:t>
              </m:r>
              <m:sSub>
                <m:e>
                  <m:r>
                    <m:t xml:space="preserve">ε</m:t>
                  </m:r>
                </m:e>
                <m:sub>
                  <m:r>
                    <m:t xml:space="preserve">i</m:t>
                  </m:r>
                  <m:r>
                    <m:t xml:space="preserve">t</m:t>
                  </m:r>
                </m:sub>
              </m:sSub>
            </m:oMath>
          </w:p>
        </w:tc>
        <w:tc>
          <w:tcPr>
            <w:tcW w:type="dxa" w:w="431"/>
            <w:vAlign w:val="center"/>
          </w:tcPr>
          <w:p>
            <w:pPr>
              <w:pStyle w:val="MDPI3aequationnumber"/>
              <w:jc w:val="right"/>
            </w:pPr>
            <w:r>
              <w:t>(2)</w:t>
            </w:r>
          </w:p>
        </w:tc>
      </w:tr>
    </w:tbl>
    <w:p>
      <w:pPr>
        <w:pStyle w:val="MDPI31text"/>
      </w:pPr>
      <w:r>
        <w:rPr>
          <w:b w:val="0"/>
          <w:i w:val="0"/>
        </w:rPr>
        <w:t xml:space="preserve">where </w:t>
      </w:r>
      <m:oMath>
        <m:sSub>
          <m:e>
            <m:r>
              <m:t xml:space="preserve">X</m:t>
            </m:r>
          </m:e>
          <m:sub>
            <m:r>
              <m:t xml:space="preserve">i</m:t>
            </m:r>
            <m:r>
              <m:t xml:space="preserve">t</m:t>
            </m:r>
          </m:sub>
        </m:sSub>
      </m:oMath>
      <w:r>
        <w:rPr>
          <w:b w:val="0"/>
          <w:i w:val="0"/>
        </w:rPr>
        <w:t xml:space="preserve"> is the control vector, </w:t>
      </w:r>
      <m:oMath>
        <m:sSub>
          <m:e>
            <m:r>
              <m:t xml:space="preserve">μ</m:t>
            </m:r>
          </m:e>
          <m:sub>
            <m:r>
              <m:t xml:space="preserve">i</m:t>
            </m:r>
          </m:sub>
        </m:sSub>
      </m:oMath>
      <w:r>
        <w:rPr>
          <w:b w:val="0"/>
          <w:i w:val="0"/>
        </w:rPr>
        <w:t xml:space="preserve"> and </w:t>
      </w:r>
      <m:oMath>
        <m:sSub>
          <m:e>
            <m:r>
              <m:t xml:space="preserve">λ</m:t>
            </m:r>
          </m:e>
          <m:sub>
            <m:r>
              <m:t xml:space="preserve">t</m:t>
            </m:r>
          </m:sub>
        </m:sSub>
      </m:oMath>
      <w:r>
        <w:rPr>
          <w:b w:val="0"/>
          <w:i w:val="0"/>
        </w:rPr>
        <w:t xml:space="preserve"> are firm and year fixed effects and standard errors are clustered at the firm level </w:t>
      </w:r>
      <w:r>
        <w:t>[</w:t>
      </w:r>
      <w:r>
        <w:fldChar w:fldCharType="begin"/>
      </w:r>
      <w:r>
        <w:instrText xml:space="preserve"> REF _Ref_57 \h </w:instrText>
      </w:r>
      <w:r>
        <w:fldChar w:fldCharType="separate"/>
      </w:r>
      <w:r>
        <w:t>57</w:t>
      </w:r>
      <w:r>
        <w:fldChar w:fldCharType="end"/>
      </w:r>
      <w:r>
        <w:t>]</w:t>
      </w:r>
      <w:r>
        <w:rPr>
          <w:b w:val="0"/>
          <w:i w:val="0"/>
        </w:rPr>
        <w:t xml:space="preserve">. H1 implies that </w:t>
      </w:r>
      <m:oMath>
        <m:sSub>
          <m:e>
            <m:r>
              <m:t xml:space="preserve">α</m:t>
            </m:r>
          </m:e>
          <m:sub>
            <m:r>
              <m:rPr>
                <m:sty m:val="p"/>
              </m:rPr>
              <m:t xml:space="preserve">1</m:t>
            </m:r>
          </m:sub>
        </m:sSub>
      </m:oMath>
      <w:r>
        <w:rPr>
          <w:b w:val="0"/>
          <w:i w:val="0"/>
        </w:rPr>
        <w:t xml:space="preserve"> is not the parameter of interest, and the model to estimate is</w:t>
      </w:r>
    </w:p>
    <w:tbl>
      <w:tblPr>
        <w:tblW w:w="1046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Pr>
      <w:tblGrid>
        <w:gridCol w:w="10035"/>
        <w:gridCol w:w="431"/>
      </w:tblGrid>
      <w:tr>
        <w:trPr>
          <w:cantSplit/>
        </w:trPr>
        <w:tc>
          <w:tcPr>
            <w:tcW w:type="dxa" w:w="10035"/>
            <w:vAlign w:val="center"/>
          </w:tcPr>
          <w:p>
            <w:pPr>
              <w:pStyle w:val="MDPI39equation"/>
              <w:ind w:left="0" w:right="0"/>
              <w:jc w:val="center"/>
            </w:pPr>
            <m:oMath>
              <m:sSub>
                <m:e>
                  <m:r>
                    <m:t xml:space="preserve">Youth</m:t>
                  </m:r>
                </m:e>
                <m:sub>
                  <m:r>
                    <m:t xml:space="preserve">i</m:t>
                  </m:r>
                  <m:r>
                    <m:t xml:space="preserve">t</m:t>
                  </m:r>
                </m:sub>
              </m:sSub>
              <m:r>
                <m:rPr>
                  <m:sty m:val="p"/>
                </m:rPr>
                <m:t xml:space="preserve">=</m:t>
              </m:r>
              <m:sSub>
                <m:e>
                  <m:r>
                    <m:t xml:space="preserve">β</m:t>
                  </m:r>
                </m:e>
                <m:sub>
                  <m:r>
                    <m:rPr>
                      <m:sty m:val="p"/>
                    </m:rPr>
                    <m:t xml:space="preserve">0</m:t>
                  </m:r>
                </m:sub>
              </m:sSub>
              <m:r>
                <m:rPr>
                  <m:sty m:val="p"/>
                </m:rPr>
                <m:t xml:space="preserve">+</m:t>
              </m:r>
              <m:sSub>
                <m:e>
                  <m:r>
                    <m:t xml:space="preserve">β</m:t>
                  </m:r>
                </m:e>
                <m:sub>
                  <m:r>
                    <m:rPr>
                      <m:sty m:val="p"/>
                    </m:rPr>
                    <m:t xml:space="preserve">1</m:t>
                  </m:r>
                </m:sub>
              </m:sSub>
              <m:sSub>
                <m:e>
                  <m:r>
                    <m:t xml:space="preserve">AI</m:t>
                  </m:r>
                </m:e>
                <m:sub>
                  <m:r>
                    <m:t xml:space="preserve">i</m:t>
                  </m:r>
                  <m:r>
                    <m:t xml:space="preserve">t</m:t>
                  </m:r>
                </m:sub>
              </m:sSub>
              <m:r>
                <m:rPr>
                  <m:sty m:val="p"/>
                </m:rPr>
                <m:t xml:space="preserve">+</m:t>
              </m:r>
              <m:sSub>
                <m:e>
                  <m:r>
                    <m:t xml:space="preserve">β</m:t>
                  </m:r>
                </m:e>
                <m:sub>
                  <m:r>
                    <m:rPr>
                      <m:sty m:val="p"/>
                    </m:rPr>
                    <m:t xml:space="preserve">2</m:t>
                  </m:r>
                </m:sub>
              </m:sSub>
              <m:sSubSup>
                <m:e>
                  <m:r>
                    <m:t xml:space="preserve">AI</m:t>
                  </m:r>
                </m:e>
                <m:sub>
                  <m:r>
                    <m:t xml:space="preserve">i</m:t>
                  </m:r>
                  <m:r>
                    <m:t xml:space="preserve">t</m:t>
                  </m:r>
                </m:sub>
                <m:sup>
                  <m:r>
                    <m:rPr>
                      <m:sty m:val="p"/>
                    </m:rPr>
                    <m:t xml:space="preserve">2</m:t>
                  </m:r>
                </m:sup>
              </m:sSubSup>
              <m:r>
                <m:rPr>
                  <m:sty m:val="p"/>
                </m:rPr>
                <m:t xml:space="preserve">+</m:t>
              </m:r>
              <m:r>
                <m:t xml:space="preserve">γ</m:t>
              </m:r>
              <m:r>
                <m:t xml:space="preserve">'</m:t>
              </m:r>
              <m:sSub>
                <m:e>
                  <m:r>
                    <m:t xml:space="preserve">X</m:t>
                  </m:r>
                </m:e>
                <m:sub>
                  <m:r>
                    <m:t xml:space="preserve">i</m:t>
                  </m:r>
                  <m:r>
                    <m:t xml:space="preserve">t</m:t>
                  </m:r>
                </m:sub>
              </m:sSub>
              <m:r>
                <m:rPr>
                  <m:sty m:val="p"/>
                </m:rPr>
                <m:t xml:space="preserve">+</m:t>
              </m:r>
              <m:sSub>
                <m:e>
                  <m:r>
                    <m:t xml:space="preserve">μ</m:t>
                  </m:r>
                </m:e>
                <m:sub>
                  <m:r>
                    <m:t xml:space="preserve">i</m:t>
                  </m:r>
                </m:sub>
              </m:sSub>
              <m:r>
                <m:rPr>
                  <m:sty m:val="p"/>
                </m:rPr>
                <m:t xml:space="preserve">+</m:t>
              </m:r>
              <m:sSub>
                <m:e>
                  <m:r>
                    <m:t xml:space="preserve">λ</m:t>
                  </m:r>
                </m:e>
                <m:sub>
                  <m:r>
                    <m:t xml:space="preserve">t</m:t>
                  </m:r>
                </m:sub>
              </m:sSub>
              <m:r>
                <m:rPr>
                  <m:sty m:val="p"/>
                </m:rPr>
                <m:t xml:space="preserve">+</m:t>
              </m:r>
              <m:sSub>
                <m:e>
                  <m:r>
                    <m:t xml:space="preserve">ε</m:t>
                  </m:r>
                </m:e>
                <m:sub>
                  <m:r>
                    <m:t xml:space="preserve">i</m:t>
                  </m:r>
                  <m:r>
                    <m:t xml:space="preserve">t</m:t>
                  </m:r>
                </m:sub>
              </m:sSub>
            </m:oMath>
          </w:p>
        </w:tc>
        <w:tc>
          <w:tcPr>
            <w:tcW w:type="dxa" w:w="431"/>
            <w:vAlign w:val="center"/>
          </w:tcPr>
          <w:p>
            <w:pPr>
              <w:pStyle w:val="MDPI3aequationnumber"/>
              <w:jc w:val="right"/>
            </w:pPr>
            <w:r>
              <w:t>(3)</w:t>
            </w:r>
          </w:p>
        </w:tc>
      </w:tr>
    </w:tbl>
    <w:p>
      <w:pPr>
        <w:pStyle w:val="MDPI31text"/>
      </w:pPr>
      <w:r>
        <w:rPr>
          <w:b w:val="0"/>
          <w:i w:val="0"/>
        </w:rPr>
        <w:t xml:space="preserve">with </w:t>
      </w:r>
      <m:oMath>
        <m:sSub>
          <m:e>
            <m:r>
              <m:t xml:space="preserve">β</m:t>
            </m:r>
          </m:e>
          <m:sub>
            <m:r>
              <m:rPr>
                <m:sty m:val="p"/>
              </m:rPr>
              <m:t xml:space="preserve">1</m:t>
            </m:r>
          </m:sub>
        </m:sSub>
        <m:r>
          <m:rPr>
            <m:sty m:val="p"/>
          </m:rPr>
          <m:t xml:space="preserve">&gt;</m:t>
        </m:r>
        <m:r>
          <m:rPr>
            <m:sty m:val="p"/>
          </m:rPr>
          <m:t xml:space="preserve">0</m:t>
        </m:r>
      </m:oMath>
      <w:r>
        <w:rPr>
          <w:b w:val="0"/>
          <w:i w:val="0"/>
        </w:rPr>
        <w:t xml:space="preserve"> and </w:t>
      </w:r>
      <m:oMath>
        <m:sSub>
          <m:e>
            <m:r>
              <m:t xml:space="preserve">β</m:t>
            </m:r>
          </m:e>
          <m:sub>
            <m:r>
              <m:rPr>
                <m:sty m:val="p"/>
              </m:rPr>
              <m:t xml:space="preserve">2</m:t>
            </m:r>
          </m:sub>
        </m:sSub>
        <m:r>
          <m:rPr>
            <m:sty m:val="p"/>
          </m:rPr>
          <m:t xml:space="preserve">&lt;</m:t>
        </m:r>
        <m:r>
          <m:rPr>
            <m:sty m:val="p"/>
          </m:rPr>
          <m:t xml:space="preserve">0</m:t>
        </m:r>
      </m:oMath>
      <w:r>
        <w:rPr>
          <w:b w:val="0"/>
          <w:i w:val="0"/>
        </w:rPr>
        <w:t xml:space="preserve"> under H1. Because adoption depth is identically zero before 2023 and positive afterwards, Equation (3) is a difference-in-differences in depth around the public release of large language models, and the curvature is identified from the cross-sectional distribution of depth in the post-shock years. Because every firm is exposed to the same shock date and treatment varies in intensity rather than in timing, the specification is not subject to the negative weighting that arises when a two-way fixed-effects estimator aggregates staggered adoption with heterogeneous effects </w:t>
      </w:r>
      <w:r>
        <w:t>[</w:t>
      </w:r>
      <w:r>
        <w:fldChar w:fldCharType="begin"/>
      </w:r>
      <w:r>
        <w:instrText xml:space="preserve"> REF _Ref_58 \h </w:instrText>
      </w:r>
      <w:r>
        <w:fldChar w:fldCharType="separate"/>
      </w:r>
      <w:r>
        <w:t>58</w:t>
      </w:r>
      <w:r>
        <w:fldChar w:fldCharType="end"/>
      </w:r>
      <w:r>
        <w:t>–</w:t>
      </w:r>
      <w:r>
        <w:fldChar w:fldCharType="begin"/>
      </w:r>
      <w:r>
        <w:instrText xml:space="preserve"> REF _Ref_61 \h </w:instrText>
      </w:r>
      <w:r>
        <w:fldChar w:fldCharType="separate"/>
      </w:r>
      <w:r>
        <w:t>61</w:t>
      </w:r>
      <w:r>
        <w:fldChar w:fldCharType="end"/>
      </w:r>
      <w:r>
        <w:t>]</w:t>
      </w:r>
      <w:r>
        <w:rPr>
          <w:b w:val="0"/>
          <w:i w:val="0"/>
        </w:rPr>
        <w:t>. The extreme point of the fitted curve is</w:t>
      </w:r>
    </w:p>
    <w:tbl>
      <w:tblPr>
        <w:tblW w:w="7858" w:type="dxa"/>
        <w:tblInd w:w="26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Pr>
      <w:tblGrid>
        <w:gridCol w:w="7427"/>
        <w:gridCol w:w="431"/>
      </w:tblGrid>
      <w:tr>
        <w:trPr>
          <w:cantSplit/>
        </w:trPr>
        <w:tc>
          <w:tcPr>
            <w:tcW w:type="dxa" w:w="7427"/>
            <w:vAlign w:val="center"/>
          </w:tcPr>
          <w:p>
            <w:pPr>
              <w:pStyle w:val="MDPI39equation"/>
              <w:ind w:left="0" w:right="0"/>
              <w:jc w:val="center"/>
            </w:pPr>
            <m:oMath>
              <m:r>
                <m:t xml:space="preserve">τ</m:t>
              </m:r>
              <m:r>
                <m:rPr>
                  <m:sty m:val="p"/>
                </m:rPr>
                <m:t xml:space="preserve">=</m:t>
              </m:r>
              <m:r>
                <m:rPr>
                  <m:sty m:val="p"/>
                </m:rPr>
                <m:t xml:space="preserve">-</m:t>
              </m:r>
              <m:f>
                <m:num>
                  <m:sSub>
                    <m:e>
                      <m:r>
                        <m:t xml:space="preserve">β</m:t>
                      </m:r>
                    </m:e>
                    <m:sub>
                      <m:r>
                        <m:rPr>
                          <m:sty m:val="p"/>
                        </m:rPr>
                        <m:t xml:space="preserve">1</m:t>
                      </m:r>
                    </m:sub>
                  </m:sSub>
                </m:num>
                <m:den>
                  <m:r>
                    <m:rPr>
                      <m:sty m:val="p"/>
                    </m:rPr>
                    <m:t xml:space="preserve">2</m:t>
                  </m:r>
                  <m:sSub>
                    <m:e>
                      <m:r>
                        <m:t xml:space="preserve">β</m:t>
                      </m:r>
                    </m:e>
                    <m:sub>
                      <m:r>
                        <m:rPr>
                          <m:sty m:val="p"/>
                        </m:rPr>
                        <m:t xml:space="preserve">2</m:t>
                      </m:r>
                    </m:sub>
                  </m:sSub>
                </m:den>
              </m:f>
            </m:oMath>
          </w:p>
        </w:tc>
        <w:tc>
          <w:tcPr>
            <w:tcW w:type="dxa" w:w="431"/>
            <w:vAlign w:val="center"/>
          </w:tcPr>
          <w:p>
            <w:pPr>
              <w:pStyle w:val="MDPI3aequationnumber"/>
              <w:jc w:val="right"/>
            </w:pPr>
            <w:r>
              <w:t>(4)</w:t>
            </w:r>
          </w:p>
        </w:tc>
      </w:tr>
    </w:tbl>
    <w:p>
      <w:pPr>
        <w:pStyle w:val="MDPI31text"/>
      </w:pPr>
      <w:r>
        <w:rPr>
          <w:b w:val="0"/>
          <w:i w:val="0"/>
        </w:rPr>
        <w:t xml:space="preserve">A significant negative </w:t>
      </w:r>
      <m:oMath>
        <m:sSub>
          <m:e>
            <m:r>
              <m:t xml:space="preserve">β</m:t>
            </m:r>
          </m:e>
          <m:sub>
            <m:r>
              <m:rPr>
                <m:sty m:val="p"/>
              </m:rPr>
              <m:t xml:space="preserve">2</m:t>
            </m:r>
          </m:sub>
        </m:sSub>
      </m:oMath>
      <w:r>
        <w:rPr>
          <w:b w:val="0"/>
          <w:i w:val="0"/>
        </w:rPr>
        <w:t xml:space="preserve"> is not sufficient evidence of an inverted U, because it is compatible with a relationship that is monotone over the observed range and merely decelerating. We therefore apply the exact test of Lind and Mehlum </w:t>
      </w:r>
      <w:r>
        <w:t>[</w:t>
      </w:r>
      <w:r>
        <w:fldChar w:fldCharType="begin"/>
      </w:r>
      <w:r>
        <w:instrText xml:space="preserve"> REF _Ref_24 \h </w:instrText>
      </w:r>
      <w:r>
        <w:fldChar w:fldCharType="separate"/>
      </w:r>
      <w:r>
        <w:t>24</w:t>
      </w:r>
      <w:r>
        <w:fldChar w:fldCharType="end"/>
      </w:r>
      <w:r>
        <w:t>]</w:t>
      </w:r>
      <w:r>
        <w:rPr>
          <w:b w:val="0"/>
          <w:i w:val="0"/>
        </w:rPr>
        <w:t>, which requires the fitted slope to be positive at the lower extreme of the data and negative at the upper extreme,</w:t>
      </w:r>
    </w:p>
    <w:tbl>
      <w:tblPr>
        <w:tblW w:w="7858" w:type="dxa"/>
        <w:tblInd w:w="26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Pr>
      <w:tblGrid>
        <w:gridCol w:w="7427"/>
        <w:gridCol w:w="431"/>
      </w:tblGrid>
      <w:tr>
        <w:trPr>
          <w:cantSplit/>
        </w:trPr>
        <w:tc>
          <w:tcPr>
            <w:tcW w:type="dxa" w:w="7427"/>
            <w:vAlign w:val="center"/>
          </w:tcPr>
          <w:p>
            <w:pPr>
              <w:pStyle w:val="MDPI39equation"/>
              <w:ind w:left="0" w:right="0"/>
              <w:jc w:val="center"/>
            </w:pPr>
            <m:oMath>
              <m:sSub>
                <m:e>
                  <m:r>
                    <m:t xml:space="preserve">β</m:t>
                  </m:r>
                </m:e>
                <m:sub>
                  <m:r>
                    <m:rPr>
                      <m:sty m:val="p"/>
                    </m:rPr>
                    <m:t xml:space="preserve">1</m:t>
                  </m:r>
                </m:sub>
              </m:sSub>
              <m:r>
                <m:rPr>
                  <m:sty m:val="p"/>
                </m:rPr>
                <m:t xml:space="preserve">+</m:t>
              </m:r>
              <m:r>
                <m:rPr>
                  <m:sty m:val="p"/>
                </m:rPr>
                <m:t xml:space="preserve">2</m:t>
              </m:r>
              <m:sSub>
                <m:e>
                  <m:r>
                    <m:t xml:space="preserve">β</m:t>
                  </m:r>
                </m:e>
                <m:sub>
                  <m:r>
                    <m:rPr>
                      <m:sty m:val="p"/>
                    </m:rPr>
                    <m:t xml:space="preserve">2</m:t>
                  </m:r>
                </m:sub>
              </m:sSub>
              <m:sSub>
                <m:e>
                  <m:r>
                    <m:t xml:space="preserve">x</m:t>
                  </m:r>
                </m:e>
                <m:sub>
                  <m:r>
                    <m:t xml:space="preserve">l</m:t>
                  </m:r>
                </m:sub>
              </m:sSub>
              <m:r>
                <m:rPr>
                  <m:sty m:val="p"/>
                </m:rPr>
                <m:t xml:space="preserve">&gt;</m:t>
              </m:r>
              <m:r>
                <m:rPr>
                  <m:sty m:val="p"/>
                </m:rPr>
                <m:t xml:space="preserve">0</m:t>
              </m:r>
              <m:r>
                <m:t xml:space="preserve"> </m:t>
              </m:r>
              <m:r>
                <m:rPr>
                  <m:sty m:val="p"/>
                </m:rPr>
                <m:t xml:space="preserve">and</m:t>
              </m:r>
              <m:r>
                <m:t xml:space="preserve"> </m:t>
              </m:r>
              <m:sSub>
                <m:e>
                  <m:r>
                    <m:t xml:space="preserve">β</m:t>
                  </m:r>
                </m:e>
                <m:sub>
                  <m:r>
                    <m:rPr>
                      <m:sty m:val="p"/>
                    </m:rPr>
                    <m:t xml:space="preserve">1</m:t>
                  </m:r>
                </m:sub>
              </m:sSub>
              <m:r>
                <m:rPr>
                  <m:sty m:val="p"/>
                </m:rPr>
                <m:t xml:space="preserve">+</m:t>
              </m:r>
              <m:r>
                <m:rPr>
                  <m:sty m:val="p"/>
                </m:rPr>
                <m:t xml:space="preserve">2</m:t>
              </m:r>
              <m:sSub>
                <m:e>
                  <m:r>
                    <m:t xml:space="preserve">β</m:t>
                  </m:r>
                </m:e>
                <m:sub>
                  <m:r>
                    <m:rPr>
                      <m:sty m:val="p"/>
                    </m:rPr>
                    <m:t xml:space="preserve">2</m:t>
                  </m:r>
                </m:sub>
              </m:sSub>
              <m:sSub>
                <m:e>
                  <m:r>
                    <m:t xml:space="preserve">x</m:t>
                  </m:r>
                </m:e>
                <m:sub>
                  <m:r>
                    <m:t xml:space="preserve">h</m:t>
                  </m:r>
                </m:sub>
              </m:sSub>
              <m:r>
                <m:rPr>
                  <m:sty m:val="p"/>
                </m:rPr>
                <m:t xml:space="preserve">&lt;</m:t>
              </m:r>
              <m:r>
                <m:rPr>
                  <m:sty m:val="p"/>
                </m:rPr>
                <m:t xml:space="preserve">0</m:t>
              </m:r>
            </m:oMath>
          </w:p>
        </w:tc>
        <w:tc>
          <w:tcPr>
            <w:tcW w:type="dxa" w:w="431"/>
            <w:vAlign w:val="center"/>
          </w:tcPr>
          <w:p>
            <w:pPr>
              <w:pStyle w:val="MDPI3aequationnumber"/>
              <w:jc w:val="right"/>
            </w:pPr>
            <w:r>
              <w:t>(5)</w:t>
            </w:r>
          </w:p>
        </w:tc>
      </w:tr>
    </w:tbl>
    <w:p>
      <w:pPr>
        <w:pStyle w:val="MDPI31text"/>
      </w:pPr>
      <w:r>
        <w:rPr>
          <w:b w:val="0"/>
          <w:i w:val="0"/>
        </w:rPr>
        <w:t xml:space="preserve">and reports the smaller of the two one-sided statistics under the intersection–union principle. We complement it with a Fieller confidence interval for </w:t>
      </w:r>
      <m:oMath>
        <m:r>
          <m:t xml:space="preserve">τ</m:t>
        </m:r>
      </m:oMath>
      <w:r>
        <w:rPr>
          <w:b w:val="0"/>
          <w:i w:val="0"/>
        </w:rPr>
        <w:t xml:space="preserve">, which does not require </w:t>
      </w:r>
      <m:oMath>
        <m:sSub>
          <m:e>
            <m:r>
              <m:t xml:space="preserve">β</m:t>
            </m:r>
          </m:e>
          <m:sub>
            <m:r>
              <m:rPr>
                <m:sty m:val="p"/>
              </m:rPr>
              <m:t xml:space="preserve">2</m:t>
            </m:r>
          </m:sub>
        </m:sSub>
      </m:oMath>
      <w:r>
        <w:rPr>
          <w:b w:val="0"/>
          <w:i w:val="0"/>
        </w:rPr>
        <w:t xml:space="preserve"> to be far from zero, with the two-lines test </w:t>
      </w:r>
      <w:r>
        <w:t>[</w:t>
      </w:r>
      <w:r>
        <w:fldChar w:fldCharType="begin"/>
      </w:r>
      <w:r>
        <w:instrText xml:space="preserve"> REF _Ref_25 \h </w:instrText>
      </w:r>
      <w:r>
        <w:fldChar w:fldCharType="separate"/>
      </w:r>
      <w:r>
        <w:t>25</w:t>
      </w:r>
      <w:r>
        <w:fldChar w:fldCharType="end"/>
      </w:r>
      <w:r>
        <w:t>]</w:t>
      </w:r>
      <w:r>
        <w:rPr>
          <w:b w:val="0"/>
          <w:i w:val="0"/>
        </w:rPr>
        <w:t>, and with a residualised binned fit that imposes no functional form at all.</w:t>
      </w:r>
    </w:p>
    <w:p>
      <w:pPr>
        <w:pStyle w:val="MDPI31text"/>
      </w:pPr>
      <w:r>
        <w:rPr>
          <w:b w:val="0"/>
          <w:i w:val="0"/>
        </w:rPr>
        <w:t xml:space="preserve">Moderation of a curvilinear relationship requires the moderator to be interacted with both the linear and the squared term, since otherwise the turning point is constrained not to move </w:t>
      </w:r>
      <w:r>
        <w:t>[</w:t>
      </w:r>
      <w:r>
        <w:fldChar w:fldCharType="begin"/>
      </w:r>
      <w:r>
        <w:instrText xml:space="preserve"> REF _Ref_44 \h </w:instrText>
      </w:r>
      <w:r>
        <w:fldChar w:fldCharType="separate"/>
      </w:r>
      <w:r>
        <w:t>44</w:t>
      </w:r>
      <w:r>
        <w:fldChar w:fldCharType="end"/>
      </w:r>
      <w:r>
        <w:t>]</w:t>
      </w:r>
      <w:r>
        <w:rPr>
          <w:b w:val="0"/>
          <w:i w:val="0"/>
        </w:rPr>
        <w:t xml:space="preserve">. For </w:t>
      </w:r>
      <m:oMath>
        <m:r>
          <m:t xml:space="preserve">Z</m:t>
        </m:r>
        <m:r>
          <m:rPr>
            <m:sty m:val="p"/>
          </m:rPr>
          <m:t xml:space="preserve">∈</m:t>
        </m:r>
        <m:r>
          <m:t xml:space="preserve">{</m:t>
        </m:r>
        <m:r>
          <m:t xml:space="preserve">OLC</m:t>
        </m:r>
        <m:r>
          <m:t xml:space="preserve">,</m:t>
        </m:r>
        <m:r>
          <m:t xml:space="preserve">AIGov</m:t>
        </m:r>
        <m:r>
          <m:t xml:space="preserve">,</m:t>
        </m:r>
        <m:r>
          <m:t xml:space="preserve">LCP</m:t>
        </m:r>
        <m:r>
          <m:t xml:space="preserve">}</m:t>
        </m:r>
      </m:oMath>
      <w:r>
        <w:rPr>
          <w:b w:val="0"/>
          <w:i w:val="0"/>
        </w:rPr>
        <w:t xml:space="preserve"> we estimate</w:t>
      </w:r>
    </w:p>
    <w:tbl>
      <w:tblPr>
        <w:tblW w:w="1046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Pr>
      <w:tblGrid>
        <w:gridCol w:w="10035"/>
        <w:gridCol w:w="431"/>
      </w:tblGrid>
      <w:tr>
        <w:trPr>
          <w:cantSplit/>
        </w:trPr>
        <w:tc>
          <w:tcPr>
            <w:tcW w:type="dxa" w:w="10035"/>
            <w:vAlign w:val="center"/>
          </w:tcPr>
          <w:p>
            <w:pPr>
              <w:pStyle w:val="MDPI39equation"/>
              <w:ind w:left="0" w:right="0"/>
              <w:jc w:val="center"/>
            </w:pPr>
            <m:oMath>
              <m:sSub>
                <m:e>
                  <m:r>
                    <m:t xml:space="preserve">Youth</m:t>
                  </m:r>
                </m:e>
                <m:sub>
                  <m:r>
                    <m:t xml:space="preserve">i</m:t>
                  </m:r>
                  <m:r>
                    <m:t xml:space="preserve">t</m:t>
                  </m:r>
                </m:sub>
              </m:sSub>
              <m:r>
                <m:rPr>
                  <m:sty m:val="p"/>
                </m:rPr>
                <m:t xml:space="preserve">=</m:t>
              </m:r>
              <m:sSub>
                <m:e>
                  <m:r>
                    <m:t xml:space="preserve">δ</m:t>
                  </m:r>
                </m:e>
                <m:sub>
                  <m:r>
                    <m:rPr>
                      <m:sty m:val="p"/>
                    </m:rPr>
                    <m:t xml:space="preserve">0</m:t>
                  </m:r>
                </m:sub>
              </m:sSub>
              <m:r>
                <m:rPr>
                  <m:sty m:val="p"/>
                </m:rPr>
                <m:t xml:space="preserve">+</m:t>
              </m:r>
              <m:sSub>
                <m:e>
                  <m:r>
                    <m:t xml:space="preserve">δ</m:t>
                  </m:r>
                </m:e>
                <m:sub>
                  <m:r>
                    <m:rPr>
                      <m:sty m:val="p"/>
                    </m:rPr>
                    <m:t xml:space="preserve">1</m:t>
                  </m:r>
                </m:sub>
              </m:sSub>
              <m:sSub>
                <m:e>
                  <m:r>
                    <m:t xml:space="preserve">AI</m:t>
                  </m:r>
                </m:e>
                <m:sub>
                  <m:r>
                    <m:t xml:space="preserve">i</m:t>
                  </m:r>
                  <m:r>
                    <m:t xml:space="preserve">t</m:t>
                  </m:r>
                </m:sub>
              </m:sSub>
              <m:r>
                <m:rPr>
                  <m:sty m:val="p"/>
                </m:rPr>
                <m:t xml:space="preserve">+</m:t>
              </m:r>
              <m:sSub>
                <m:e>
                  <m:r>
                    <m:t xml:space="preserve">δ</m:t>
                  </m:r>
                </m:e>
                <m:sub>
                  <m:r>
                    <m:rPr>
                      <m:sty m:val="p"/>
                    </m:rPr>
                    <m:t xml:space="preserve">2</m:t>
                  </m:r>
                </m:sub>
              </m:sSub>
              <m:sSubSup>
                <m:e>
                  <m:r>
                    <m:t xml:space="preserve">AI</m:t>
                  </m:r>
                </m:e>
                <m:sub>
                  <m:r>
                    <m:t xml:space="preserve">i</m:t>
                  </m:r>
                  <m:r>
                    <m:t xml:space="preserve">t</m:t>
                  </m:r>
                </m:sub>
                <m:sup>
                  <m:r>
                    <m:rPr>
                      <m:sty m:val="p"/>
                    </m:rPr>
                    <m:t xml:space="preserve">2</m:t>
                  </m:r>
                </m:sup>
              </m:sSubSup>
              <m:r>
                <m:rPr>
                  <m:sty m:val="p"/>
                </m:rPr>
                <m:t xml:space="preserve">+</m:t>
              </m:r>
              <m:sSub>
                <m:e>
                  <m:r>
                    <m:t xml:space="preserve">δ</m:t>
                  </m:r>
                </m:e>
                <m:sub>
                  <m:r>
                    <m:rPr>
                      <m:sty m:val="p"/>
                    </m:rPr>
                    <m:t xml:space="preserve">3</m:t>
                  </m:r>
                </m:sub>
              </m:sSub>
              <m:d>
                <m:dPr>
                  <m:begChr m:val="("/>
                  <m:endChr m:val=")"/>
                </m:dPr>
                <m:e>
                  <m:sSub>
                    <m:e>
                      <m:r>
                        <m:t xml:space="preserve">AI</m:t>
                      </m:r>
                    </m:e>
                    <m:sub>
                      <m:r>
                        <m:t xml:space="preserve">i</m:t>
                      </m:r>
                      <m:r>
                        <m:t xml:space="preserve">t</m:t>
                      </m:r>
                    </m:sub>
                  </m:sSub>
                  <m:r>
                    <m:rPr>
                      <m:sty m:val="p"/>
                    </m:rPr>
                    <m:t xml:space="preserve">×</m:t>
                  </m:r>
                  <m:r>
                    <m:t xml:space="preserve"> </m:t>
                  </m:r>
                  <m:sSub>
                    <m:e>
                      <m:r>
                        <m:t xml:space="preserve">Z</m:t>
                      </m:r>
                    </m:e>
                    <m:sub>
                      <m:r>
                        <m:t xml:space="preserve">i</m:t>
                      </m:r>
                      <m:r>
                        <m:t xml:space="preserve">t</m:t>
                      </m:r>
                    </m:sub>
                  </m:sSub>
                </m:e>
              </m:d>
              <m:r>
                <m:rPr>
                  <m:sty m:val="p"/>
                </m:rPr>
                <m:t xml:space="preserve">+</m:t>
              </m:r>
              <m:sSub>
                <m:e>
                  <m:r>
                    <m:t xml:space="preserve">δ</m:t>
                  </m:r>
                </m:e>
                <m:sub>
                  <m:r>
                    <m:rPr>
                      <m:sty m:val="p"/>
                    </m:rPr>
                    <m:t xml:space="preserve">4</m:t>
                  </m:r>
                </m:sub>
              </m:sSub>
              <m:d>
                <m:dPr>
                  <m:begChr m:val="("/>
                  <m:endChr m:val=")"/>
                </m:dPr>
                <m:e>
                  <m:sSubSup>
                    <m:e>
                      <m:r>
                        <m:t xml:space="preserve">AI</m:t>
                      </m:r>
                    </m:e>
                    <m:sub>
                      <m:r>
                        <m:t xml:space="preserve">i</m:t>
                      </m:r>
                      <m:r>
                        <m:t xml:space="preserve">t</m:t>
                      </m:r>
                    </m:sub>
                    <m:sup>
                      <m:r>
                        <m:rPr>
                          <m:sty m:val="p"/>
                        </m:rPr>
                        <m:t xml:space="preserve">2</m:t>
                      </m:r>
                    </m:sup>
                  </m:sSubSup>
                  <m:r>
                    <m:rPr>
                      <m:sty m:val="p"/>
                    </m:rPr>
                    <m:t xml:space="preserve">×</m:t>
                  </m:r>
                  <m:r>
                    <m:t xml:space="preserve"> </m:t>
                  </m:r>
                  <m:sSub>
                    <m:e>
                      <m:r>
                        <m:t xml:space="preserve">Z</m:t>
                      </m:r>
                    </m:e>
                    <m:sub>
                      <m:r>
                        <m:t xml:space="preserve">i</m:t>
                      </m:r>
                      <m:r>
                        <m:t xml:space="preserve">t</m:t>
                      </m:r>
                    </m:sub>
                  </m:sSub>
                </m:e>
              </m:d>
              <m:r>
                <m:rPr>
                  <m:sty m:val="p"/>
                </m:rPr>
                <m:t xml:space="preserve">+</m:t>
              </m:r>
              <m:sSub>
                <m:e>
                  <m:r>
                    <m:t xml:space="preserve">δ</m:t>
                  </m:r>
                </m:e>
                <m:sub>
                  <m:r>
                    <m:rPr>
                      <m:sty m:val="p"/>
                    </m:rPr>
                    <m:t xml:space="preserve">5</m:t>
                  </m:r>
                </m:sub>
              </m:sSub>
              <m:sSub>
                <m:e>
                  <m:r>
                    <m:t xml:space="preserve">Z</m:t>
                  </m:r>
                </m:e>
                <m:sub>
                  <m:r>
                    <m:t xml:space="preserve">i</m:t>
                  </m:r>
                  <m:r>
                    <m:t xml:space="preserve">t</m:t>
                  </m:r>
                </m:sub>
              </m:sSub>
              <m:r>
                <m:rPr>
                  <m:sty m:val="p"/>
                </m:rPr>
                <m:t xml:space="preserve">+</m:t>
              </m:r>
              <m:r>
                <m:t xml:space="preserve">γ</m:t>
              </m:r>
              <m:r>
                <m:t xml:space="preserve">'</m:t>
              </m:r>
              <m:sSub>
                <m:e>
                  <m:r>
                    <m:t xml:space="preserve">X</m:t>
                  </m:r>
                </m:e>
                <m:sub>
                  <m:r>
                    <m:t xml:space="preserve">i</m:t>
                  </m:r>
                  <m:r>
                    <m:t xml:space="preserve">t</m:t>
                  </m:r>
                </m:sub>
              </m:sSub>
              <m:r>
                <m:rPr>
                  <m:sty m:val="p"/>
                </m:rPr>
                <m:t xml:space="preserve">+</m:t>
              </m:r>
              <m:sSub>
                <m:e>
                  <m:r>
                    <m:t xml:space="preserve">μ</m:t>
                  </m:r>
                </m:e>
                <m:sub>
                  <m:r>
                    <m:t xml:space="preserve">i</m:t>
                  </m:r>
                </m:sub>
              </m:sSub>
              <m:r>
                <m:rPr>
                  <m:sty m:val="p"/>
                </m:rPr>
                <m:t xml:space="preserve">+</m:t>
              </m:r>
              <m:sSub>
                <m:e>
                  <m:r>
                    <m:t xml:space="preserve">λ</m:t>
                  </m:r>
                </m:e>
                <m:sub>
                  <m:r>
                    <m:t xml:space="preserve">t</m:t>
                  </m:r>
                </m:sub>
              </m:sSub>
              <m:r>
                <m:rPr>
                  <m:sty m:val="p"/>
                </m:rPr>
                <m:t xml:space="preserve">+</m:t>
              </m:r>
              <m:sSub>
                <m:e>
                  <m:r>
                    <m:t xml:space="preserve">η</m:t>
                  </m:r>
                </m:e>
                <m:sub>
                  <m:r>
                    <m:t xml:space="preserve">i</m:t>
                  </m:r>
                  <m:r>
                    <m:t xml:space="preserve">t</m:t>
                  </m:r>
                </m:sub>
              </m:sSub>
            </m:oMath>
          </w:p>
        </w:tc>
        <w:tc>
          <w:tcPr>
            <w:tcW w:type="dxa" w:w="431"/>
            <w:vAlign w:val="center"/>
          </w:tcPr>
          <w:p>
            <w:pPr>
              <w:pStyle w:val="MDPI3aequationnumber"/>
              <w:jc w:val="right"/>
            </w:pPr>
            <w:r>
              <w:t>(6)</w:t>
            </w:r>
          </w:p>
        </w:tc>
      </w:tr>
    </w:tbl>
    <w:p>
      <w:pPr>
        <w:pStyle w:val="MDPI31text"/>
      </w:pPr>
      <w:r>
        <w:rPr>
          <w:b w:val="0"/>
          <w:i w:val="0"/>
        </w:rPr>
        <w:t>from which the turning point at a given level of the moderator is</w:t>
      </w:r>
    </w:p>
    <w:tbl>
      <w:tblPr>
        <w:tblW w:w="1046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Pr>
      <w:tblGrid>
        <w:gridCol w:w="10035"/>
        <w:gridCol w:w="431"/>
      </w:tblGrid>
      <w:tr>
        <w:trPr>
          <w:cantSplit/>
        </w:trPr>
        <w:tc>
          <w:tcPr>
            <w:tcW w:type="dxa" w:w="10035"/>
            <w:vAlign w:val="center"/>
          </w:tcPr>
          <w:p>
            <w:pPr>
              <w:pStyle w:val="MDPI39equation"/>
              <w:ind w:left="0" w:right="0"/>
              <w:jc w:val="center"/>
            </w:pPr>
            <m:oMath>
              <m:r>
                <m:t xml:space="preserve">τ</m:t>
              </m:r>
              <m:d>
                <m:dPr>
                  <m:begChr m:val="("/>
                  <m:endChr m:val=")"/>
                </m:dPr>
                <m:e>
                  <m:r>
                    <m:t xml:space="preserve">Z</m:t>
                  </m:r>
                </m:e>
              </m:d>
              <m:r>
                <m:rPr>
                  <m:sty m:val="p"/>
                </m:rPr>
                <m:t xml:space="preserve">=</m:t>
              </m:r>
              <m:r>
                <m:rPr>
                  <m:sty m:val="p"/>
                </m:rPr>
                <m:t xml:space="preserve">-</m:t>
              </m:r>
              <m:f>
                <m:num>
                  <m:sSub>
                    <m:e>
                      <m:r>
                        <m:t xml:space="preserve">δ</m:t>
                      </m:r>
                    </m:e>
                    <m:sub>
                      <m:r>
                        <m:rPr>
                          <m:sty m:val="p"/>
                        </m:rPr>
                        <m:t xml:space="preserve">1</m:t>
                      </m:r>
                    </m:sub>
                  </m:sSub>
                  <m:r>
                    <m:rPr>
                      <m:sty m:val="p"/>
                    </m:rPr>
                    <m:t xml:space="preserve">+</m:t>
                  </m:r>
                  <m:sSub>
                    <m:e>
                      <m:r>
                        <m:t xml:space="preserve">δ</m:t>
                      </m:r>
                    </m:e>
                    <m:sub>
                      <m:r>
                        <m:rPr>
                          <m:sty m:val="p"/>
                        </m:rPr>
                        <m:t xml:space="preserve">3</m:t>
                      </m:r>
                    </m:sub>
                  </m:sSub>
                  <m:r>
                    <m:t xml:space="preserve">Z</m:t>
                  </m:r>
                </m:num>
                <m:den>
                  <m:r>
                    <m:rPr>
                      <m:sty m:val="p"/>
                    </m:rPr>
                    <m:t xml:space="preserve">2</m:t>
                  </m:r>
                  <m:d>
                    <m:dPr>
                      <m:begChr m:val="("/>
                      <m:endChr m:val=")"/>
                    </m:dPr>
                    <m:e>
                      <m:sSub>
                        <m:e>
                          <m:r>
                            <m:t xml:space="preserve">δ</m:t>
                          </m:r>
                        </m:e>
                        <m:sub>
                          <m:r>
                            <m:rPr>
                              <m:sty m:val="p"/>
                            </m:rPr>
                            <m:t xml:space="preserve">2</m:t>
                          </m:r>
                        </m:sub>
                      </m:sSub>
                      <m:r>
                        <m:rPr>
                          <m:sty m:val="p"/>
                        </m:rPr>
                        <m:t xml:space="preserve">+</m:t>
                      </m:r>
                      <m:sSub>
                        <m:e>
                          <m:r>
                            <m:t xml:space="preserve">δ</m:t>
                          </m:r>
                        </m:e>
                        <m:sub>
                          <m:r>
                            <m:rPr>
                              <m:sty m:val="p"/>
                            </m:rPr>
                            <m:t xml:space="preserve">4</m:t>
                          </m:r>
                        </m:sub>
                      </m:sSub>
                      <m:r>
                        <m:t xml:space="preserve">Z</m:t>
                      </m:r>
                    </m:e>
                  </m:d>
                </m:den>
              </m:f>
            </m:oMath>
          </w:p>
        </w:tc>
        <w:tc>
          <w:tcPr>
            <w:tcW w:type="dxa" w:w="431"/>
            <w:vAlign w:val="center"/>
          </w:tcPr>
          <w:p>
            <w:pPr>
              <w:pStyle w:val="MDPI3aequationnumber"/>
              <w:jc w:val="right"/>
            </w:pPr>
            <w:r>
              <w:t>(7)</w:t>
            </w:r>
          </w:p>
        </w:tc>
      </w:tr>
    </w:tbl>
    <w:p>
      <w:pPr>
        <w:pStyle w:val="MDPI31text"/>
      </w:pPr>
      <w:r>
        <w:rPr>
          <w:b w:val="0"/>
          <w:i w:val="0"/>
        </w:rPr>
        <w:t>and the displacement of the turning point per unit of the moderator, evaluated at its mean, is</w:t>
      </w:r>
    </w:p>
    <w:tbl>
      <w:tblPr>
        <w:tblW w:w="1046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Pr>
      <w:tblGrid>
        <w:gridCol w:w="10035"/>
        <w:gridCol w:w="431"/>
      </w:tblGrid>
      <w:tr>
        <w:trPr>
          <w:cantSplit/>
        </w:trPr>
        <w:tc>
          <w:tcPr>
            <w:tcW w:type="dxa" w:w="10035"/>
            <w:vAlign w:val="center"/>
          </w:tcPr>
          <w:p>
            <w:pPr>
              <w:pStyle w:val="MDPI39equation"/>
              <w:ind w:left="0" w:right="0"/>
              <w:jc w:val="center"/>
            </w:pPr>
            <m:oMath>
              <m:f>
                <m:num>
                  <m:r>
                    <m:rPr>
                      <m:sty m:val="p"/>
                    </m:rPr>
                    <m:t xml:space="preserve">∂</m:t>
                  </m:r>
                  <m:r>
                    <m:t xml:space="preserve">τ</m:t>
                  </m:r>
                </m:num>
                <m:den>
                  <m:r>
                    <m:rPr>
                      <m:sty m:val="p"/>
                    </m:rPr>
                    <m:t xml:space="preserve">∂</m:t>
                  </m:r>
                  <m:r>
                    <m:t xml:space="preserve"> </m:t>
                  </m:r>
                  <m:r>
                    <m:t xml:space="preserve">Z</m:t>
                  </m:r>
                </m:den>
              </m:f>
              <m:r>
                <m:rPr>
                  <m:sty m:val="p"/>
                </m:rPr>
                <m:t xml:space="preserve">=</m:t>
              </m:r>
              <m:f>
                <m:num>
                  <m:sSub>
                    <m:e>
                      <m:r>
                        <m:t xml:space="preserve">δ</m:t>
                      </m:r>
                    </m:e>
                    <m:sub>
                      <m:r>
                        <m:rPr>
                          <m:sty m:val="p"/>
                        </m:rPr>
                        <m:t xml:space="preserve">1</m:t>
                      </m:r>
                    </m:sub>
                  </m:sSub>
                  <m:sSub>
                    <m:e>
                      <m:r>
                        <m:t xml:space="preserve">δ</m:t>
                      </m:r>
                    </m:e>
                    <m:sub>
                      <m:r>
                        <m:rPr>
                          <m:sty m:val="p"/>
                        </m:rPr>
                        <m:t xml:space="preserve">4</m:t>
                      </m:r>
                    </m:sub>
                  </m:sSub>
                  <m:r>
                    <m:rPr>
                      <m:sty m:val="p"/>
                    </m:rPr>
                    <m:t xml:space="preserve">-</m:t>
                  </m:r>
                  <m:sSub>
                    <m:e>
                      <m:r>
                        <m:t xml:space="preserve">δ</m:t>
                      </m:r>
                    </m:e>
                    <m:sub>
                      <m:r>
                        <m:rPr>
                          <m:sty m:val="p"/>
                        </m:rPr>
                        <m:t xml:space="preserve">3</m:t>
                      </m:r>
                    </m:sub>
                  </m:sSub>
                  <m:sSub>
                    <m:e>
                      <m:r>
                        <m:t xml:space="preserve">δ</m:t>
                      </m:r>
                    </m:e>
                    <m:sub>
                      <m:r>
                        <m:rPr>
                          <m:sty m:val="p"/>
                        </m:rPr>
                        <m:t xml:space="preserve">2</m:t>
                      </m:r>
                    </m:sub>
                  </m:sSub>
                </m:num>
                <m:den>
                  <m:r>
                    <m:rPr>
                      <m:sty m:val="p"/>
                    </m:rPr>
                    <m:t xml:space="preserve">2</m:t>
                  </m:r>
                  <m:sSubSup>
                    <m:e>
                      <m:r>
                        <m:t xml:space="preserve">δ</m:t>
                      </m:r>
                    </m:e>
                    <m:sub>
                      <m:r>
                        <m:rPr>
                          <m:sty m:val="p"/>
                        </m:rPr>
                        <m:t xml:space="preserve">2</m:t>
                      </m:r>
                    </m:sub>
                    <m:sup>
                      <m:r>
                        <m:rPr>
                          <m:sty m:val="p"/>
                        </m:rPr>
                        <m:t xml:space="preserve">2</m:t>
                      </m:r>
                    </m:sup>
                  </m:sSubSup>
                </m:den>
              </m:f>
            </m:oMath>
          </w:p>
        </w:tc>
        <w:tc>
          <w:tcPr>
            <w:tcW w:type="dxa" w:w="431"/>
            <w:vAlign w:val="center"/>
          </w:tcPr>
          <w:p>
            <w:pPr>
              <w:pStyle w:val="MDPI3aequationnumber"/>
              <w:jc w:val="right"/>
            </w:pPr>
            <w:r>
              <w:t>(8)</w:t>
            </w:r>
          </w:p>
        </w:tc>
      </w:tr>
    </w:tbl>
    <w:p>
      <w:pPr>
        <w:pStyle w:val="MDPI31text"/>
      </w:pPr>
      <w:r>
        <w:rPr>
          <w:b w:val="0"/>
          <w:i w:val="0"/>
        </w:rPr>
        <w:t xml:space="preserve">whose standard error we obtain by the delta method. </w:t>
      </w:r>
      <m:oMath>
        <m:sSub>
          <m:e>
            <m:r>
              <m:t xml:space="preserve">δ</m:t>
            </m:r>
          </m:e>
          <m:sub>
            <m:r>
              <m:rPr>
                <m:sty m:val="p"/>
              </m:rPr>
              <m:t xml:space="preserve">4</m:t>
            </m:r>
          </m:sub>
        </m:sSub>
      </m:oMath>
      <w:r>
        <w:rPr>
          <w:b w:val="0"/>
          <w:i w:val="0"/>
        </w:rPr>
        <w:t xml:space="preserve"> measures the change in curvature and </w:t>
      </w:r>
      <m:oMath>
        <m:r>
          <m:rPr>
            <m:sty m:val="p"/>
          </m:rPr>
          <m:t xml:space="preserve">∂</m:t>
        </m:r>
        <m:r>
          <m:t xml:space="preserve">τ</m:t>
        </m:r>
        <m:r>
          <m:rPr>
            <m:sty m:val="p"/>
          </m:rPr>
          <m:t xml:space="preserve">/</m:t>
        </m:r>
        <m:r>
          <m:rPr>
            <m:sty m:val="p"/>
          </m:rPr>
          <m:t xml:space="preserve">∂</m:t>
        </m:r>
        <m:r>
          <m:t xml:space="preserve"> </m:t>
        </m:r>
        <m:r>
          <m:t xml:space="preserve">Z</m:t>
        </m:r>
      </m:oMath>
      <w:r>
        <w:rPr>
          <w:b w:val="0"/>
          <w:i w:val="0"/>
        </w:rPr>
        <w:t xml:space="preserve"> the displacement of the peak; H2a to H2c are statements about the second, not the first.</w:t>
      </w:r>
    </w:p>
    <w:p>
      <w:pPr>
        <w:pStyle w:val="MDPI31text"/>
      </w:pPr>
      <w:r>
        <w:rPr>
          <w:b w:val="0"/>
          <w:i w:val="0"/>
        </w:rPr>
        <w:t xml:space="preserve">Two endogeneity concerns remain. Adoption depth is a choice, so unobserved firm-year shocks may raise both depth and young hiring. We therefore instrument </w:t>
      </w:r>
      <m:oMath>
        <m:r>
          <m:t xml:space="preserve">AI</m:t>
        </m:r>
      </m:oMath>
      <w:r>
        <w:rPr>
          <w:b w:val="0"/>
          <w:i w:val="0"/>
        </w:rPr>
        <w:t xml:space="preserve"> and </w:t>
      </w:r>
      <m:oMath>
        <m:sSup>
          <m:e>
            <m:r>
              <m:t xml:space="preserve">AI</m:t>
            </m:r>
          </m:e>
          <m:sup>
            <m:r>
              <m:rPr>
                <m:sty m:val="p"/>
              </m:rPr>
              <m:t xml:space="preserve">2</m:t>
            </m:r>
          </m:sup>
        </m:sSup>
      </m:oMath>
      <w:r>
        <w:rPr>
          <w:b w:val="0"/>
          <w:i w:val="0"/>
        </w:rPr>
        <w:t xml:space="preserve"> jointly with three excluded variables and their squares: a shift-share instrument interacting the 1984 fixed-line telephone penetration rate of the firm's province with the national generative-AI diffusion index rebased to unity in every pre-shock year </w:t>
      </w:r>
      <w:r>
        <w:t>[</w:t>
      </w:r>
      <w:r>
        <w:fldChar w:fldCharType="begin"/>
      </w:r>
      <w:r>
        <w:instrText xml:space="preserve"> REF _Ref_62 \h </w:instrText>
      </w:r>
      <w:r>
        <w:fldChar w:fldCharType="separate"/>
      </w:r>
      <w:r>
        <w:t>62</w:t>
      </w:r>
      <w:r>
        <w:fldChar w:fldCharType="end"/>
      </w:r>
      <w:r>
        <w:t>,</w:t>
      </w:r>
      <w:r>
        <w:fldChar w:fldCharType="begin"/>
      </w:r>
      <w:r>
        <w:instrText xml:space="preserve"> REF _Ref_63 \h </w:instrText>
      </w:r>
      <w:r>
        <w:fldChar w:fldCharType="separate"/>
      </w:r>
      <w:r>
        <w:t>63</w:t>
      </w:r>
      <w:r>
        <w:fldChar w:fldCharType="end"/>
      </w:r>
      <w:r>
        <w:t>]</w:t>
      </w:r>
      <w:r>
        <w:rPr>
          <w:b w:val="0"/>
          <w:i w:val="0"/>
        </w:rPr>
        <w:t>; a second shift-share instrument interacting the firm's pre-shock task exposure with the same index; and the leave-one-out mean depth of other firms in the same industry and province. The first and second stages are</w:t>
      </w:r>
    </w:p>
    <w:tbl>
      <w:tblPr>
        <w:tblW w:w="1046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Pr>
      <w:tblGrid>
        <w:gridCol w:w="10035"/>
        <w:gridCol w:w="431"/>
      </w:tblGrid>
      <w:tr>
        <w:trPr>
          <w:cantSplit/>
        </w:trPr>
        <w:tc>
          <w:tcPr>
            <w:tcW w:type="dxa" w:w="10035"/>
            <w:vAlign w:val="center"/>
          </w:tcPr>
          <w:p>
            <w:pPr>
              <w:pStyle w:val="MDPI39equation"/>
              <w:ind w:left="0" w:right="0"/>
              <w:jc w:val="center"/>
            </w:pPr>
            <m:oMath>
              <m:sSubSup>
                <m:e>
                  <m:r>
                    <m:t xml:space="preserve">AI</m:t>
                  </m:r>
                </m:e>
                <m:sub>
                  <m:r>
                    <m:t xml:space="preserve">i</m:t>
                  </m:r>
                  <m:r>
                    <m:t xml:space="preserve">t</m:t>
                  </m:r>
                </m:sub>
                <m:sup>
                  <m:r>
                    <m:rPr>
                      <m:sty m:val="p"/>
                    </m:rPr>
                    <m:t xml:space="preserve">(</m:t>
                  </m:r>
                  <m:r>
                    <m:t xml:space="preserve">m</m:t>
                  </m:r>
                  <m:r>
                    <m:rPr>
                      <m:sty m:val="p"/>
                    </m:rPr>
                    <m:t xml:space="preserve">)</m:t>
                  </m:r>
                </m:sup>
              </m:sSubSup>
              <m:r>
                <m:rPr>
                  <m:sty m:val="p"/>
                </m:rPr>
                <m:t xml:space="preserve">=</m:t>
              </m:r>
              <m:sSub>
                <m:e>
                  <m:r>
                    <m:t xml:space="preserve">π</m:t>
                  </m:r>
                </m:e>
                <m:sub>
                  <m:r>
                    <m:rPr>
                      <m:sty m:val="p"/>
                    </m:rPr>
                    <m:t xml:space="preserve">0</m:t>
                  </m:r>
                </m:sub>
              </m:sSub>
              <m:r>
                <m:rPr>
                  <m:sty m:val="p"/>
                </m:rPr>
                <m:t xml:space="preserve">+</m:t>
              </m:r>
              <m:r>
                <m:t xml:space="preserve">π</m:t>
              </m:r>
              <m:r>
                <m:t xml:space="preserve">'</m:t>
              </m:r>
              <m:sSub>
                <m:e>
                  <m:r>
                    <m:t xml:space="preserve">IV</m:t>
                  </m:r>
                </m:e>
                <m:sub>
                  <m:r>
                    <m:t xml:space="preserve">i</m:t>
                  </m:r>
                  <m:r>
                    <m:t xml:space="preserve">t</m:t>
                  </m:r>
                </m:sub>
              </m:sSub>
              <m:r>
                <m:rPr>
                  <m:sty m:val="p"/>
                </m:rPr>
                <m:t xml:space="preserve">+</m:t>
              </m:r>
              <m:r>
                <m:t xml:space="preserve">γ</m:t>
              </m:r>
              <m:r>
                <m:t xml:space="preserve">'</m:t>
              </m:r>
              <m:sSub>
                <m:e>
                  <m:r>
                    <m:t xml:space="preserve">X</m:t>
                  </m:r>
                </m:e>
                <m:sub>
                  <m:r>
                    <m:t xml:space="preserve">i</m:t>
                  </m:r>
                  <m:r>
                    <m:t xml:space="preserve">t</m:t>
                  </m:r>
                </m:sub>
              </m:sSub>
              <m:r>
                <m:rPr>
                  <m:sty m:val="p"/>
                </m:rPr>
                <m:t xml:space="preserve">+</m:t>
              </m:r>
              <m:sSub>
                <m:e>
                  <m:r>
                    <m:t xml:space="preserve">μ</m:t>
                  </m:r>
                </m:e>
                <m:sub>
                  <m:r>
                    <m:t xml:space="preserve">i</m:t>
                  </m:r>
                </m:sub>
              </m:sSub>
              <m:r>
                <m:rPr>
                  <m:sty m:val="p"/>
                </m:rPr>
                <m:t xml:space="preserve">+</m:t>
              </m:r>
              <m:sSub>
                <m:e>
                  <m:r>
                    <m:t xml:space="preserve">λ</m:t>
                  </m:r>
                </m:e>
                <m:sub>
                  <m:r>
                    <m:t xml:space="preserve">t</m:t>
                  </m:r>
                </m:sub>
              </m:sSub>
              <m:r>
                <m:rPr>
                  <m:sty m:val="p"/>
                </m:rPr>
                <m:t xml:space="preserve">+</m:t>
              </m:r>
              <m:sSub>
                <m:e>
                  <m:r>
                    <m:t xml:space="preserve">ν</m:t>
                  </m:r>
                </m:e>
                <m:sub>
                  <m:r>
                    <m:t xml:space="preserve">i</m:t>
                  </m:r>
                  <m:r>
                    <m:t xml:space="preserve">t</m:t>
                  </m:r>
                </m:sub>
              </m:sSub>
              <m:r>
                <m:t xml:space="preserve">,</m:t>
              </m:r>
              <m:r>
                <m:t xml:space="preserve"> </m:t>
              </m:r>
              <m:r>
                <m:t xml:space="preserve"> </m:t>
              </m:r>
              <m:r>
                <m:t xml:space="preserve">m</m:t>
              </m:r>
              <m:r>
                <m:rPr>
                  <m:sty m:val="p"/>
                </m:rPr>
                <m:t xml:space="preserve">=</m:t>
              </m:r>
              <m:r>
                <m:rPr>
                  <m:sty m:val="p"/>
                </m:rPr>
                <m:t xml:space="preserve">1</m:t>
              </m:r>
              <m:r>
                <m:t xml:space="preserve">,</m:t>
              </m:r>
              <m:r>
                <m:rPr>
                  <m:sty m:val="p"/>
                </m:rPr>
                <m:t xml:space="preserve">2</m:t>
              </m:r>
            </m:oMath>
          </w:p>
        </w:tc>
        <w:tc>
          <w:tcPr>
            <w:tcW w:type="dxa" w:w="431"/>
            <w:vAlign w:val="center"/>
          </w:tcPr>
          <w:p>
            <w:pPr>
              <w:pStyle w:val="MDPI3aequationnumber"/>
              <w:jc w:val="right"/>
            </w:pPr>
            <w:r>
              <w:t>(9)</w:t>
            </w:r>
          </w:p>
        </w:tc>
      </w:tr>
    </w:tbl>
    <w:tbl>
      <w:tblPr>
        <w:tblW w:w="1046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Pr>
      <w:tblGrid>
        <w:gridCol w:w="10035"/>
        <w:gridCol w:w="431"/>
      </w:tblGrid>
      <w:tr>
        <w:trPr>
          <w:cantSplit/>
        </w:trPr>
        <w:tc>
          <w:tcPr>
            <w:tcW w:type="dxa" w:w="10035"/>
            <w:vAlign w:val="center"/>
          </w:tcPr>
          <w:p>
            <w:pPr>
              <w:pStyle w:val="MDPI39equation"/>
              <w:ind w:left="0" w:right="0"/>
              <w:jc w:val="center"/>
            </w:pPr>
            <m:oMath>
              <m:sSub>
                <m:e>
                  <m:r>
                    <m:t xml:space="preserve">Youth</m:t>
                  </m:r>
                </m:e>
                <m:sub>
                  <m:r>
                    <m:t xml:space="preserve">i</m:t>
                  </m:r>
                  <m:r>
                    <m:t xml:space="preserve">t</m:t>
                  </m:r>
                </m:sub>
              </m:sSub>
              <m:r>
                <m:rPr>
                  <m:sty m:val="p"/>
                </m:rPr>
                <m:t xml:space="preserve">=</m:t>
              </m:r>
              <m:sSub>
                <m:e>
                  <m:r>
                    <m:t xml:space="preserve">θ</m:t>
                  </m:r>
                </m:e>
                <m:sub>
                  <m:r>
                    <m:rPr>
                      <m:sty m:val="p"/>
                    </m:rPr>
                    <m:t xml:space="preserve">0</m:t>
                  </m:r>
                </m:sub>
              </m:sSub>
              <m:r>
                <m:rPr>
                  <m:sty m:val="p"/>
                </m:rPr>
                <m:t xml:space="preserve">+</m:t>
              </m:r>
              <m:sSub>
                <m:e>
                  <m:r>
                    <m:t xml:space="preserve">θ</m:t>
                  </m:r>
                </m:e>
                <m:sub>
                  <m:r>
                    <m:rPr>
                      <m:sty m:val="p"/>
                    </m:rPr>
                    <m:t xml:space="preserve">1</m:t>
                  </m:r>
                </m:sub>
              </m:sSub>
              <m:r>
                <m:t xml:space="preserve">widehat</m:t>
              </m:r>
              <m:sSub>
                <m:e>
                  <m:r>
                    <m:t xml:space="preserve">AI</m:t>
                  </m:r>
                </m:e>
                <m:sub>
                  <m:r>
                    <m:t xml:space="preserve">i</m:t>
                  </m:r>
                  <m:r>
                    <m:t xml:space="preserve">t</m:t>
                  </m:r>
                </m:sub>
              </m:sSub>
              <m:r>
                <m:rPr>
                  <m:sty m:val="p"/>
                </m:rPr>
                <m:t xml:space="preserve">+</m:t>
              </m:r>
              <m:sSub>
                <m:e>
                  <m:r>
                    <m:t xml:space="preserve">θ</m:t>
                  </m:r>
                </m:e>
                <m:sub>
                  <m:r>
                    <m:rPr>
                      <m:sty m:val="p"/>
                    </m:rPr>
                    <m:t xml:space="preserve">2</m:t>
                  </m:r>
                </m:sub>
              </m:sSub>
              <m:r>
                <m:t xml:space="preserve">widehat</m:t>
              </m:r>
              <m:sSub>
                <m:e>
                  <m:sSup>
                    <m:e>
                      <m:r>
                        <m:t xml:space="preserve">AI</m:t>
                      </m:r>
                    </m:e>
                    <m:sup>
                      <m:r>
                        <m:rPr>
                          <m:sty m:val="p"/>
                        </m:rPr>
                        <m:t xml:space="preserve">2</m:t>
                      </m:r>
                    </m:sup>
                  </m:sSup>
                </m:e>
                <m:sub>
                  <m:r>
                    <m:t xml:space="preserve">i</m:t>
                  </m:r>
                  <m:r>
                    <m:t xml:space="preserve">t</m:t>
                  </m:r>
                </m:sub>
              </m:sSub>
              <m:r>
                <m:rPr>
                  <m:sty m:val="p"/>
                </m:rPr>
                <m:t xml:space="preserve">+</m:t>
              </m:r>
              <m:r>
                <m:t xml:space="preserve">γ</m:t>
              </m:r>
              <m:r>
                <m:t xml:space="preserve">'</m:t>
              </m:r>
              <m:sSub>
                <m:e>
                  <m:r>
                    <m:t xml:space="preserve">X</m:t>
                  </m:r>
                </m:e>
                <m:sub>
                  <m:r>
                    <m:t xml:space="preserve">i</m:t>
                  </m:r>
                  <m:r>
                    <m:t xml:space="preserve">t</m:t>
                  </m:r>
                </m:sub>
              </m:sSub>
              <m:r>
                <m:rPr>
                  <m:sty m:val="p"/>
                </m:rPr>
                <m:t xml:space="preserve">+</m:t>
              </m:r>
              <m:sSub>
                <m:e>
                  <m:r>
                    <m:t xml:space="preserve">μ</m:t>
                  </m:r>
                </m:e>
                <m:sub>
                  <m:r>
                    <m:t xml:space="preserve">i</m:t>
                  </m:r>
                </m:sub>
              </m:sSub>
              <m:r>
                <m:rPr>
                  <m:sty m:val="p"/>
                </m:rPr>
                <m:t xml:space="preserve">+</m:t>
              </m:r>
              <m:sSub>
                <m:e>
                  <m:r>
                    <m:t xml:space="preserve">λ</m:t>
                  </m:r>
                </m:e>
                <m:sub>
                  <m:r>
                    <m:t xml:space="preserve">t</m:t>
                  </m:r>
                </m:sub>
              </m:sSub>
              <m:r>
                <m:rPr>
                  <m:sty m:val="p"/>
                </m:rPr>
                <m:t xml:space="preserve">+</m:t>
              </m:r>
              <m:sSub>
                <m:e>
                  <m:r>
                    <m:t xml:space="preserve">ω</m:t>
                  </m:r>
                </m:e>
                <m:sub>
                  <m:r>
                    <m:t xml:space="preserve">i</m:t>
                  </m:r>
                  <m:r>
                    <m:t xml:space="preserve">t</m:t>
                  </m:r>
                </m:sub>
              </m:sSub>
            </m:oMath>
          </w:p>
        </w:tc>
        <w:tc>
          <w:tcPr>
            <w:tcW w:type="dxa" w:w="431"/>
            <w:vAlign w:val="center"/>
          </w:tcPr>
          <w:p>
            <w:pPr>
              <w:pStyle w:val="MDPI3aequationnumber"/>
              <w:jc w:val="right"/>
            </w:pPr>
            <w:r>
              <w:t>(10)</w:t>
            </w:r>
          </w:p>
        </w:tc>
      </w:tr>
    </w:tbl>
    <w:p>
      <w:pPr>
        <w:pStyle w:val="MDPI31text"/>
      </w:pPr>
      <w:r>
        <w:rPr>
          <w:b w:val="0"/>
          <w:i w:val="0"/>
        </w:rPr>
        <w:t xml:space="preserve">Instrument relevance is judged by the Kleibergen–Paap rank Wald statistic for each endogenous regressor against the Stock–Yogo critical value </w:t>
      </w:r>
      <w:r>
        <w:t>[</w:t>
      </w:r>
      <w:r>
        <w:fldChar w:fldCharType="begin"/>
      </w:r>
      <w:r>
        <w:instrText xml:space="preserve"> REF _Ref_64 \h </w:instrText>
      </w:r>
      <w:r>
        <w:fldChar w:fldCharType="separate"/>
      </w:r>
      <w:r>
        <w:t>64</w:t>
      </w:r>
      <w:r>
        <w:fldChar w:fldCharType="end"/>
      </w:r>
      <w:r>
        <w:t>,</w:t>
      </w:r>
      <w:r>
        <w:fldChar w:fldCharType="begin"/>
      </w:r>
      <w:r>
        <w:instrText xml:space="preserve"> REF _Ref_65 \h </w:instrText>
      </w:r>
      <w:r>
        <w:fldChar w:fldCharType="separate"/>
      </w:r>
      <w:r>
        <w:t>65</w:t>
      </w:r>
      <w:r>
        <w:fldChar w:fldCharType="end"/>
      </w:r>
      <w:r>
        <w:t>]</w:t>
      </w:r>
      <w:r>
        <w:rPr>
          <w:b w:val="0"/>
          <w:i w:val="0"/>
        </w:rPr>
        <w:t xml:space="preserve"> and validity by the Hansen overidentification test. Because depth is also not randomly assigned across firms, we complement the instrumental-variable estimates with propensity-score matching </w:t>
      </w:r>
      <w:r>
        <w:t>[</w:t>
      </w:r>
      <w:r>
        <w:fldChar w:fldCharType="begin"/>
      </w:r>
      <w:r>
        <w:instrText xml:space="preserve"> REF _Ref_66 \h </w:instrText>
      </w:r>
      <w:r>
        <w:fldChar w:fldCharType="separate"/>
      </w:r>
      <w:r>
        <w:t>66</w:t>
      </w:r>
      <w:r>
        <w:fldChar w:fldCharType="end"/>
      </w:r>
      <w:r>
        <w:t>]</w:t>
      </w:r>
      <w:r>
        <w:rPr>
          <w:b w:val="0"/>
          <w:i w:val="0"/>
        </w:rPr>
        <w:t xml:space="preserve"> and entropy balancing </w:t>
      </w:r>
      <w:r>
        <w:t>[</w:t>
      </w:r>
      <w:r>
        <w:fldChar w:fldCharType="begin"/>
      </w:r>
      <w:r>
        <w:instrText xml:space="preserve"> REF _Ref_67 \h </w:instrText>
      </w:r>
      <w:r>
        <w:fldChar w:fldCharType="separate"/>
      </w:r>
      <w:r>
        <w:t>67</w:t>
      </w:r>
      <w:r>
        <w:fldChar w:fldCharType="end"/>
      </w:r>
      <w:r>
        <w:t>]</w:t>
      </w:r>
      <w:r>
        <w:rPr>
          <w:b w:val="0"/>
          <w:i w:val="0"/>
        </w:rPr>
        <w:t xml:space="preserve">, and we bound the scope for selection on unobservables using the coefficient-stability approach </w:t>
      </w:r>
      <w:r>
        <w:t>[</w:t>
      </w:r>
      <w:r>
        <w:fldChar w:fldCharType="begin"/>
      </w:r>
      <w:r>
        <w:instrText xml:space="preserve"> REF _Ref_68 \h </w:instrText>
      </w:r>
      <w:r>
        <w:fldChar w:fldCharType="separate"/>
      </w:r>
      <w:r>
        <w:t>68</w:t>
      </w:r>
      <w:r>
        <w:fldChar w:fldCharType="end"/>
      </w:r>
      <w:r>
        <w:t>]</w:t>
      </w:r>
      <w:r>
        <w:rPr>
          <w:b w:val="0"/>
          <w:i w:val="0"/>
        </w:rPr>
        <w:t>, for which the bias-adjusted coefficient is</w:t>
      </w:r>
    </w:p>
    <w:tbl>
      <w:tblPr>
        <w:tblW w:w="1046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firstColumn="1" w:firstRow="1" w:lastColumn="0" w:lastRow="0" w:noHBand="0" w:noVBand="1" w:val="04A0"/>
      </w:tblPr>
      <w:tblGrid>
        <w:gridCol w:w="10035"/>
        <w:gridCol w:w="431"/>
      </w:tblGrid>
      <w:tr>
        <w:trPr>
          <w:cantSplit/>
        </w:trPr>
        <w:tc>
          <w:tcPr>
            <w:tcW w:type="dxa" w:w="10035"/>
            <w:vAlign w:val="center"/>
          </w:tcPr>
          <w:p>
            <w:pPr>
              <w:pStyle w:val="MDPI39equation"/>
              <w:ind w:left="0" w:right="0"/>
              <w:jc w:val="center"/>
            </w:pPr>
            <m:oMath>
              <m:sSup>
                <m:e>
                  <m:r>
                    <m:t xml:space="preserve">β</m:t>
                  </m:r>
                </m:e>
                <m:sup>
                  <m:r>
                    <m:t xml:space="preserve">∗</m:t>
                  </m:r>
                </m:sup>
              </m:sSup>
              <m:r>
                <m:rPr>
                  <m:sty m:val="p"/>
                </m:rPr>
                <m:t xml:space="preserve">=</m:t>
              </m:r>
              <m:acc>
                <m:accPr>
                  <m:chr m:val="~"/>
                </m:accPr>
                <m:e>
                  <m:r>
                    <m:t xml:space="preserve">β</m:t>
                  </m:r>
                </m:e>
              </m:acc>
              <m:r>
                <m:rPr>
                  <m:sty m:val="p"/>
                </m:rPr>
                <m:t xml:space="preserve">-</m:t>
              </m:r>
              <m:d>
                <m:dPr>
                  <m:begChr m:val="("/>
                  <m:endChr m:val=")"/>
                </m:dPr>
                <m:e>
                  <m:acc>
                    <m:accPr>
                      <m:chr m:val="̊"/>
                    </m:accPr>
                    <m:e>
                      <m:r>
                        <m:t xml:space="preserve">β</m:t>
                      </m:r>
                    </m:e>
                  </m:acc>
                  <m:r>
                    <m:rPr>
                      <m:sty m:val="p"/>
                    </m:rPr>
                    <m:t xml:space="preserve">-</m:t>
                  </m:r>
                  <m:acc>
                    <m:accPr>
                      <m:chr m:val="~"/>
                    </m:accPr>
                    <m:e>
                      <m:r>
                        <m:t xml:space="preserve">β</m:t>
                      </m:r>
                    </m:e>
                  </m:acc>
                </m:e>
              </m:d>
              <m:f>
                <m:num>
                  <m:sSub>
                    <m:e>
                      <m:r>
                        <m:t xml:space="preserve">R</m:t>
                      </m:r>
                    </m:e>
                    <m:sub>
                      <m:r>
                        <m:t xml:space="preserve">m</m:t>
                      </m:r>
                      <m:r>
                        <m:t xml:space="preserve">a</m:t>
                      </m:r>
                      <m:r>
                        <m:t xml:space="preserve">x</m:t>
                      </m:r>
                    </m:sub>
                  </m:sSub>
                  <m:r>
                    <m:rPr>
                      <m:sty m:val="p"/>
                    </m:rPr>
                    <m:t xml:space="preserve">-</m:t>
                  </m:r>
                  <m:acc>
                    <m:accPr>
                      <m:chr m:val="~"/>
                    </m:accPr>
                    <m:e>
                      <m:r>
                        <m:t xml:space="preserve">R</m:t>
                      </m:r>
                    </m:e>
                  </m:acc>
                </m:num>
                <m:den>
                  <m:acc>
                    <m:accPr>
                      <m:chr m:val="~"/>
                    </m:accPr>
                    <m:e>
                      <m:r>
                        <m:t xml:space="preserve">R</m:t>
                      </m:r>
                    </m:e>
                  </m:acc>
                  <m:r>
                    <m:rPr>
                      <m:sty m:val="p"/>
                    </m:rPr>
                    <m:t xml:space="preserve">-</m:t>
                  </m:r>
                  <m:acc>
                    <m:accPr>
                      <m:chr m:val="̊"/>
                    </m:accPr>
                    <m:e>
                      <m:r>
                        <m:t xml:space="preserve">R</m:t>
                      </m:r>
                    </m:e>
                  </m:acc>
                </m:den>
              </m:f>
            </m:oMath>
          </w:p>
        </w:tc>
        <w:tc>
          <w:tcPr>
            <w:tcW w:type="dxa" w:w="431"/>
            <w:vAlign w:val="center"/>
          </w:tcPr>
          <w:p>
            <w:pPr>
              <w:pStyle w:val="MDPI3aequationnumber"/>
              <w:jc w:val="right"/>
            </w:pPr>
            <w:r>
              <w:t>(11)</w:t>
            </w:r>
          </w:p>
        </w:tc>
      </w:tr>
    </w:tbl>
    <w:p>
      <w:pPr>
        <w:pStyle w:val="MDPI31text"/>
      </w:pPr>
      <w:r>
        <w:rPr>
          <w:b w:val="0"/>
          <w:i w:val="0"/>
        </w:rPr>
        <w:t xml:space="preserve">where </w:t>
      </w:r>
      <m:oMath>
        <m:acc>
          <m:accPr>
            <m:chr m:val="̊"/>
          </m:accPr>
          <m:e>
            <m:r>
              <m:t xml:space="preserve">β</m:t>
            </m:r>
          </m:e>
        </m:acc>
      </m:oMath>
      <w:r>
        <w:rPr>
          <w:b w:val="0"/>
          <w:i w:val="0"/>
        </w:rPr>
        <w:t xml:space="preserve"> and </w:t>
      </w:r>
      <m:oMath>
        <m:acc>
          <m:accPr>
            <m:chr m:val="̊"/>
          </m:accPr>
          <m:e>
            <m:r>
              <m:t xml:space="preserve">R</m:t>
            </m:r>
          </m:e>
        </m:acc>
      </m:oMath>
      <w:r>
        <w:rPr>
          <w:b w:val="0"/>
          <w:i w:val="0"/>
        </w:rPr>
        <w:t xml:space="preserve"> come from the specification without controls, </w:t>
      </w:r>
      <m:oMath>
        <m:acc>
          <m:accPr>
            <m:chr m:val="~"/>
          </m:accPr>
          <m:e>
            <m:r>
              <m:t xml:space="preserve">β</m:t>
            </m:r>
          </m:e>
        </m:acc>
      </m:oMath>
      <w:r>
        <w:rPr>
          <w:b w:val="0"/>
          <w:i w:val="0"/>
        </w:rPr>
        <w:t xml:space="preserve"> and </w:t>
      </w:r>
      <m:oMath>
        <m:acc>
          <m:accPr>
            <m:chr m:val="~"/>
          </m:accPr>
          <m:e>
            <m:r>
              <m:t xml:space="preserve">R</m:t>
            </m:r>
          </m:e>
        </m:acc>
      </m:oMath>
      <w:r>
        <w:rPr>
          <w:b w:val="0"/>
          <w:i w:val="0"/>
        </w:rPr>
        <w:t xml:space="preserve"> from the specification with controls, and </w:t>
      </w:r>
      <m:oMath>
        <m:sSub>
          <m:e>
            <m:r>
              <m:t xml:space="preserve">R</m:t>
            </m:r>
          </m:e>
          <m:sub>
            <m:r>
              <m:t xml:space="preserve">m</m:t>
            </m:r>
            <m:r>
              <m:t xml:space="preserve">a</m:t>
            </m:r>
            <m:r>
              <m:t xml:space="preserve">x</m:t>
            </m:r>
          </m:sub>
        </m:sSub>
      </m:oMath>
      <w:r>
        <w:rPr>
          <w:b w:val="0"/>
          <w:i w:val="0"/>
        </w:rPr>
        <w:t xml:space="preserve"> is the assumed maximum explainable variation.</w:t>
      </w:r>
    </w:p>
    <w:p>
      <w:pPr>
        <w:pStyle w:val="MDPI21heading1"/>
      </w:pPr>
      <w:r>
        <w:t>4. Empirical Results and Discussion</w:t>
      </w:r>
    </w:p>
    <w:p>
      <w:pPr>
        <w:pStyle w:val="MDPI22heading2"/>
      </w:pPr>
      <w:r>
        <w:t>4.1. Descriptive Statistics</w:t>
      </w:r>
    </w:p>
    <w:p>
      <w:pPr>
        <w:pStyle w:val="MDPI32textnoindent"/>
      </w:pPr>
      <w:r>
        <w:rPr>
          <w:b w:val="0"/>
          <w:i w:val="0"/>
        </w:rPr>
        <w:t>Table 2 reports the descriptive statistics. The youth employment share averages 21.61% with a standard deviation of 9.12 percentage points. Adoption depth averages 1.974 in the post-shock years, with a standard deviation of 1.261 and a maximum of 4.816, so there is substantial variation along the dimension that the hypotheses are about. The augmentation and automation channels show the wide dispersion that the mechanism requires, and the control variables are consistent with the published distributions for Chinese listed firms. Figure 1 places these numbers in time. The vertical dotted line marks the public release of large language models at the end of 2022, after which the vocabulary enters annual reports: mean adoption depth is identically zero before it and rises steeply thereafter, while the youth employment share, which had been drifting down slowly, first flattens and then falls.</w:t>
      </w:r>
    </w:p>
    <w:p>
      <w:pPr>
        <w:pStyle w:val="MDPI41tablecaption"/>
        <w:keepNext/>
        <w:spacing w:after="60"/>
      </w:pPr>
      <w:r>
        <w:rPr>
          <w:b/>
          <w:sz w:val="18"/>
        </w:rPr>
        <w:t xml:space="preserve">Table 2. </w:t>
      </w:r>
      <w:r>
        <w:rPr>
          <w:b w:val="0"/>
          <w:i w:val="0"/>
          <w:sz w:val="18"/>
        </w:rPr>
        <w:t>Descriptive statistics.</w:t>
      </w:r>
    </w:p>
    <w:tbl>
      <w:tblPr>
        <w:tblStyle w:val="MDPI41threelinetable"/>
        <w:tblW w:w="10466"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CellMar>
          <w:top w:w="0" w:type="dxa"/>
          <w:left w:w="57" w:type="dxa"/>
          <w:bottom w:w="0" w:type="dxa"/>
          <w:right w:w="57" w:type="dxa"/>
        </w:tblCellMar>
        <w:tblLook w:firstColumn="1" w:firstRow="1" w:lastColumn="0" w:lastRow="0" w:noHBand="0" w:noVBand="1" w:val="04A0"/>
      </w:tblPr>
      <w:tblGrid>
        <w:gridCol w:w="1674"/>
        <w:gridCol w:w="1098"/>
        <w:gridCol w:w="1098"/>
        <w:gridCol w:w="1098"/>
        <w:gridCol w:w="1098"/>
        <w:gridCol w:w="1098"/>
        <w:gridCol w:w="1098"/>
        <w:gridCol w:w="1098"/>
        <w:gridCol w:w="1098"/>
      </w:tblGrid>
      <w:tr>
        <w:trPr>
          <w:cantSplit/>
          <w:tblHeader/>
        </w:trPr>
        <w:tc>
          <w:tcPr>
            <w:tcW w:type="dxa" w:w="1674"/>
            <w:tcBorders>
              <w:bottom w:val="single" w:sz="8" w:space="0" w:color="auto"/>
            </w:tcBorders>
          </w:tcPr>
          <w:p>
            <w:pPr>
              <w:pStyle w:val="MDPI42tablebody"/>
              <w:keepNext/>
              <w:spacing w:line="240" w:lineRule="auto" w:before="30" w:after="30"/>
              <w:jc w:val="center"/>
            </w:pPr>
            <w:r>
              <w:rPr>
                <w:b/>
                <w:i w:val="0"/>
                <w:sz w:val="16"/>
              </w:rPr>
              <w:t>Variable</w:t>
            </w:r>
          </w:p>
        </w:tc>
        <w:tc>
          <w:tcPr>
            <w:tcW w:type="dxa" w:w="1098"/>
            <w:tcBorders>
              <w:bottom w:val="single" w:sz="8" w:space="0" w:color="auto"/>
            </w:tcBorders>
          </w:tcPr>
          <w:p>
            <w:pPr>
              <w:pStyle w:val="MDPI42tablebody"/>
              <w:keepNext/>
              <w:spacing w:line="240" w:lineRule="auto" w:before="30" w:after="30"/>
              <w:jc w:val="center"/>
            </w:pPr>
            <w:r>
              <w:rPr>
                <w:b/>
                <w:i w:val="0"/>
                <w:sz w:val="16"/>
              </w:rPr>
              <w:t>N</w:t>
            </w:r>
          </w:p>
        </w:tc>
        <w:tc>
          <w:tcPr>
            <w:tcW w:type="dxa" w:w="1098"/>
            <w:tcBorders>
              <w:bottom w:val="single" w:sz="8" w:space="0" w:color="auto"/>
            </w:tcBorders>
          </w:tcPr>
          <w:p>
            <w:pPr>
              <w:pStyle w:val="MDPI42tablebody"/>
              <w:keepNext/>
              <w:spacing w:line="240" w:lineRule="auto" w:before="30" w:after="30"/>
              <w:jc w:val="center"/>
            </w:pPr>
            <w:r>
              <w:rPr>
                <w:b/>
                <w:i w:val="0"/>
                <w:sz w:val="16"/>
              </w:rPr>
              <w:t>Mean</w:t>
            </w:r>
          </w:p>
        </w:tc>
        <w:tc>
          <w:tcPr>
            <w:tcW w:type="dxa" w:w="1098"/>
            <w:tcBorders>
              <w:bottom w:val="single" w:sz="8" w:space="0" w:color="auto"/>
            </w:tcBorders>
          </w:tcPr>
          <w:p>
            <w:pPr>
              <w:pStyle w:val="MDPI42tablebody"/>
              <w:keepNext/>
              <w:spacing w:line="240" w:lineRule="auto" w:before="30" w:after="30"/>
              <w:jc w:val="center"/>
            </w:pPr>
            <w:r>
              <w:rPr>
                <w:b/>
                <w:i w:val="0"/>
                <w:sz w:val="16"/>
              </w:rPr>
              <w:t>SD</w:t>
            </w:r>
          </w:p>
        </w:tc>
        <w:tc>
          <w:tcPr>
            <w:tcW w:type="dxa" w:w="1098"/>
            <w:tcBorders>
              <w:bottom w:val="single" w:sz="8" w:space="0" w:color="auto"/>
            </w:tcBorders>
          </w:tcPr>
          <w:p>
            <w:pPr>
              <w:pStyle w:val="MDPI42tablebody"/>
              <w:keepNext/>
              <w:spacing w:line="240" w:lineRule="auto" w:before="30" w:after="30"/>
              <w:jc w:val="center"/>
            </w:pPr>
            <w:r>
              <w:rPr>
                <w:b/>
                <w:i w:val="0"/>
                <w:sz w:val="16"/>
              </w:rPr>
              <w:t>P25</w:t>
            </w:r>
          </w:p>
        </w:tc>
        <w:tc>
          <w:tcPr>
            <w:tcW w:type="dxa" w:w="1098"/>
            <w:tcBorders>
              <w:bottom w:val="single" w:sz="8" w:space="0" w:color="auto"/>
            </w:tcBorders>
          </w:tcPr>
          <w:p>
            <w:pPr>
              <w:pStyle w:val="MDPI42tablebody"/>
              <w:keepNext/>
              <w:spacing w:line="240" w:lineRule="auto" w:before="30" w:after="30"/>
              <w:jc w:val="center"/>
            </w:pPr>
            <w:r>
              <w:rPr>
                <w:b/>
                <w:i w:val="0"/>
                <w:sz w:val="16"/>
              </w:rPr>
              <w:t>Median</w:t>
            </w:r>
          </w:p>
        </w:tc>
        <w:tc>
          <w:tcPr>
            <w:tcW w:type="dxa" w:w="1098"/>
            <w:tcBorders>
              <w:bottom w:val="single" w:sz="8" w:space="0" w:color="auto"/>
            </w:tcBorders>
          </w:tcPr>
          <w:p>
            <w:pPr>
              <w:pStyle w:val="MDPI42tablebody"/>
              <w:keepNext/>
              <w:spacing w:line="240" w:lineRule="auto" w:before="30" w:after="30"/>
              <w:jc w:val="center"/>
            </w:pPr>
            <w:r>
              <w:rPr>
                <w:b/>
                <w:i w:val="0"/>
                <w:sz w:val="16"/>
              </w:rPr>
              <w:t>P75</w:t>
            </w:r>
          </w:p>
        </w:tc>
        <w:tc>
          <w:tcPr>
            <w:tcW w:type="dxa" w:w="1098"/>
            <w:tcBorders>
              <w:bottom w:val="single" w:sz="8" w:space="0" w:color="auto"/>
            </w:tcBorders>
          </w:tcPr>
          <w:p>
            <w:pPr>
              <w:pStyle w:val="MDPI42tablebody"/>
              <w:keepNext/>
              <w:spacing w:line="240" w:lineRule="auto" w:before="30" w:after="30"/>
              <w:jc w:val="center"/>
            </w:pPr>
            <w:r>
              <w:rPr>
                <w:b/>
                <w:i w:val="0"/>
                <w:sz w:val="16"/>
              </w:rPr>
              <w:t>Min</w:t>
            </w:r>
          </w:p>
        </w:tc>
        <w:tc>
          <w:tcPr>
            <w:tcW w:type="dxa" w:w="1098"/>
            <w:tcBorders>
              <w:bottom w:val="single" w:sz="8" w:space="0" w:color="auto"/>
            </w:tcBorders>
          </w:tcPr>
          <w:p>
            <w:pPr>
              <w:pStyle w:val="MDPI42tablebody"/>
              <w:keepNext/>
              <w:spacing w:line="240" w:lineRule="auto" w:before="30" w:after="30"/>
              <w:jc w:val="center"/>
            </w:pPr>
            <w:r>
              <w:rPr>
                <w:b/>
                <w:i w:val="0"/>
                <w:sz w:val="16"/>
              </w:rPr>
              <w:t>Max</w:t>
            </w:r>
          </w:p>
        </w:tc>
      </w:tr>
      <w:tr>
        <w:trPr>
          <w:cantSplit/>
        </w:trPr>
        <w:tc>
          <w:tcPr>
            <w:tcW w:type="dxa" w:w="1674"/>
          </w:tcPr>
          <w:p>
            <w:pPr>
              <w:pStyle w:val="MDPI42tablebody"/>
              <w:keepNext/>
              <w:spacing w:line="240" w:lineRule="auto" w:before="30" w:after="30"/>
              <w:jc w:val="left"/>
            </w:pPr>
            <w:r>
              <w:rPr>
                <w:b w:val="0"/>
                <w:i/>
                <w:sz w:val="16"/>
              </w:rPr>
              <w:t>Youth</w:t>
            </w:r>
          </w:p>
        </w:tc>
        <w:tc>
          <w:tcPr>
            <w:tcW w:type="dxa" w:w="1098"/>
          </w:tcPr>
          <w:p>
            <w:pPr>
              <w:pStyle w:val="MDPI42tablebody"/>
              <w:keepNext/>
              <w:spacing w:line="240" w:lineRule="auto" w:before="30" w:after="30"/>
              <w:jc w:val="center"/>
            </w:pPr>
            <w:r>
              <w:rPr>
                <w:b w:val="0"/>
                <w:i w:val="0"/>
                <w:sz w:val="16"/>
              </w:rPr>
              <w:t>27,320</w:t>
            </w:r>
          </w:p>
        </w:tc>
        <w:tc>
          <w:tcPr>
            <w:tcW w:type="dxa" w:w="1098"/>
          </w:tcPr>
          <w:p>
            <w:pPr>
              <w:pStyle w:val="MDPI42tablebody"/>
              <w:keepNext/>
              <w:spacing w:line="240" w:lineRule="auto" w:before="30" w:after="30"/>
              <w:jc w:val="center"/>
            </w:pPr>
            <w:r>
              <w:rPr>
                <w:b w:val="0"/>
                <w:i w:val="0"/>
                <w:sz w:val="16"/>
              </w:rPr>
              <w:t>21.608</w:t>
            </w:r>
          </w:p>
        </w:tc>
        <w:tc>
          <w:tcPr>
            <w:tcW w:type="dxa" w:w="1098"/>
          </w:tcPr>
          <w:p>
            <w:pPr>
              <w:pStyle w:val="MDPI42tablebody"/>
              <w:keepNext/>
              <w:spacing w:line="240" w:lineRule="auto" w:before="30" w:after="30"/>
              <w:jc w:val="center"/>
            </w:pPr>
            <w:r>
              <w:rPr>
                <w:b w:val="0"/>
                <w:i w:val="0"/>
                <w:sz w:val="16"/>
              </w:rPr>
              <w:t>9.120</w:t>
            </w:r>
          </w:p>
        </w:tc>
        <w:tc>
          <w:tcPr>
            <w:tcW w:type="dxa" w:w="1098"/>
          </w:tcPr>
          <w:p>
            <w:pPr>
              <w:pStyle w:val="MDPI42tablebody"/>
              <w:keepNext/>
              <w:spacing w:line="240" w:lineRule="auto" w:before="30" w:after="30"/>
              <w:jc w:val="center"/>
            </w:pPr>
            <w:r>
              <w:rPr>
                <w:b w:val="0"/>
                <w:i w:val="0"/>
                <w:sz w:val="16"/>
              </w:rPr>
              <w:t>15.267</w:t>
            </w:r>
          </w:p>
        </w:tc>
        <w:tc>
          <w:tcPr>
            <w:tcW w:type="dxa" w:w="1098"/>
          </w:tcPr>
          <w:p>
            <w:pPr>
              <w:pStyle w:val="MDPI42tablebody"/>
              <w:keepNext/>
              <w:spacing w:line="240" w:lineRule="auto" w:before="30" w:after="30"/>
              <w:jc w:val="center"/>
            </w:pPr>
            <w:r>
              <w:rPr>
                <w:b w:val="0"/>
                <w:i w:val="0"/>
                <w:sz w:val="16"/>
              </w:rPr>
              <w:t>21.713</w:t>
            </w:r>
          </w:p>
        </w:tc>
        <w:tc>
          <w:tcPr>
            <w:tcW w:type="dxa" w:w="1098"/>
          </w:tcPr>
          <w:p>
            <w:pPr>
              <w:pStyle w:val="MDPI42tablebody"/>
              <w:keepNext/>
              <w:spacing w:line="240" w:lineRule="auto" w:before="30" w:after="30"/>
              <w:jc w:val="center"/>
            </w:pPr>
            <w:r>
              <w:rPr>
                <w:b w:val="0"/>
                <w:i w:val="0"/>
                <w:sz w:val="16"/>
              </w:rPr>
              <w:t>27.869</w:t>
            </w:r>
          </w:p>
        </w:tc>
        <w:tc>
          <w:tcPr>
            <w:tcW w:type="dxa" w:w="1098"/>
          </w:tcPr>
          <w:p>
            <w:pPr>
              <w:pStyle w:val="MDPI42tablebody"/>
              <w:keepNext/>
              <w:spacing w:line="240" w:lineRule="auto" w:before="30" w:after="30"/>
              <w:jc w:val="center"/>
            </w:pPr>
            <w:r>
              <w:rPr>
                <w:b w:val="0"/>
                <w:i w:val="0"/>
                <w:sz w:val="16"/>
              </w:rPr>
              <w:t>1.000</w:t>
            </w:r>
          </w:p>
        </w:tc>
        <w:tc>
          <w:tcPr>
            <w:tcW w:type="dxa" w:w="1098"/>
          </w:tcPr>
          <w:p>
            <w:pPr>
              <w:pStyle w:val="MDPI42tablebody"/>
              <w:keepNext/>
              <w:spacing w:line="240" w:lineRule="auto" w:before="30" w:after="30"/>
              <w:jc w:val="center"/>
            </w:pPr>
            <w:r>
              <w:rPr>
                <w:b w:val="0"/>
                <w:i w:val="0"/>
                <w:sz w:val="16"/>
              </w:rPr>
              <w:t>43.029</w:t>
            </w:r>
          </w:p>
        </w:tc>
      </w:tr>
      <w:tr>
        <w:trPr>
          <w:cantSplit/>
        </w:trPr>
        <w:tc>
          <w:tcPr>
            <w:tcW w:type="dxa" w:w="1674"/>
          </w:tcPr>
          <w:p>
            <w:pPr>
              <w:pStyle w:val="MDPI42tablebody"/>
              <w:keepNext/>
              <w:spacing w:line="240" w:lineRule="auto" w:before="30" w:after="30"/>
              <w:jc w:val="left"/>
            </w:pPr>
            <w:r>
              <w:rPr>
                <w:b w:val="0"/>
                <w:i/>
                <w:sz w:val="16"/>
              </w:rPr>
              <w:t>Youth35</w:t>
            </w:r>
          </w:p>
        </w:tc>
        <w:tc>
          <w:tcPr>
            <w:tcW w:type="dxa" w:w="1098"/>
          </w:tcPr>
          <w:p>
            <w:pPr>
              <w:pStyle w:val="MDPI42tablebody"/>
              <w:keepNext/>
              <w:spacing w:line="240" w:lineRule="auto" w:before="30" w:after="30"/>
              <w:jc w:val="center"/>
            </w:pPr>
            <w:r>
              <w:rPr>
                <w:b w:val="0"/>
                <w:i w:val="0"/>
                <w:sz w:val="16"/>
              </w:rPr>
              <w:t>27,320</w:t>
            </w:r>
          </w:p>
        </w:tc>
        <w:tc>
          <w:tcPr>
            <w:tcW w:type="dxa" w:w="1098"/>
          </w:tcPr>
          <w:p>
            <w:pPr>
              <w:pStyle w:val="MDPI42tablebody"/>
              <w:keepNext/>
              <w:spacing w:line="240" w:lineRule="auto" w:before="30" w:after="30"/>
              <w:jc w:val="center"/>
            </w:pPr>
            <w:r>
              <w:rPr>
                <w:b w:val="0"/>
                <w:i w:val="0"/>
                <w:sz w:val="16"/>
              </w:rPr>
              <w:t>35.018</w:t>
            </w:r>
          </w:p>
        </w:tc>
        <w:tc>
          <w:tcPr>
            <w:tcW w:type="dxa" w:w="1098"/>
          </w:tcPr>
          <w:p>
            <w:pPr>
              <w:pStyle w:val="MDPI42tablebody"/>
              <w:keepNext/>
              <w:spacing w:line="240" w:lineRule="auto" w:before="30" w:after="30"/>
              <w:jc w:val="center"/>
            </w:pPr>
            <w:r>
              <w:rPr>
                <w:b w:val="0"/>
                <w:i w:val="0"/>
                <w:sz w:val="16"/>
              </w:rPr>
              <w:t>14.903</w:t>
            </w:r>
          </w:p>
        </w:tc>
        <w:tc>
          <w:tcPr>
            <w:tcW w:type="dxa" w:w="1098"/>
          </w:tcPr>
          <w:p>
            <w:pPr>
              <w:pStyle w:val="MDPI42tablebody"/>
              <w:keepNext/>
              <w:spacing w:line="240" w:lineRule="auto" w:before="30" w:after="30"/>
              <w:jc w:val="center"/>
            </w:pPr>
            <w:r>
              <w:rPr>
                <w:b w:val="0"/>
                <w:i w:val="0"/>
                <w:sz w:val="16"/>
              </w:rPr>
              <w:t>24.563</w:t>
            </w:r>
          </w:p>
        </w:tc>
        <w:tc>
          <w:tcPr>
            <w:tcW w:type="dxa" w:w="1098"/>
          </w:tcPr>
          <w:p>
            <w:pPr>
              <w:pStyle w:val="MDPI42tablebody"/>
              <w:keepNext/>
              <w:spacing w:line="240" w:lineRule="auto" w:before="30" w:after="30"/>
              <w:jc w:val="center"/>
            </w:pPr>
            <w:r>
              <w:rPr>
                <w:b w:val="0"/>
                <w:i w:val="0"/>
                <w:sz w:val="16"/>
              </w:rPr>
              <w:t>35.167</w:t>
            </w:r>
          </w:p>
        </w:tc>
        <w:tc>
          <w:tcPr>
            <w:tcW w:type="dxa" w:w="1098"/>
          </w:tcPr>
          <w:p>
            <w:pPr>
              <w:pStyle w:val="MDPI42tablebody"/>
              <w:keepNext/>
              <w:spacing w:line="240" w:lineRule="auto" w:before="30" w:after="30"/>
              <w:jc w:val="center"/>
            </w:pPr>
            <w:r>
              <w:rPr>
                <w:b w:val="0"/>
                <w:i w:val="0"/>
                <w:sz w:val="16"/>
              </w:rPr>
              <w:t>45.309</w:t>
            </w:r>
          </w:p>
        </w:tc>
        <w:tc>
          <w:tcPr>
            <w:tcW w:type="dxa" w:w="1098"/>
          </w:tcPr>
          <w:p>
            <w:pPr>
              <w:pStyle w:val="MDPI42tablebody"/>
              <w:keepNext/>
              <w:spacing w:line="240" w:lineRule="auto" w:before="30" w:after="30"/>
              <w:jc w:val="center"/>
            </w:pPr>
            <w:r>
              <w:rPr>
                <w:b w:val="0"/>
                <w:i w:val="0"/>
                <w:sz w:val="16"/>
              </w:rPr>
              <w:t>2.000</w:t>
            </w:r>
          </w:p>
        </w:tc>
        <w:tc>
          <w:tcPr>
            <w:tcW w:type="dxa" w:w="1098"/>
          </w:tcPr>
          <w:p>
            <w:pPr>
              <w:pStyle w:val="MDPI42tablebody"/>
              <w:keepNext/>
              <w:spacing w:line="240" w:lineRule="auto" w:before="30" w:after="30"/>
              <w:jc w:val="center"/>
            </w:pPr>
            <w:r>
              <w:rPr>
                <w:b w:val="0"/>
                <w:i w:val="0"/>
                <w:sz w:val="16"/>
              </w:rPr>
              <w:t>69.761</w:t>
            </w:r>
          </w:p>
        </w:tc>
      </w:tr>
      <w:tr>
        <w:trPr>
          <w:cantSplit/>
        </w:trPr>
        <w:tc>
          <w:tcPr>
            <w:tcW w:type="dxa" w:w="1674"/>
          </w:tcPr>
          <w:p>
            <w:pPr>
              <w:pStyle w:val="MDPI42tablebody"/>
              <w:keepNext/>
              <w:spacing w:line="240" w:lineRule="auto" w:before="30" w:after="30"/>
              <w:jc w:val="left"/>
            </w:pPr>
            <w:r>
              <w:rPr>
                <w:b w:val="0"/>
                <w:i/>
                <w:sz w:val="16"/>
              </w:rPr>
              <w:t>LnYoung</w:t>
            </w:r>
          </w:p>
        </w:tc>
        <w:tc>
          <w:tcPr>
            <w:tcW w:type="dxa" w:w="1098"/>
          </w:tcPr>
          <w:p>
            <w:pPr>
              <w:pStyle w:val="MDPI42tablebody"/>
              <w:keepNext/>
              <w:spacing w:line="240" w:lineRule="auto" w:before="30" w:after="30"/>
              <w:jc w:val="center"/>
            </w:pPr>
            <w:r>
              <w:rPr>
                <w:b w:val="0"/>
                <w:i w:val="0"/>
                <w:sz w:val="16"/>
              </w:rPr>
              <w:t>27,320</w:t>
            </w:r>
          </w:p>
        </w:tc>
        <w:tc>
          <w:tcPr>
            <w:tcW w:type="dxa" w:w="1098"/>
          </w:tcPr>
          <w:p>
            <w:pPr>
              <w:pStyle w:val="MDPI42tablebody"/>
              <w:keepNext/>
              <w:spacing w:line="240" w:lineRule="auto" w:before="30" w:after="30"/>
              <w:jc w:val="center"/>
            </w:pPr>
            <w:r>
              <w:rPr>
                <w:b w:val="0"/>
                <w:i w:val="0"/>
                <w:sz w:val="16"/>
              </w:rPr>
              <w:t>7.100</w:t>
            </w:r>
          </w:p>
        </w:tc>
        <w:tc>
          <w:tcPr>
            <w:tcW w:type="dxa" w:w="1098"/>
          </w:tcPr>
          <w:p>
            <w:pPr>
              <w:pStyle w:val="MDPI42tablebody"/>
              <w:keepNext/>
              <w:spacing w:line="240" w:lineRule="auto" w:before="30" w:after="30"/>
              <w:jc w:val="center"/>
            </w:pPr>
            <w:r>
              <w:rPr>
                <w:b w:val="0"/>
                <w:i w:val="0"/>
                <w:sz w:val="16"/>
              </w:rPr>
              <w:t>1.378</w:t>
            </w:r>
          </w:p>
        </w:tc>
        <w:tc>
          <w:tcPr>
            <w:tcW w:type="dxa" w:w="1098"/>
          </w:tcPr>
          <w:p>
            <w:pPr>
              <w:pStyle w:val="MDPI42tablebody"/>
              <w:keepNext/>
              <w:spacing w:line="240" w:lineRule="auto" w:before="30" w:after="30"/>
              <w:jc w:val="center"/>
            </w:pPr>
            <w:r>
              <w:rPr>
                <w:b w:val="0"/>
                <w:i w:val="0"/>
                <w:sz w:val="16"/>
              </w:rPr>
              <w:t>6.209</w:t>
            </w:r>
          </w:p>
        </w:tc>
        <w:tc>
          <w:tcPr>
            <w:tcW w:type="dxa" w:w="1098"/>
          </w:tcPr>
          <w:p>
            <w:pPr>
              <w:pStyle w:val="MDPI42tablebody"/>
              <w:keepNext/>
              <w:spacing w:line="240" w:lineRule="auto" w:before="30" w:after="30"/>
              <w:jc w:val="center"/>
            </w:pPr>
            <w:r>
              <w:rPr>
                <w:b w:val="0"/>
                <w:i w:val="0"/>
                <w:sz w:val="16"/>
              </w:rPr>
              <w:t>7.151</w:t>
            </w:r>
          </w:p>
        </w:tc>
        <w:tc>
          <w:tcPr>
            <w:tcW w:type="dxa" w:w="1098"/>
          </w:tcPr>
          <w:p>
            <w:pPr>
              <w:pStyle w:val="MDPI42tablebody"/>
              <w:keepNext/>
              <w:spacing w:line="240" w:lineRule="auto" w:before="30" w:after="30"/>
              <w:jc w:val="center"/>
            </w:pPr>
            <w:r>
              <w:rPr>
                <w:b w:val="0"/>
                <w:i w:val="0"/>
                <w:sz w:val="16"/>
              </w:rPr>
              <w:t>8.062</w:t>
            </w:r>
          </w:p>
        </w:tc>
        <w:tc>
          <w:tcPr>
            <w:tcW w:type="dxa" w:w="1098"/>
          </w:tcPr>
          <w:p>
            <w:pPr>
              <w:pStyle w:val="MDPI42tablebody"/>
              <w:keepNext/>
              <w:spacing w:line="240" w:lineRule="auto" w:before="30" w:after="30"/>
              <w:jc w:val="center"/>
            </w:pPr>
            <w:r>
              <w:rPr>
                <w:b w:val="0"/>
                <w:i w:val="0"/>
                <w:sz w:val="16"/>
              </w:rPr>
              <w:t>3.502</w:t>
            </w:r>
          </w:p>
        </w:tc>
        <w:tc>
          <w:tcPr>
            <w:tcW w:type="dxa" w:w="1098"/>
          </w:tcPr>
          <w:p>
            <w:pPr>
              <w:pStyle w:val="MDPI42tablebody"/>
              <w:keepNext/>
              <w:spacing w:line="240" w:lineRule="auto" w:before="30" w:after="30"/>
              <w:jc w:val="center"/>
            </w:pPr>
            <w:r>
              <w:rPr>
                <w:b w:val="0"/>
                <w:i w:val="0"/>
                <w:sz w:val="16"/>
              </w:rPr>
              <w:t>10.207</w:t>
            </w:r>
          </w:p>
        </w:tc>
      </w:tr>
      <w:tr>
        <w:trPr>
          <w:cantSplit/>
        </w:trPr>
        <w:tc>
          <w:tcPr>
            <w:tcW w:type="dxa" w:w="1674"/>
          </w:tcPr>
          <w:p>
            <w:pPr>
              <w:pStyle w:val="MDPI42tablebody"/>
              <w:keepNext/>
              <w:spacing w:line="240" w:lineRule="auto" w:before="30" w:after="30"/>
              <w:jc w:val="left"/>
            </w:pPr>
            <w:r>
              <w:rPr>
                <w:b w:val="0"/>
                <w:i/>
                <w:sz w:val="16"/>
              </w:rPr>
              <w:t>AI</w:t>
            </w:r>
          </w:p>
        </w:tc>
        <w:tc>
          <w:tcPr>
            <w:tcW w:type="dxa" w:w="1098"/>
          </w:tcPr>
          <w:p>
            <w:pPr>
              <w:pStyle w:val="MDPI42tablebody"/>
              <w:keepNext/>
              <w:spacing w:line="240" w:lineRule="auto" w:before="30" w:after="30"/>
              <w:jc w:val="center"/>
            </w:pPr>
            <w:r>
              <w:rPr>
                <w:b w:val="0"/>
                <w:i w:val="0"/>
                <w:sz w:val="16"/>
              </w:rPr>
              <w:t>27,320</w:t>
            </w:r>
          </w:p>
        </w:tc>
        <w:tc>
          <w:tcPr>
            <w:tcW w:type="dxa" w:w="1098"/>
          </w:tcPr>
          <w:p>
            <w:pPr>
              <w:pStyle w:val="MDPI42tablebody"/>
              <w:keepNext/>
              <w:spacing w:line="240" w:lineRule="auto" w:before="30" w:after="30"/>
              <w:jc w:val="center"/>
            </w:pPr>
            <w:r>
              <w:rPr>
                <w:b w:val="0"/>
                <w:i w:val="0"/>
                <w:sz w:val="16"/>
              </w:rPr>
              <w:t>0.608</w:t>
            </w:r>
          </w:p>
        </w:tc>
        <w:tc>
          <w:tcPr>
            <w:tcW w:type="dxa" w:w="1098"/>
          </w:tcPr>
          <w:p>
            <w:pPr>
              <w:pStyle w:val="MDPI42tablebody"/>
              <w:keepNext/>
              <w:spacing w:line="240" w:lineRule="auto" w:before="30" w:after="30"/>
              <w:jc w:val="center"/>
            </w:pPr>
            <w:r>
              <w:rPr>
                <w:b w:val="0"/>
                <w:i w:val="0"/>
                <w:sz w:val="16"/>
              </w:rPr>
              <w:t>1.149</w:t>
            </w:r>
          </w:p>
        </w:tc>
        <w:tc>
          <w:tcPr>
            <w:tcW w:type="dxa" w:w="1098"/>
          </w:tcPr>
          <w:p>
            <w:pPr>
              <w:pStyle w:val="MDPI42tablebody"/>
              <w:keepNext/>
              <w:spacing w:line="240" w:lineRule="auto" w:before="30" w:after="30"/>
              <w:jc w:val="center"/>
            </w:pPr>
            <w:r>
              <w:rPr>
                <w:b w:val="0"/>
                <w:i w:val="0"/>
                <w:sz w:val="16"/>
              </w:rPr>
              <w:t>0.000</w:t>
            </w:r>
          </w:p>
        </w:tc>
        <w:tc>
          <w:tcPr>
            <w:tcW w:type="dxa" w:w="1098"/>
          </w:tcPr>
          <w:p>
            <w:pPr>
              <w:pStyle w:val="MDPI42tablebody"/>
              <w:keepNext/>
              <w:spacing w:line="240" w:lineRule="auto" w:before="30" w:after="30"/>
              <w:jc w:val="center"/>
            </w:pPr>
            <w:r>
              <w:rPr>
                <w:b w:val="0"/>
                <w:i w:val="0"/>
                <w:sz w:val="16"/>
              </w:rPr>
              <w:t>0.000</w:t>
            </w:r>
          </w:p>
        </w:tc>
        <w:tc>
          <w:tcPr>
            <w:tcW w:type="dxa" w:w="1098"/>
          </w:tcPr>
          <w:p>
            <w:pPr>
              <w:pStyle w:val="MDPI42tablebody"/>
              <w:keepNext/>
              <w:spacing w:line="240" w:lineRule="auto" w:before="30" w:after="30"/>
              <w:jc w:val="center"/>
            </w:pPr>
            <w:r>
              <w:rPr>
                <w:b w:val="0"/>
                <w:i w:val="0"/>
                <w:sz w:val="16"/>
              </w:rPr>
              <w:t>0.750</w:t>
            </w:r>
          </w:p>
        </w:tc>
        <w:tc>
          <w:tcPr>
            <w:tcW w:type="dxa" w:w="1098"/>
          </w:tcPr>
          <w:p>
            <w:pPr>
              <w:pStyle w:val="MDPI42tablebody"/>
              <w:keepNext/>
              <w:spacing w:line="240" w:lineRule="auto" w:before="30" w:after="30"/>
              <w:jc w:val="center"/>
            </w:pPr>
            <w:r>
              <w:rPr>
                <w:b w:val="0"/>
                <w:i w:val="0"/>
                <w:sz w:val="16"/>
              </w:rPr>
              <w:t>0.000</w:t>
            </w:r>
          </w:p>
        </w:tc>
        <w:tc>
          <w:tcPr>
            <w:tcW w:type="dxa" w:w="1098"/>
          </w:tcPr>
          <w:p>
            <w:pPr>
              <w:pStyle w:val="MDPI42tablebody"/>
              <w:keepNext/>
              <w:spacing w:line="240" w:lineRule="auto" w:before="30" w:after="30"/>
              <w:jc w:val="center"/>
            </w:pPr>
            <w:r>
              <w:rPr>
                <w:b w:val="0"/>
                <w:i w:val="0"/>
                <w:sz w:val="16"/>
              </w:rPr>
              <w:t>4.816</w:t>
            </w:r>
          </w:p>
        </w:tc>
      </w:tr>
      <w:tr>
        <w:trPr>
          <w:cantSplit/>
        </w:trPr>
        <w:tc>
          <w:tcPr>
            <w:tcW w:type="dxa" w:w="1674"/>
          </w:tcPr>
          <w:p>
            <w:pPr>
              <w:pStyle w:val="MDPI42tablebody"/>
              <w:keepNext/>
              <w:spacing w:line="240" w:lineRule="auto" w:before="30" w:after="30"/>
              <w:jc w:val="left"/>
            </w:pPr>
            <w:r>
              <w:rPr>
                <w:b w:val="0"/>
                <w:i/>
                <w:sz w:val="16"/>
              </w:rPr>
              <w:t>AUG</w:t>
            </w:r>
          </w:p>
        </w:tc>
        <w:tc>
          <w:tcPr>
            <w:tcW w:type="dxa" w:w="1098"/>
          </w:tcPr>
          <w:p>
            <w:pPr>
              <w:pStyle w:val="MDPI42tablebody"/>
              <w:keepNext/>
              <w:spacing w:line="240" w:lineRule="auto" w:before="30" w:after="30"/>
              <w:jc w:val="center"/>
            </w:pPr>
            <w:r>
              <w:rPr>
                <w:b w:val="0"/>
                <w:i w:val="0"/>
                <w:sz w:val="16"/>
              </w:rPr>
              <w:t>27,320</w:t>
            </w:r>
          </w:p>
        </w:tc>
        <w:tc>
          <w:tcPr>
            <w:tcW w:type="dxa" w:w="1098"/>
          </w:tcPr>
          <w:p>
            <w:pPr>
              <w:pStyle w:val="MDPI42tablebody"/>
              <w:keepNext/>
              <w:spacing w:line="240" w:lineRule="auto" w:before="30" w:after="30"/>
              <w:jc w:val="center"/>
            </w:pPr>
            <w:r>
              <w:rPr>
                <w:b w:val="0"/>
                <w:i w:val="0"/>
                <w:sz w:val="16"/>
              </w:rPr>
              <w:t>14.727</w:t>
            </w:r>
          </w:p>
        </w:tc>
        <w:tc>
          <w:tcPr>
            <w:tcW w:type="dxa" w:w="1098"/>
          </w:tcPr>
          <w:p>
            <w:pPr>
              <w:pStyle w:val="MDPI42tablebody"/>
              <w:keepNext/>
              <w:spacing w:line="240" w:lineRule="auto" w:before="30" w:after="30"/>
              <w:jc w:val="center"/>
            </w:pPr>
            <w:r>
              <w:rPr>
                <w:b w:val="0"/>
                <w:i w:val="0"/>
                <w:sz w:val="16"/>
              </w:rPr>
              <w:t>11.858</w:t>
            </w:r>
          </w:p>
        </w:tc>
        <w:tc>
          <w:tcPr>
            <w:tcW w:type="dxa" w:w="1098"/>
          </w:tcPr>
          <w:p>
            <w:pPr>
              <w:pStyle w:val="MDPI42tablebody"/>
              <w:keepNext/>
              <w:spacing w:line="240" w:lineRule="auto" w:before="30" w:after="30"/>
              <w:jc w:val="center"/>
            </w:pPr>
            <w:r>
              <w:rPr>
                <w:b w:val="0"/>
                <w:i w:val="0"/>
                <w:sz w:val="16"/>
              </w:rPr>
              <w:t>5.195</w:t>
            </w:r>
          </w:p>
        </w:tc>
        <w:tc>
          <w:tcPr>
            <w:tcW w:type="dxa" w:w="1098"/>
          </w:tcPr>
          <w:p>
            <w:pPr>
              <w:pStyle w:val="MDPI42tablebody"/>
              <w:keepNext/>
              <w:spacing w:line="240" w:lineRule="auto" w:before="30" w:after="30"/>
              <w:jc w:val="center"/>
            </w:pPr>
            <w:r>
              <w:rPr>
                <w:b w:val="0"/>
                <w:i w:val="0"/>
                <w:sz w:val="16"/>
              </w:rPr>
              <w:t>12.838</w:t>
            </w:r>
          </w:p>
        </w:tc>
        <w:tc>
          <w:tcPr>
            <w:tcW w:type="dxa" w:w="1098"/>
          </w:tcPr>
          <w:p>
            <w:pPr>
              <w:pStyle w:val="MDPI42tablebody"/>
              <w:keepNext/>
              <w:spacing w:line="240" w:lineRule="auto" w:before="30" w:after="30"/>
              <w:jc w:val="center"/>
            </w:pPr>
            <w:r>
              <w:rPr>
                <w:b w:val="0"/>
                <w:i w:val="0"/>
                <w:sz w:val="16"/>
              </w:rPr>
              <w:t>21.885</w:t>
            </w:r>
          </w:p>
        </w:tc>
        <w:tc>
          <w:tcPr>
            <w:tcW w:type="dxa" w:w="1098"/>
          </w:tcPr>
          <w:p>
            <w:pPr>
              <w:pStyle w:val="MDPI42tablebody"/>
              <w:keepNext/>
              <w:spacing w:line="240" w:lineRule="auto" w:before="30" w:after="30"/>
              <w:jc w:val="center"/>
            </w:pPr>
            <w:r>
              <w:rPr>
                <w:b w:val="0"/>
                <w:i w:val="0"/>
                <w:sz w:val="16"/>
              </w:rPr>
              <w:t>0.000</w:t>
            </w:r>
          </w:p>
        </w:tc>
        <w:tc>
          <w:tcPr>
            <w:tcW w:type="dxa" w:w="1098"/>
          </w:tcPr>
          <w:p>
            <w:pPr>
              <w:pStyle w:val="MDPI42tablebody"/>
              <w:keepNext/>
              <w:spacing w:line="240" w:lineRule="auto" w:before="30" w:after="30"/>
              <w:jc w:val="center"/>
            </w:pPr>
            <w:r>
              <w:rPr>
                <w:b w:val="0"/>
                <w:i w:val="0"/>
                <w:sz w:val="16"/>
              </w:rPr>
              <w:t>48.629</w:t>
            </w:r>
          </w:p>
        </w:tc>
      </w:tr>
      <w:tr>
        <w:trPr>
          <w:cantSplit/>
        </w:trPr>
        <w:tc>
          <w:tcPr>
            <w:tcW w:type="dxa" w:w="1674"/>
          </w:tcPr>
          <w:p>
            <w:pPr>
              <w:pStyle w:val="MDPI42tablebody"/>
              <w:keepNext/>
              <w:spacing w:line="240" w:lineRule="auto" w:before="30" w:after="30"/>
              <w:jc w:val="left"/>
            </w:pPr>
            <w:r>
              <w:rPr>
                <w:b w:val="0"/>
                <w:i/>
                <w:sz w:val="16"/>
              </w:rPr>
              <w:t>AUT</w:t>
            </w:r>
          </w:p>
        </w:tc>
        <w:tc>
          <w:tcPr>
            <w:tcW w:type="dxa" w:w="1098"/>
          </w:tcPr>
          <w:p>
            <w:pPr>
              <w:pStyle w:val="MDPI42tablebody"/>
              <w:keepNext/>
              <w:spacing w:line="240" w:lineRule="auto" w:before="30" w:after="30"/>
              <w:jc w:val="center"/>
            </w:pPr>
            <w:r>
              <w:rPr>
                <w:b w:val="0"/>
                <w:i w:val="0"/>
                <w:sz w:val="16"/>
              </w:rPr>
              <w:t>27,320</w:t>
            </w:r>
          </w:p>
        </w:tc>
        <w:tc>
          <w:tcPr>
            <w:tcW w:type="dxa" w:w="1098"/>
          </w:tcPr>
          <w:p>
            <w:pPr>
              <w:pStyle w:val="MDPI42tablebody"/>
              <w:keepNext/>
              <w:spacing w:line="240" w:lineRule="auto" w:before="30" w:after="30"/>
              <w:jc w:val="center"/>
            </w:pPr>
            <w:r>
              <w:rPr>
                <w:b w:val="0"/>
                <w:i w:val="0"/>
                <w:sz w:val="16"/>
              </w:rPr>
              <w:t>7.994</w:t>
            </w:r>
          </w:p>
        </w:tc>
        <w:tc>
          <w:tcPr>
            <w:tcW w:type="dxa" w:w="1098"/>
          </w:tcPr>
          <w:p>
            <w:pPr>
              <w:pStyle w:val="MDPI42tablebody"/>
              <w:keepNext/>
              <w:spacing w:line="240" w:lineRule="auto" w:before="30" w:after="30"/>
              <w:jc w:val="center"/>
            </w:pPr>
            <w:r>
              <w:rPr>
                <w:b w:val="0"/>
                <w:i w:val="0"/>
                <w:sz w:val="16"/>
              </w:rPr>
              <w:t>7.520</w:t>
            </w:r>
          </w:p>
        </w:tc>
        <w:tc>
          <w:tcPr>
            <w:tcW w:type="dxa" w:w="1098"/>
          </w:tcPr>
          <w:p>
            <w:pPr>
              <w:pStyle w:val="MDPI42tablebody"/>
              <w:keepNext/>
              <w:spacing w:line="240" w:lineRule="auto" w:before="30" w:after="30"/>
              <w:jc w:val="center"/>
            </w:pPr>
            <w:r>
              <w:rPr>
                <w:b w:val="0"/>
                <w:i w:val="0"/>
                <w:sz w:val="16"/>
              </w:rPr>
              <w:t>1.519</w:t>
            </w:r>
          </w:p>
        </w:tc>
        <w:tc>
          <w:tcPr>
            <w:tcW w:type="dxa" w:w="1098"/>
          </w:tcPr>
          <w:p>
            <w:pPr>
              <w:pStyle w:val="MDPI42tablebody"/>
              <w:keepNext/>
              <w:spacing w:line="240" w:lineRule="auto" w:before="30" w:after="30"/>
              <w:jc w:val="center"/>
            </w:pPr>
            <w:r>
              <w:rPr>
                <w:b w:val="0"/>
                <w:i w:val="0"/>
                <w:sz w:val="16"/>
              </w:rPr>
              <w:t>6.581</w:t>
            </w:r>
          </w:p>
        </w:tc>
        <w:tc>
          <w:tcPr>
            <w:tcW w:type="dxa" w:w="1098"/>
          </w:tcPr>
          <w:p>
            <w:pPr>
              <w:pStyle w:val="MDPI42tablebody"/>
              <w:keepNext/>
              <w:spacing w:line="240" w:lineRule="auto" w:before="30" w:after="30"/>
              <w:jc w:val="center"/>
            </w:pPr>
            <w:r>
              <w:rPr>
                <w:b w:val="0"/>
                <w:i w:val="0"/>
                <w:sz w:val="16"/>
              </w:rPr>
              <w:t>12.055</w:t>
            </w:r>
          </w:p>
        </w:tc>
        <w:tc>
          <w:tcPr>
            <w:tcW w:type="dxa" w:w="1098"/>
          </w:tcPr>
          <w:p>
            <w:pPr>
              <w:pStyle w:val="MDPI42tablebody"/>
              <w:keepNext/>
              <w:spacing w:line="240" w:lineRule="auto" w:before="30" w:after="30"/>
              <w:jc w:val="center"/>
            </w:pPr>
            <w:r>
              <w:rPr>
                <w:b w:val="0"/>
                <w:i w:val="0"/>
                <w:sz w:val="16"/>
              </w:rPr>
              <w:t>0.000</w:t>
            </w:r>
          </w:p>
        </w:tc>
        <w:tc>
          <w:tcPr>
            <w:tcW w:type="dxa" w:w="1098"/>
          </w:tcPr>
          <w:p>
            <w:pPr>
              <w:pStyle w:val="MDPI42tablebody"/>
              <w:keepNext/>
              <w:spacing w:line="240" w:lineRule="auto" w:before="30" w:after="30"/>
              <w:jc w:val="center"/>
            </w:pPr>
            <w:r>
              <w:rPr>
                <w:b w:val="0"/>
                <w:i w:val="0"/>
                <w:sz w:val="16"/>
              </w:rPr>
              <w:t>33.296</w:t>
            </w:r>
          </w:p>
        </w:tc>
      </w:tr>
      <w:tr>
        <w:trPr>
          <w:cantSplit/>
        </w:trPr>
        <w:tc>
          <w:tcPr>
            <w:tcW w:type="dxa" w:w="1674"/>
          </w:tcPr>
          <w:p>
            <w:pPr>
              <w:pStyle w:val="MDPI42tablebody"/>
              <w:keepNext/>
              <w:spacing w:line="240" w:lineRule="auto" w:before="30" w:after="30"/>
              <w:jc w:val="left"/>
            </w:pPr>
            <w:r>
              <w:rPr>
                <w:b w:val="0"/>
                <w:i/>
                <w:sz w:val="16"/>
              </w:rPr>
              <w:t>OLC</w:t>
            </w:r>
          </w:p>
        </w:tc>
        <w:tc>
          <w:tcPr>
            <w:tcW w:type="dxa" w:w="1098"/>
          </w:tcPr>
          <w:p>
            <w:pPr>
              <w:pStyle w:val="MDPI42tablebody"/>
              <w:keepNext/>
              <w:spacing w:line="240" w:lineRule="auto" w:before="30" w:after="30"/>
              <w:jc w:val="center"/>
            </w:pPr>
            <w:r>
              <w:rPr>
                <w:b w:val="0"/>
                <w:i w:val="0"/>
                <w:sz w:val="16"/>
              </w:rPr>
              <w:t>27,320</w:t>
            </w:r>
          </w:p>
        </w:tc>
        <w:tc>
          <w:tcPr>
            <w:tcW w:type="dxa" w:w="1098"/>
          </w:tcPr>
          <w:p>
            <w:pPr>
              <w:pStyle w:val="MDPI42tablebody"/>
              <w:keepNext/>
              <w:spacing w:line="240" w:lineRule="auto" w:before="30" w:after="30"/>
              <w:jc w:val="center"/>
            </w:pPr>
            <w:r>
              <w:rPr>
                <w:b w:val="0"/>
                <w:i w:val="0"/>
                <w:sz w:val="16"/>
              </w:rPr>
              <w:t>0.000</w:t>
            </w:r>
          </w:p>
        </w:tc>
        <w:tc>
          <w:tcPr>
            <w:tcW w:type="dxa" w:w="1098"/>
          </w:tcPr>
          <w:p>
            <w:pPr>
              <w:pStyle w:val="MDPI42tablebody"/>
              <w:keepNext/>
              <w:spacing w:line="240" w:lineRule="auto" w:before="30" w:after="30"/>
              <w:jc w:val="center"/>
            </w:pPr>
            <w:r>
              <w:rPr>
                <w:b w:val="0"/>
                <w:i w:val="0"/>
                <w:sz w:val="16"/>
              </w:rPr>
              <w:t>1.000</w:t>
            </w:r>
          </w:p>
        </w:tc>
        <w:tc>
          <w:tcPr>
            <w:tcW w:type="dxa" w:w="1098"/>
          </w:tcPr>
          <w:p>
            <w:pPr>
              <w:pStyle w:val="MDPI42tablebody"/>
              <w:keepNext/>
              <w:spacing w:line="240" w:lineRule="auto" w:before="30" w:after="30"/>
              <w:jc w:val="center"/>
            </w:pPr>
            <w:r>
              <w:rPr>
                <w:b w:val="0"/>
                <w:i w:val="0"/>
                <w:sz w:val="16"/>
              </w:rPr>
              <w:t>−0.648</w:t>
            </w:r>
          </w:p>
        </w:tc>
        <w:tc>
          <w:tcPr>
            <w:tcW w:type="dxa" w:w="1098"/>
          </w:tcPr>
          <w:p>
            <w:pPr>
              <w:pStyle w:val="MDPI42tablebody"/>
              <w:keepNext/>
              <w:spacing w:line="240" w:lineRule="auto" w:before="30" w:after="30"/>
              <w:jc w:val="center"/>
            </w:pPr>
            <w:r>
              <w:rPr>
                <w:b w:val="0"/>
                <w:i w:val="0"/>
                <w:sz w:val="16"/>
              </w:rPr>
              <w:t>−0.022</w:t>
            </w:r>
          </w:p>
        </w:tc>
        <w:tc>
          <w:tcPr>
            <w:tcW w:type="dxa" w:w="1098"/>
          </w:tcPr>
          <w:p>
            <w:pPr>
              <w:pStyle w:val="MDPI42tablebody"/>
              <w:keepNext/>
              <w:spacing w:line="240" w:lineRule="auto" w:before="30" w:after="30"/>
              <w:jc w:val="center"/>
            </w:pPr>
            <w:r>
              <w:rPr>
                <w:b w:val="0"/>
                <w:i w:val="0"/>
                <w:sz w:val="16"/>
              </w:rPr>
              <w:t>0.644</w:t>
            </w:r>
          </w:p>
        </w:tc>
        <w:tc>
          <w:tcPr>
            <w:tcW w:type="dxa" w:w="1098"/>
          </w:tcPr>
          <w:p>
            <w:pPr>
              <w:pStyle w:val="MDPI42tablebody"/>
              <w:keepNext/>
              <w:spacing w:line="240" w:lineRule="auto" w:before="30" w:after="30"/>
              <w:jc w:val="center"/>
            </w:pPr>
            <w:r>
              <w:rPr>
                <w:b w:val="0"/>
                <w:i w:val="0"/>
                <w:sz w:val="16"/>
              </w:rPr>
              <w:t>−3.929</w:t>
            </w:r>
          </w:p>
        </w:tc>
        <w:tc>
          <w:tcPr>
            <w:tcW w:type="dxa" w:w="1098"/>
          </w:tcPr>
          <w:p>
            <w:pPr>
              <w:pStyle w:val="MDPI42tablebody"/>
              <w:keepNext/>
              <w:spacing w:line="240" w:lineRule="auto" w:before="30" w:after="30"/>
              <w:jc w:val="center"/>
            </w:pPr>
            <w:r>
              <w:rPr>
                <w:b w:val="0"/>
                <w:i w:val="0"/>
                <w:sz w:val="16"/>
              </w:rPr>
              <w:t>3.656</w:t>
            </w:r>
          </w:p>
        </w:tc>
      </w:tr>
      <w:tr>
        <w:trPr>
          <w:cantSplit/>
        </w:trPr>
        <w:tc>
          <w:tcPr>
            <w:tcW w:type="dxa" w:w="1674"/>
          </w:tcPr>
          <w:p>
            <w:pPr>
              <w:pStyle w:val="MDPI42tablebody"/>
              <w:keepNext/>
              <w:spacing w:line="240" w:lineRule="auto" w:before="30" w:after="30"/>
              <w:jc w:val="left"/>
            </w:pPr>
            <w:r>
              <w:rPr>
                <w:b w:val="0"/>
                <w:i/>
                <w:sz w:val="16"/>
              </w:rPr>
              <w:t>AIGov</w:t>
            </w:r>
          </w:p>
        </w:tc>
        <w:tc>
          <w:tcPr>
            <w:tcW w:type="dxa" w:w="1098"/>
          </w:tcPr>
          <w:p>
            <w:pPr>
              <w:pStyle w:val="MDPI42tablebody"/>
              <w:keepNext/>
              <w:spacing w:line="240" w:lineRule="auto" w:before="30" w:after="30"/>
              <w:jc w:val="center"/>
            </w:pPr>
            <w:r>
              <w:rPr>
                <w:b w:val="0"/>
                <w:i w:val="0"/>
                <w:sz w:val="16"/>
              </w:rPr>
              <w:t>27,320</w:t>
            </w:r>
          </w:p>
        </w:tc>
        <w:tc>
          <w:tcPr>
            <w:tcW w:type="dxa" w:w="1098"/>
          </w:tcPr>
          <w:p>
            <w:pPr>
              <w:pStyle w:val="MDPI42tablebody"/>
              <w:keepNext/>
              <w:spacing w:line="240" w:lineRule="auto" w:before="30" w:after="30"/>
              <w:jc w:val="center"/>
            </w:pPr>
            <w:r>
              <w:rPr>
                <w:b w:val="0"/>
                <w:i w:val="0"/>
                <w:sz w:val="16"/>
              </w:rPr>
              <w:t>0.304</w:t>
            </w:r>
          </w:p>
        </w:tc>
        <w:tc>
          <w:tcPr>
            <w:tcW w:type="dxa" w:w="1098"/>
          </w:tcPr>
          <w:p>
            <w:pPr>
              <w:pStyle w:val="MDPI42tablebody"/>
              <w:keepNext/>
              <w:spacing w:line="240" w:lineRule="auto" w:before="30" w:after="30"/>
              <w:jc w:val="center"/>
            </w:pPr>
            <w:r>
              <w:rPr>
                <w:b w:val="0"/>
                <w:i w:val="0"/>
                <w:sz w:val="16"/>
              </w:rPr>
              <w:t>0.460</w:t>
            </w:r>
          </w:p>
        </w:tc>
        <w:tc>
          <w:tcPr>
            <w:tcW w:type="dxa" w:w="1098"/>
          </w:tcPr>
          <w:p>
            <w:pPr>
              <w:pStyle w:val="MDPI42tablebody"/>
              <w:keepNext/>
              <w:spacing w:line="240" w:lineRule="auto" w:before="30" w:after="30"/>
              <w:jc w:val="center"/>
            </w:pPr>
            <w:r>
              <w:rPr>
                <w:b w:val="0"/>
                <w:i w:val="0"/>
                <w:sz w:val="16"/>
              </w:rPr>
              <w:t>0.000</w:t>
            </w:r>
          </w:p>
        </w:tc>
        <w:tc>
          <w:tcPr>
            <w:tcW w:type="dxa" w:w="1098"/>
          </w:tcPr>
          <w:p>
            <w:pPr>
              <w:pStyle w:val="MDPI42tablebody"/>
              <w:keepNext/>
              <w:spacing w:line="240" w:lineRule="auto" w:before="30" w:after="30"/>
              <w:jc w:val="center"/>
            </w:pPr>
            <w:r>
              <w:rPr>
                <w:b w:val="0"/>
                <w:i w:val="0"/>
                <w:sz w:val="16"/>
              </w:rPr>
              <w:t>0.000</w:t>
            </w:r>
          </w:p>
        </w:tc>
        <w:tc>
          <w:tcPr>
            <w:tcW w:type="dxa" w:w="1098"/>
          </w:tcPr>
          <w:p>
            <w:pPr>
              <w:pStyle w:val="MDPI42tablebody"/>
              <w:keepNext/>
              <w:spacing w:line="240" w:lineRule="auto" w:before="30" w:after="30"/>
              <w:jc w:val="center"/>
            </w:pPr>
            <w:r>
              <w:rPr>
                <w:b w:val="0"/>
                <w:i w:val="0"/>
                <w:sz w:val="16"/>
              </w:rPr>
              <w:t>1.000</w:t>
            </w:r>
          </w:p>
        </w:tc>
        <w:tc>
          <w:tcPr>
            <w:tcW w:type="dxa" w:w="1098"/>
          </w:tcPr>
          <w:p>
            <w:pPr>
              <w:pStyle w:val="MDPI42tablebody"/>
              <w:keepNext/>
              <w:spacing w:line="240" w:lineRule="auto" w:before="30" w:after="30"/>
              <w:jc w:val="center"/>
            </w:pPr>
            <w:r>
              <w:rPr>
                <w:b w:val="0"/>
                <w:i w:val="0"/>
                <w:sz w:val="16"/>
              </w:rPr>
              <w:t>0.000</w:t>
            </w:r>
          </w:p>
        </w:tc>
        <w:tc>
          <w:tcPr>
            <w:tcW w:type="dxa" w:w="1098"/>
          </w:tcPr>
          <w:p>
            <w:pPr>
              <w:pStyle w:val="MDPI42tablebody"/>
              <w:keepNext/>
              <w:spacing w:line="240" w:lineRule="auto" w:before="30" w:after="30"/>
              <w:jc w:val="center"/>
            </w:pPr>
            <w:r>
              <w:rPr>
                <w:b w:val="0"/>
                <w:i w:val="0"/>
                <w:sz w:val="16"/>
              </w:rPr>
              <w:t>1.000</w:t>
            </w:r>
          </w:p>
        </w:tc>
      </w:tr>
      <w:tr>
        <w:trPr>
          <w:cantSplit/>
        </w:trPr>
        <w:tc>
          <w:tcPr>
            <w:tcW w:type="dxa" w:w="1674"/>
          </w:tcPr>
          <w:p>
            <w:pPr>
              <w:pStyle w:val="MDPI42tablebody"/>
              <w:keepNext/>
              <w:spacing w:line="240" w:lineRule="auto" w:before="30" w:after="30"/>
              <w:jc w:val="left"/>
            </w:pPr>
            <w:r>
              <w:rPr>
                <w:b w:val="0"/>
                <w:i/>
                <w:sz w:val="16"/>
              </w:rPr>
              <w:t>LCP</w:t>
            </w:r>
          </w:p>
        </w:tc>
        <w:tc>
          <w:tcPr>
            <w:tcW w:type="dxa" w:w="1098"/>
          </w:tcPr>
          <w:p>
            <w:pPr>
              <w:pStyle w:val="MDPI42tablebody"/>
              <w:keepNext/>
              <w:spacing w:line="240" w:lineRule="auto" w:before="30" w:after="30"/>
              <w:jc w:val="center"/>
            </w:pPr>
            <w:r>
              <w:rPr>
                <w:b w:val="0"/>
                <w:i w:val="0"/>
                <w:sz w:val="16"/>
              </w:rPr>
              <w:t>27,320</w:t>
            </w:r>
          </w:p>
        </w:tc>
        <w:tc>
          <w:tcPr>
            <w:tcW w:type="dxa" w:w="1098"/>
          </w:tcPr>
          <w:p>
            <w:pPr>
              <w:pStyle w:val="MDPI42tablebody"/>
              <w:keepNext/>
              <w:spacing w:line="240" w:lineRule="auto" w:before="30" w:after="30"/>
              <w:jc w:val="center"/>
            </w:pPr>
            <w:r>
              <w:rPr>
                <w:b w:val="0"/>
                <w:i w:val="0"/>
                <w:sz w:val="16"/>
              </w:rPr>
              <w:t>0.000</w:t>
            </w:r>
          </w:p>
        </w:tc>
        <w:tc>
          <w:tcPr>
            <w:tcW w:type="dxa" w:w="1098"/>
          </w:tcPr>
          <w:p>
            <w:pPr>
              <w:pStyle w:val="MDPI42tablebody"/>
              <w:keepNext/>
              <w:spacing w:line="240" w:lineRule="auto" w:before="30" w:after="30"/>
              <w:jc w:val="center"/>
            </w:pPr>
            <w:r>
              <w:rPr>
                <w:b w:val="0"/>
                <w:i w:val="0"/>
                <w:sz w:val="16"/>
              </w:rPr>
              <w:t>1.000</w:t>
            </w:r>
          </w:p>
        </w:tc>
        <w:tc>
          <w:tcPr>
            <w:tcW w:type="dxa" w:w="1098"/>
          </w:tcPr>
          <w:p>
            <w:pPr>
              <w:pStyle w:val="MDPI42tablebody"/>
              <w:keepNext/>
              <w:spacing w:line="240" w:lineRule="auto" w:before="30" w:after="30"/>
              <w:jc w:val="center"/>
            </w:pPr>
            <w:r>
              <w:rPr>
                <w:b w:val="0"/>
                <w:i w:val="0"/>
                <w:sz w:val="16"/>
              </w:rPr>
              <w:t>−0.685</w:t>
            </w:r>
          </w:p>
        </w:tc>
        <w:tc>
          <w:tcPr>
            <w:tcW w:type="dxa" w:w="1098"/>
          </w:tcPr>
          <w:p>
            <w:pPr>
              <w:pStyle w:val="MDPI42tablebody"/>
              <w:keepNext/>
              <w:spacing w:line="240" w:lineRule="auto" w:before="30" w:after="30"/>
              <w:jc w:val="center"/>
            </w:pPr>
            <w:r>
              <w:rPr>
                <w:b w:val="0"/>
                <w:i w:val="0"/>
                <w:sz w:val="16"/>
              </w:rPr>
              <w:t>0.000</w:t>
            </w:r>
          </w:p>
        </w:tc>
        <w:tc>
          <w:tcPr>
            <w:tcW w:type="dxa" w:w="1098"/>
          </w:tcPr>
          <w:p>
            <w:pPr>
              <w:pStyle w:val="MDPI42tablebody"/>
              <w:keepNext/>
              <w:spacing w:line="240" w:lineRule="auto" w:before="30" w:after="30"/>
              <w:jc w:val="center"/>
            </w:pPr>
            <w:r>
              <w:rPr>
                <w:b w:val="0"/>
                <w:i w:val="0"/>
                <w:sz w:val="16"/>
              </w:rPr>
              <w:t>0.677</w:t>
            </w:r>
          </w:p>
        </w:tc>
        <w:tc>
          <w:tcPr>
            <w:tcW w:type="dxa" w:w="1098"/>
          </w:tcPr>
          <w:p>
            <w:pPr>
              <w:pStyle w:val="MDPI42tablebody"/>
              <w:keepNext/>
              <w:spacing w:line="240" w:lineRule="auto" w:before="30" w:after="30"/>
              <w:jc w:val="center"/>
            </w:pPr>
            <w:r>
              <w:rPr>
                <w:b w:val="0"/>
                <w:i w:val="0"/>
                <w:sz w:val="16"/>
              </w:rPr>
              <w:t>−2.373</w:t>
            </w:r>
          </w:p>
        </w:tc>
        <w:tc>
          <w:tcPr>
            <w:tcW w:type="dxa" w:w="1098"/>
          </w:tcPr>
          <w:p>
            <w:pPr>
              <w:pStyle w:val="MDPI42tablebody"/>
              <w:keepNext/>
              <w:spacing w:line="240" w:lineRule="auto" w:before="30" w:after="30"/>
              <w:jc w:val="center"/>
            </w:pPr>
            <w:r>
              <w:rPr>
                <w:b w:val="0"/>
                <w:i w:val="0"/>
                <w:sz w:val="16"/>
              </w:rPr>
              <w:t>2.395</w:t>
            </w:r>
          </w:p>
        </w:tc>
      </w:tr>
      <w:tr>
        <w:trPr>
          <w:cantSplit/>
        </w:trPr>
        <w:tc>
          <w:tcPr>
            <w:tcW w:type="dxa" w:w="1674"/>
          </w:tcPr>
          <w:p>
            <w:pPr>
              <w:pStyle w:val="MDPI42tablebody"/>
              <w:keepNext/>
              <w:spacing w:line="240" w:lineRule="auto" w:before="30" w:after="30"/>
              <w:jc w:val="left"/>
            </w:pPr>
            <w:r>
              <w:rPr>
                <w:b w:val="0"/>
                <w:i/>
                <w:sz w:val="16"/>
              </w:rPr>
              <w:t>Size</w:t>
            </w:r>
          </w:p>
        </w:tc>
        <w:tc>
          <w:tcPr>
            <w:tcW w:type="dxa" w:w="1098"/>
          </w:tcPr>
          <w:p>
            <w:pPr>
              <w:pStyle w:val="MDPI42tablebody"/>
              <w:keepNext/>
              <w:spacing w:line="240" w:lineRule="auto" w:before="30" w:after="30"/>
              <w:jc w:val="center"/>
            </w:pPr>
            <w:r>
              <w:rPr>
                <w:b w:val="0"/>
                <w:i w:val="0"/>
                <w:sz w:val="16"/>
              </w:rPr>
              <w:t>27,320</w:t>
            </w:r>
          </w:p>
        </w:tc>
        <w:tc>
          <w:tcPr>
            <w:tcW w:type="dxa" w:w="1098"/>
          </w:tcPr>
          <w:p>
            <w:pPr>
              <w:pStyle w:val="MDPI42tablebody"/>
              <w:keepNext/>
              <w:spacing w:line="240" w:lineRule="auto" w:before="30" w:after="30"/>
              <w:jc w:val="center"/>
            </w:pPr>
            <w:r>
              <w:rPr>
                <w:b w:val="0"/>
                <w:i w:val="0"/>
                <w:sz w:val="16"/>
              </w:rPr>
              <w:t>22.765</w:t>
            </w:r>
          </w:p>
        </w:tc>
        <w:tc>
          <w:tcPr>
            <w:tcW w:type="dxa" w:w="1098"/>
          </w:tcPr>
          <w:p>
            <w:pPr>
              <w:pStyle w:val="MDPI42tablebody"/>
              <w:keepNext/>
              <w:spacing w:line="240" w:lineRule="auto" w:before="30" w:after="30"/>
              <w:jc w:val="center"/>
            </w:pPr>
            <w:r>
              <w:rPr>
                <w:b w:val="0"/>
                <w:i w:val="0"/>
                <w:sz w:val="16"/>
              </w:rPr>
              <w:t>1.188</w:t>
            </w:r>
          </w:p>
        </w:tc>
        <w:tc>
          <w:tcPr>
            <w:tcW w:type="dxa" w:w="1098"/>
          </w:tcPr>
          <w:p>
            <w:pPr>
              <w:pStyle w:val="MDPI42tablebody"/>
              <w:keepNext/>
              <w:spacing w:line="240" w:lineRule="auto" w:before="30" w:after="30"/>
              <w:jc w:val="center"/>
            </w:pPr>
            <w:r>
              <w:rPr>
                <w:b w:val="0"/>
                <w:i w:val="0"/>
                <w:sz w:val="16"/>
              </w:rPr>
              <w:t>21.935</w:t>
            </w:r>
          </w:p>
        </w:tc>
        <w:tc>
          <w:tcPr>
            <w:tcW w:type="dxa" w:w="1098"/>
          </w:tcPr>
          <w:p>
            <w:pPr>
              <w:pStyle w:val="MDPI42tablebody"/>
              <w:keepNext/>
              <w:spacing w:line="240" w:lineRule="auto" w:before="30" w:after="30"/>
              <w:jc w:val="center"/>
            </w:pPr>
            <w:r>
              <w:rPr>
                <w:b w:val="0"/>
                <w:i w:val="0"/>
                <w:sz w:val="16"/>
              </w:rPr>
              <w:t>22.771</w:t>
            </w:r>
          </w:p>
        </w:tc>
        <w:tc>
          <w:tcPr>
            <w:tcW w:type="dxa" w:w="1098"/>
          </w:tcPr>
          <w:p>
            <w:pPr>
              <w:pStyle w:val="MDPI42tablebody"/>
              <w:keepNext/>
              <w:spacing w:line="240" w:lineRule="auto" w:before="30" w:after="30"/>
              <w:jc w:val="center"/>
            </w:pPr>
            <w:r>
              <w:rPr>
                <w:b w:val="0"/>
                <w:i w:val="0"/>
                <w:sz w:val="16"/>
              </w:rPr>
              <w:t>23.586</w:t>
            </w:r>
          </w:p>
        </w:tc>
        <w:tc>
          <w:tcPr>
            <w:tcW w:type="dxa" w:w="1098"/>
          </w:tcPr>
          <w:p>
            <w:pPr>
              <w:pStyle w:val="MDPI42tablebody"/>
              <w:keepNext/>
              <w:spacing w:line="240" w:lineRule="auto" w:before="30" w:after="30"/>
              <w:jc w:val="center"/>
            </w:pPr>
            <w:r>
              <w:rPr>
                <w:b w:val="0"/>
                <w:i w:val="0"/>
                <w:sz w:val="16"/>
              </w:rPr>
              <w:t>19.968</w:t>
            </w:r>
          </w:p>
        </w:tc>
        <w:tc>
          <w:tcPr>
            <w:tcW w:type="dxa" w:w="1098"/>
          </w:tcPr>
          <w:p>
            <w:pPr>
              <w:pStyle w:val="MDPI42tablebody"/>
              <w:keepNext/>
              <w:spacing w:line="240" w:lineRule="auto" w:before="30" w:after="30"/>
              <w:jc w:val="center"/>
            </w:pPr>
            <w:r>
              <w:rPr>
                <w:b w:val="0"/>
                <w:i w:val="0"/>
                <w:sz w:val="16"/>
              </w:rPr>
              <w:t>25.568</w:t>
            </w:r>
          </w:p>
        </w:tc>
      </w:tr>
      <w:tr>
        <w:trPr>
          <w:cantSplit/>
        </w:trPr>
        <w:tc>
          <w:tcPr>
            <w:tcW w:type="dxa" w:w="1674"/>
          </w:tcPr>
          <w:p>
            <w:pPr>
              <w:pStyle w:val="MDPI42tablebody"/>
              <w:keepNext/>
              <w:spacing w:line="240" w:lineRule="auto" w:before="30" w:after="30"/>
              <w:jc w:val="left"/>
            </w:pPr>
            <w:r>
              <w:rPr>
                <w:b w:val="0"/>
                <w:i/>
                <w:sz w:val="16"/>
              </w:rPr>
              <w:t>Lev</w:t>
            </w:r>
          </w:p>
        </w:tc>
        <w:tc>
          <w:tcPr>
            <w:tcW w:type="dxa" w:w="1098"/>
          </w:tcPr>
          <w:p>
            <w:pPr>
              <w:pStyle w:val="MDPI42tablebody"/>
              <w:keepNext/>
              <w:spacing w:line="240" w:lineRule="auto" w:before="30" w:after="30"/>
              <w:jc w:val="center"/>
            </w:pPr>
            <w:r>
              <w:rPr>
                <w:b w:val="0"/>
                <w:i w:val="0"/>
                <w:sz w:val="16"/>
              </w:rPr>
              <w:t>27,320</w:t>
            </w:r>
          </w:p>
        </w:tc>
        <w:tc>
          <w:tcPr>
            <w:tcW w:type="dxa" w:w="1098"/>
          </w:tcPr>
          <w:p>
            <w:pPr>
              <w:pStyle w:val="MDPI42tablebody"/>
              <w:keepNext/>
              <w:spacing w:line="240" w:lineRule="auto" w:before="30" w:after="30"/>
              <w:jc w:val="center"/>
            </w:pPr>
            <w:r>
              <w:rPr>
                <w:b w:val="0"/>
                <w:i w:val="0"/>
                <w:sz w:val="16"/>
              </w:rPr>
              <w:t>0.431</w:t>
            </w:r>
          </w:p>
        </w:tc>
        <w:tc>
          <w:tcPr>
            <w:tcW w:type="dxa" w:w="1098"/>
          </w:tcPr>
          <w:p>
            <w:pPr>
              <w:pStyle w:val="MDPI42tablebody"/>
              <w:keepNext/>
              <w:spacing w:line="240" w:lineRule="auto" w:before="30" w:after="30"/>
              <w:jc w:val="center"/>
            </w:pPr>
            <w:r>
              <w:rPr>
                <w:b w:val="0"/>
                <w:i w:val="0"/>
                <w:sz w:val="16"/>
              </w:rPr>
              <w:t>0.157</w:t>
            </w:r>
          </w:p>
        </w:tc>
        <w:tc>
          <w:tcPr>
            <w:tcW w:type="dxa" w:w="1098"/>
          </w:tcPr>
          <w:p>
            <w:pPr>
              <w:pStyle w:val="MDPI42tablebody"/>
              <w:keepNext/>
              <w:spacing w:line="240" w:lineRule="auto" w:before="30" w:after="30"/>
              <w:jc w:val="center"/>
            </w:pPr>
            <w:r>
              <w:rPr>
                <w:b w:val="0"/>
                <w:i w:val="0"/>
                <w:sz w:val="16"/>
              </w:rPr>
              <w:t>0.323</w:t>
            </w:r>
          </w:p>
        </w:tc>
        <w:tc>
          <w:tcPr>
            <w:tcW w:type="dxa" w:w="1098"/>
          </w:tcPr>
          <w:p>
            <w:pPr>
              <w:pStyle w:val="MDPI42tablebody"/>
              <w:keepNext/>
              <w:spacing w:line="240" w:lineRule="auto" w:before="30" w:after="30"/>
              <w:jc w:val="center"/>
            </w:pPr>
            <w:r>
              <w:rPr>
                <w:b w:val="0"/>
                <w:i w:val="0"/>
                <w:sz w:val="16"/>
              </w:rPr>
              <w:t>0.431</w:t>
            </w:r>
          </w:p>
        </w:tc>
        <w:tc>
          <w:tcPr>
            <w:tcW w:type="dxa" w:w="1098"/>
          </w:tcPr>
          <w:p>
            <w:pPr>
              <w:pStyle w:val="MDPI42tablebody"/>
              <w:keepNext/>
              <w:spacing w:line="240" w:lineRule="auto" w:before="30" w:after="30"/>
              <w:jc w:val="center"/>
            </w:pPr>
            <w:r>
              <w:rPr>
                <w:b w:val="0"/>
                <w:i w:val="0"/>
                <w:sz w:val="16"/>
              </w:rPr>
              <w:t>0.539</w:t>
            </w:r>
          </w:p>
        </w:tc>
        <w:tc>
          <w:tcPr>
            <w:tcW w:type="dxa" w:w="1098"/>
          </w:tcPr>
          <w:p>
            <w:pPr>
              <w:pStyle w:val="MDPI42tablebody"/>
              <w:keepNext/>
              <w:spacing w:line="240" w:lineRule="auto" w:before="30" w:after="30"/>
              <w:jc w:val="center"/>
            </w:pPr>
            <w:r>
              <w:rPr>
                <w:b w:val="0"/>
                <w:i w:val="0"/>
                <w:sz w:val="16"/>
              </w:rPr>
              <w:t>0.057</w:t>
            </w:r>
          </w:p>
        </w:tc>
        <w:tc>
          <w:tcPr>
            <w:tcW w:type="dxa" w:w="1098"/>
          </w:tcPr>
          <w:p>
            <w:pPr>
              <w:pStyle w:val="MDPI42tablebody"/>
              <w:keepNext/>
              <w:spacing w:line="240" w:lineRule="auto" w:before="30" w:after="30"/>
              <w:jc w:val="center"/>
            </w:pPr>
            <w:r>
              <w:rPr>
                <w:b w:val="0"/>
                <w:i w:val="0"/>
                <w:sz w:val="16"/>
              </w:rPr>
              <w:t>0.804</w:t>
            </w:r>
          </w:p>
        </w:tc>
      </w:tr>
      <w:tr>
        <w:trPr>
          <w:cantSplit/>
        </w:trPr>
        <w:tc>
          <w:tcPr>
            <w:tcW w:type="dxa" w:w="1674"/>
          </w:tcPr>
          <w:p>
            <w:pPr>
              <w:pStyle w:val="MDPI42tablebody"/>
              <w:keepNext/>
              <w:spacing w:line="240" w:lineRule="auto" w:before="30" w:after="30"/>
              <w:jc w:val="left"/>
            </w:pPr>
            <w:r>
              <w:rPr>
                <w:b w:val="0"/>
                <w:i/>
                <w:sz w:val="16"/>
              </w:rPr>
              <w:t>ROE</w:t>
            </w:r>
          </w:p>
        </w:tc>
        <w:tc>
          <w:tcPr>
            <w:tcW w:type="dxa" w:w="1098"/>
          </w:tcPr>
          <w:p>
            <w:pPr>
              <w:pStyle w:val="MDPI42tablebody"/>
              <w:keepNext/>
              <w:spacing w:line="240" w:lineRule="auto" w:before="30" w:after="30"/>
              <w:jc w:val="center"/>
            </w:pPr>
            <w:r>
              <w:rPr>
                <w:b w:val="0"/>
                <w:i w:val="0"/>
                <w:sz w:val="16"/>
              </w:rPr>
              <w:t>27,320</w:t>
            </w:r>
          </w:p>
        </w:tc>
        <w:tc>
          <w:tcPr>
            <w:tcW w:type="dxa" w:w="1098"/>
          </w:tcPr>
          <w:p>
            <w:pPr>
              <w:pStyle w:val="MDPI42tablebody"/>
              <w:keepNext/>
              <w:spacing w:line="240" w:lineRule="auto" w:before="30" w:after="30"/>
              <w:jc w:val="center"/>
            </w:pPr>
            <w:r>
              <w:rPr>
                <w:b w:val="0"/>
                <w:i w:val="0"/>
                <w:sz w:val="16"/>
              </w:rPr>
              <w:t>0.056</w:t>
            </w:r>
          </w:p>
        </w:tc>
        <w:tc>
          <w:tcPr>
            <w:tcW w:type="dxa" w:w="1098"/>
          </w:tcPr>
          <w:p>
            <w:pPr>
              <w:pStyle w:val="MDPI42tablebody"/>
              <w:keepNext/>
              <w:spacing w:line="240" w:lineRule="auto" w:before="30" w:after="30"/>
              <w:jc w:val="center"/>
            </w:pPr>
            <w:r>
              <w:rPr>
                <w:b w:val="0"/>
                <w:i w:val="0"/>
                <w:sz w:val="16"/>
              </w:rPr>
              <w:t>0.123</w:t>
            </w:r>
          </w:p>
        </w:tc>
        <w:tc>
          <w:tcPr>
            <w:tcW w:type="dxa" w:w="1098"/>
          </w:tcPr>
          <w:p>
            <w:pPr>
              <w:pStyle w:val="MDPI42tablebody"/>
              <w:keepNext/>
              <w:spacing w:line="240" w:lineRule="auto" w:before="30" w:after="30"/>
              <w:jc w:val="center"/>
            </w:pPr>
            <w:r>
              <w:rPr>
                <w:b w:val="0"/>
                <w:i w:val="0"/>
                <w:sz w:val="16"/>
              </w:rPr>
              <w:t>−0.028</w:t>
            </w:r>
          </w:p>
        </w:tc>
        <w:tc>
          <w:tcPr>
            <w:tcW w:type="dxa" w:w="1098"/>
          </w:tcPr>
          <w:p>
            <w:pPr>
              <w:pStyle w:val="MDPI42tablebody"/>
              <w:keepNext/>
              <w:spacing w:line="240" w:lineRule="auto" w:before="30" w:after="30"/>
              <w:jc w:val="center"/>
            </w:pPr>
            <w:r>
              <w:rPr>
                <w:b w:val="0"/>
                <w:i w:val="0"/>
                <w:sz w:val="16"/>
              </w:rPr>
              <w:t>0.056</w:t>
            </w:r>
          </w:p>
        </w:tc>
        <w:tc>
          <w:tcPr>
            <w:tcW w:type="dxa" w:w="1098"/>
          </w:tcPr>
          <w:p>
            <w:pPr>
              <w:pStyle w:val="MDPI42tablebody"/>
              <w:keepNext/>
              <w:spacing w:line="240" w:lineRule="auto" w:before="30" w:after="30"/>
              <w:jc w:val="center"/>
            </w:pPr>
            <w:r>
              <w:rPr>
                <w:b w:val="0"/>
                <w:i w:val="0"/>
                <w:sz w:val="16"/>
              </w:rPr>
              <w:t>0.141</w:t>
            </w:r>
          </w:p>
        </w:tc>
        <w:tc>
          <w:tcPr>
            <w:tcW w:type="dxa" w:w="1098"/>
          </w:tcPr>
          <w:p>
            <w:pPr>
              <w:pStyle w:val="MDPI42tablebody"/>
              <w:keepNext/>
              <w:spacing w:line="240" w:lineRule="auto" w:before="30" w:after="30"/>
              <w:jc w:val="center"/>
            </w:pPr>
            <w:r>
              <w:rPr>
                <w:b w:val="0"/>
                <w:i w:val="0"/>
                <w:sz w:val="16"/>
              </w:rPr>
              <w:t>−0.237</w:t>
            </w:r>
          </w:p>
        </w:tc>
        <w:tc>
          <w:tcPr>
            <w:tcW w:type="dxa" w:w="1098"/>
          </w:tcPr>
          <w:p>
            <w:pPr>
              <w:pStyle w:val="MDPI42tablebody"/>
              <w:keepNext/>
              <w:spacing w:line="240" w:lineRule="auto" w:before="30" w:after="30"/>
              <w:jc w:val="center"/>
            </w:pPr>
            <w:r>
              <w:rPr>
                <w:b w:val="0"/>
                <w:i w:val="0"/>
                <w:sz w:val="16"/>
              </w:rPr>
              <w:t>0.347</w:t>
            </w:r>
          </w:p>
        </w:tc>
      </w:tr>
      <w:tr>
        <w:trPr>
          <w:cantSplit/>
        </w:trPr>
        <w:tc>
          <w:tcPr>
            <w:tcW w:type="dxa" w:w="1674"/>
          </w:tcPr>
          <w:p>
            <w:pPr>
              <w:pStyle w:val="MDPI42tablebody"/>
              <w:keepNext/>
              <w:spacing w:line="240" w:lineRule="auto" w:before="30" w:after="30"/>
              <w:jc w:val="left"/>
            </w:pPr>
            <w:r>
              <w:rPr>
                <w:b w:val="0"/>
                <w:i/>
                <w:sz w:val="16"/>
              </w:rPr>
              <w:t>Growth</w:t>
            </w:r>
          </w:p>
        </w:tc>
        <w:tc>
          <w:tcPr>
            <w:tcW w:type="dxa" w:w="1098"/>
          </w:tcPr>
          <w:p>
            <w:pPr>
              <w:pStyle w:val="MDPI42tablebody"/>
              <w:keepNext/>
              <w:spacing w:line="240" w:lineRule="auto" w:before="30" w:after="30"/>
              <w:jc w:val="center"/>
            </w:pPr>
            <w:r>
              <w:rPr>
                <w:b w:val="0"/>
                <w:i w:val="0"/>
                <w:sz w:val="16"/>
              </w:rPr>
              <w:t>27,320</w:t>
            </w:r>
          </w:p>
        </w:tc>
        <w:tc>
          <w:tcPr>
            <w:tcW w:type="dxa" w:w="1098"/>
          </w:tcPr>
          <w:p>
            <w:pPr>
              <w:pStyle w:val="MDPI42tablebody"/>
              <w:keepNext/>
              <w:spacing w:line="240" w:lineRule="auto" w:before="30" w:after="30"/>
              <w:jc w:val="center"/>
            </w:pPr>
            <w:r>
              <w:rPr>
                <w:b w:val="0"/>
                <w:i w:val="0"/>
                <w:sz w:val="16"/>
              </w:rPr>
              <w:t>0.124</w:t>
            </w:r>
          </w:p>
        </w:tc>
        <w:tc>
          <w:tcPr>
            <w:tcW w:type="dxa" w:w="1098"/>
          </w:tcPr>
          <w:p>
            <w:pPr>
              <w:pStyle w:val="MDPI42tablebody"/>
              <w:keepNext/>
              <w:spacing w:line="240" w:lineRule="auto" w:before="30" w:after="30"/>
              <w:jc w:val="center"/>
            </w:pPr>
            <w:r>
              <w:rPr>
                <w:b w:val="0"/>
                <w:i w:val="0"/>
                <w:sz w:val="16"/>
              </w:rPr>
              <w:t>0.342</w:t>
            </w:r>
          </w:p>
        </w:tc>
        <w:tc>
          <w:tcPr>
            <w:tcW w:type="dxa" w:w="1098"/>
          </w:tcPr>
          <w:p>
            <w:pPr>
              <w:pStyle w:val="MDPI42tablebody"/>
              <w:keepNext/>
              <w:spacing w:line="240" w:lineRule="auto" w:before="30" w:after="30"/>
              <w:jc w:val="center"/>
            </w:pPr>
            <w:r>
              <w:rPr>
                <w:b w:val="0"/>
                <w:i w:val="0"/>
                <w:sz w:val="16"/>
              </w:rPr>
              <w:t>−0.110</w:t>
            </w:r>
          </w:p>
        </w:tc>
        <w:tc>
          <w:tcPr>
            <w:tcW w:type="dxa" w:w="1098"/>
          </w:tcPr>
          <w:p>
            <w:pPr>
              <w:pStyle w:val="MDPI42tablebody"/>
              <w:keepNext/>
              <w:spacing w:line="240" w:lineRule="auto" w:before="30" w:after="30"/>
              <w:jc w:val="center"/>
            </w:pPr>
            <w:r>
              <w:rPr>
                <w:b w:val="0"/>
                <w:i w:val="0"/>
                <w:sz w:val="16"/>
              </w:rPr>
              <w:t>0.120</w:t>
            </w:r>
          </w:p>
        </w:tc>
        <w:tc>
          <w:tcPr>
            <w:tcW w:type="dxa" w:w="1098"/>
          </w:tcPr>
          <w:p>
            <w:pPr>
              <w:pStyle w:val="MDPI42tablebody"/>
              <w:keepNext/>
              <w:spacing w:line="240" w:lineRule="auto" w:before="30" w:after="30"/>
              <w:jc w:val="center"/>
            </w:pPr>
            <w:r>
              <w:rPr>
                <w:b w:val="0"/>
                <w:i w:val="0"/>
                <w:sz w:val="16"/>
              </w:rPr>
              <w:t>0.360</w:t>
            </w:r>
          </w:p>
        </w:tc>
        <w:tc>
          <w:tcPr>
            <w:tcW w:type="dxa" w:w="1098"/>
          </w:tcPr>
          <w:p>
            <w:pPr>
              <w:pStyle w:val="MDPI42tablebody"/>
              <w:keepNext/>
              <w:spacing w:line="240" w:lineRule="auto" w:before="30" w:after="30"/>
              <w:jc w:val="center"/>
            </w:pPr>
            <w:r>
              <w:rPr>
                <w:b w:val="0"/>
                <w:i w:val="0"/>
                <w:sz w:val="16"/>
              </w:rPr>
              <w:t>−0.684</w:t>
            </w:r>
          </w:p>
        </w:tc>
        <w:tc>
          <w:tcPr>
            <w:tcW w:type="dxa" w:w="1098"/>
          </w:tcPr>
          <w:p>
            <w:pPr>
              <w:pStyle w:val="MDPI42tablebody"/>
              <w:keepNext/>
              <w:spacing w:line="240" w:lineRule="auto" w:before="30" w:after="30"/>
              <w:jc w:val="center"/>
            </w:pPr>
            <w:r>
              <w:rPr>
                <w:b w:val="0"/>
                <w:i w:val="0"/>
                <w:sz w:val="16"/>
              </w:rPr>
              <w:t>0.938</w:t>
            </w:r>
          </w:p>
        </w:tc>
      </w:tr>
      <w:tr>
        <w:trPr>
          <w:cantSplit/>
        </w:trPr>
        <w:tc>
          <w:tcPr>
            <w:tcW w:type="dxa" w:w="1674"/>
          </w:tcPr>
          <w:p>
            <w:pPr>
              <w:pStyle w:val="MDPI42tablebody"/>
              <w:keepNext/>
              <w:spacing w:line="240" w:lineRule="auto" w:before="30" w:after="30"/>
              <w:jc w:val="left"/>
            </w:pPr>
            <w:r>
              <w:rPr>
                <w:b w:val="0"/>
                <w:i/>
                <w:sz w:val="16"/>
              </w:rPr>
              <w:t>Age</w:t>
            </w:r>
          </w:p>
        </w:tc>
        <w:tc>
          <w:tcPr>
            <w:tcW w:type="dxa" w:w="1098"/>
          </w:tcPr>
          <w:p>
            <w:pPr>
              <w:pStyle w:val="MDPI42tablebody"/>
              <w:keepNext/>
              <w:spacing w:line="240" w:lineRule="auto" w:before="30" w:after="30"/>
              <w:jc w:val="center"/>
            </w:pPr>
            <w:r>
              <w:rPr>
                <w:b w:val="0"/>
                <w:i w:val="0"/>
                <w:sz w:val="16"/>
              </w:rPr>
              <w:t>27,320</w:t>
            </w:r>
          </w:p>
        </w:tc>
        <w:tc>
          <w:tcPr>
            <w:tcW w:type="dxa" w:w="1098"/>
          </w:tcPr>
          <w:p>
            <w:pPr>
              <w:pStyle w:val="MDPI42tablebody"/>
              <w:keepNext/>
              <w:spacing w:line="240" w:lineRule="auto" w:before="30" w:after="30"/>
              <w:jc w:val="center"/>
            </w:pPr>
            <w:r>
              <w:rPr>
                <w:b w:val="0"/>
                <w:i w:val="0"/>
                <w:sz w:val="16"/>
              </w:rPr>
              <w:t>2.750</w:t>
            </w:r>
          </w:p>
        </w:tc>
        <w:tc>
          <w:tcPr>
            <w:tcW w:type="dxa" w:w="1098"/>
          </w:tcPr>
          <w:p>
            <w:pPr>
              <w:pStyle w:val="MDPI42tablebody"/>
              <w:keepNext/>
              <w:spacing w:line="240" w:lineRule="auto" w:before="30" w:after="30"/>
              <w:jc w:val="center"/>
            </w:pPr>
            <w:r>
              <w:rPr>
                <w:b w:val="0"/>
                <w:i w:val="0"/>
                <w:sz w:val="16"/>
              </w:rPr>
              <w:t>0.298</w:t>
            </w:r>
          </w:p>
        </w:tc>
        <w:tc>
          <w:tcPr>
            <w:tcW w:type="dxa" w:w="1098"/>
          </w:tcPr>
          <w:p>
            <w:pPr>
              <w:pStyle w:val="MDPI42tablebody"/>
              <w:keepNext/>
              <w:spacing w:line="240" w:lineRule="auto" w:before="30" w:after="30"/>
              <w:jc w:val="center"/>
            </w:pPr>
            <w:r>
              <w:rPr>
                <w:b w:val="0"/>
                <w:i w:val="0"/>
                <w:sz w:val="16"/>
              </w:rPr>
              <w:t>2.544</w:t>
            </w:r>
          </w:p>
        </w:tc>
        <w:tc>
          <w:tcPr>
            <w:tcW w:type="dxa" w:w="1098"/>
          </w:tcPr>
          <w:p>
            <w:pPr>
              <w:pStyle w:val="MDPI42tablebody"/>
              <w:keepNext/>
              <w:spacing w:line="240" w:lineRule="auto" w:before="30" w:after="30"/>
              <w:jc w:val="center"/>
            </w:pPr>
            <w:r>
              <w:rPr>
                <w:b w:val="0"/>
                <w:i w:val="0"/>
                <w:sz w:val="16"/>
              </w:rPr>
              <w:t>2.748</w:t>
            </w:r>
          </w:p>
        </w:tc>
        <w:tc>
          <w:tcPr>
            <w:tcW w:type="dxa" w:w="1098"/>
          </w:tcPr>
          <w:p>
            <w:pPr>
              <w:pStyle w:val="MDPI42tablebody"/>
              <w:keepNext/>
              <w:spacing w:line="240" w:lineRule="auto" w:before="30" w:after="30"/>
              <w:jc w:val="center"/>
            </w:pPr>
            <w:r>
              <w:rPr>
                <w:b w:val="0"/>
                <w:i w:val="0"/>
                <w:sz w:val="16"/>
              </w:rPr>
              <w:t>2.950</w:t>
            </w:r>
          </w:p>
        </w:tc>
        <w:tc>
          <w:tcPr>
            <w:tcW w:type="dxa" w:w="1098"/>
          </w:tcPr>
          <w:p>
            <w:pPr>
              <w:pStyle w:val="MDPI42tablebody"/>
              <w:keepNext/>
              <w:spacing w:line="240" w:lineRule="auto" w:before="30" w:after="30"/>
              <w:jc w:val="center"/>
            </w:pPr>
            <w:r>
              <w:rPr>
                <w:b w:val="0"/>
                <w:i w:val="0"/>
                <w:sz w:val="16"/>
              </w:rPr>
              <w:t>2.055</w:t>
            </w:r>
          </w:p>
        </w:tc>
        <w:tc>
          <w:tcPr>
            <w:tcW w:type="dxa" w:w="1098"/>
          </w:tcPr>
          <w:p>
            <w:pPr>
              <w:pStyle w:val="MDPI42tablebody"/>
              <w:keepNext/>
              <w:spacing w:line="240" w:lineRule="auto" w:before="30" w:after="30"/>
              <w:jc w:val="center"/>
            </w:pPr>
            <w:r>
              <w:rPr>
                <w:b w:val="0"/>
                <w:i w:val="0"/>
                <w:sz w:val="16"/>
              </w:rPr>
              <w:t>3.474</w:t>
            </w:r>
          </w:p>
        </w:tc>
      </w:tr>
      <w:tr>
        <w:trPr>
          <w:cantSplit/>
        </w:trPr>
        <w:tc>
          <w:tcPr>
            <w:tcW w:type="dxa" w:w="1674"/>
          </w:tcPr>
          <w:p>
            <w:pPr>
              <w:pStyle w:val="MDPI42tablebody"/>
              <w:keepNext/>
              <w:spacing w:line="240" w:lineRule="auto" w:before="30" w:after="30"/>
              <w:jc w:val="left"/>
            </w:pPr>
            <w:r>
              <w:rPr>
                <w:b w:val="0"/>
                <w:i/>
                <w:sz w:val="16"/>
              </w:rPr>
              <w:t>Board</w:t>
            </w:r>
          </w:p>
        </w:tc>
        <w:tc>
          <w:tcPr>
            <w:tcW w:type="dxa" w:w="1098"/>
          </w:tcPr>
          <w:p>
            <w:pPr>
              <w:pStyle w:val="MDPI42tablebody"/>
              <w:keepNext/>
              <w:spacing w:line="240" w:lineRule="auto" w:before="30" w:after="30"/>
              <w:jc w:val="center"/>
            </w:pPr>
            <w:r>
              <w:rPr>
                <w:b w:val="0"/>
                <w:i w:val="0"/>
                <w:sz w:val="16"/>
              </w:rPr>
              <w:t>27,320</w:t>
            </w:r>
          </w:p>
        </w:tc>
        <w:tc>
          <w:tcPr>
            <w:tcW w:type="dxa" w:w="1098"/>
          </w:tcPr>
          <w:p>
            <w:pPr>
              <w:pStyle w:val="MDPI42tablebody"/>
              <w:keepNext/>
              <w:spacing w:line="240" w:lineRule="auto" w:before="30" w:after="30"/>
              <w:jc w:val="center"/>
            </w:pPr>
            <w:r>
              <w:rPr>
                <w:b w:val="0"/>
                <w:i w:val="0"/>
                <w:sz w:val="16"/>
              </w:rPr>
              <w:t>2.107</w:t>
            </w:r>
          </w:p>
        </w:tc>
        <w:tc>
          <w:tcPr>
            <w:tcW w:type="dxa" w:w="1098"/>
          </w:tcPr>
          <w:p>
            <w:pPr>
              <w:pStyle w:val="MDPI42tablebody"/>
              <w:keepNext/>
              <w:spacing w:line="240" w:lineRule="auto" w:before="30" w:after="30"/>
              <w:jc w:val="center"/>
            </w:pPr>
            <w:r>
              <w:rPr>
                <w:b w:val="0"/>
                <w:i w:val="0"/>
                <w:sz w:val="16"/>
              </w:rPr>
              <w:t>0.186</w:t>
            </w:r>
          </w:p>
        </w:tc>
        <w:tc>
          <w:tcPr>
            <w:tcW w:type="dxa" w:w="1098"/>
          </w:tcPr>
          <w:p>
            <w:pPr>
              <w:pStyle w:val="MDPI42tablebody"/>
              <w:keepNext/>
              <w:spacing w:line="240" w:lineRule="auto" w:before="30" w:after="30"/>
              <w:jc w:val="center"/>
            </w:pPr>
            <w:r>
              <w:rPr>
                <w:b w:val="0"/>
                <w:i w:val="0"/>
                <w:sz w:val="16"/>
              </w:rPr>
              <w:t>1.980</w:t>
            </w:r>
          </w:p>
        </w:tc>
        <w:tc>
          <w:tcPr>
            <w:tcW w:type="dxa" w:w="1098"/>
          </w:tcPr>
          <w:p>
            <w:pPr>
              <w:pStyle w:val="MDPI42tablebody"/>
              <w:keepNext/>
              <w:spacing w:line="240" w:lineRule="auto" w:before="30" w:after="30"/>
              <w:jc w:val="center"/>
            </w:pPr>
            <w:r>
              <w:rPr>
                <w:b w:val="0"/>
                <w:i w:val="0"/>
                <w:sz w:val="16"/>
              </w:rPr>
              <w:t>2.108</w:t>
            </w:r>
          </w:p>
        </w:tc>
        <w:tc>
          <w:tcPr>
            <w:tcW w:type="dxa" w:w="1098"/>
          </w:tcPr>
          <w:p>
            <w:pPr>
              <w:pStyle w:val="MDPI42tablebody"/>
              <w:keepNext/>
              <w:spacing w:line="240" w:lineRule="auto" w:before="30" w:after="30"/>
              <w:jc w:val="center"/>
            </w:pPr>
            <w:r>
              <w:rPr>
                <w:b w:val="0"/>
                <w:i w:val="0"/>
                <w:sz w:val="16"/>
              </w:rPr>
              <w:t>2.235</w:t>
            </w:r>
          </w:p>
        </w:tc>
        <w:tc>
          <w:tcPr>
            <w:tcW w:type="dxa" w:w="1098"/>
          </w:tcPr>
          <w:p>
            <w:pPr>
              <w:pStyle w:val="MDPI42tablebody"/>
              <w:keepNext/>
              <w:spacing w:line="240" w:lineRule="auto" w:before="30" w:after="30"/>
              <w:jc w:val="center"/>
            </w:pPr>
            <w:r>
              <w:rPr>
                <w:b w:val="0"/>
                <w:i w:val="0"/>
                <w:sz w:val="16"/>
              </w:rPr>
              <w:t>1.665</w:t>
            </w:r>
          </w:p>
        </w:tc>
        <w:tc>
          <w:tcPr>
            <w:tcW w:type="dxa" w:w="1098"/>
          </w:tcPr>
          <w:p>
            <w:pPr>
              <w:pStyle w:val="MDPI42tablebody"/>
              <w:keepNext/>
              <w:spacing w:line="240" w:lineRule="auto" w:before="30" w:after="30"/>
              <w:jc w:val="center"/>
            </w:pPr>
            <w:r>
              <w:rPr>
                <w:b w:val="0"/>
                <w:i w:val="0"/>
                <w:sz w:val="16"/>
              </w:rPr>
              <w:t>2.551</w:t>
            </w:r>
          </w:p>
        </w:tc>
      </w:tr>
      <w:tr>
        <w:trPr>
          <w:cantSplit/>
        </w:trPr>
        <w:tc>
          <w:tcPr>
            <w:tcW w:type="dxa" w:w="1674"/>
          </w:tcPr>
          <w:p>
            <w:pPr>
              <w:pStyle w:val="MDPI42tablebody"/>
              <w:keepNext/>
              <w:spacing w:line="240" w:lineRule="auto" w:before="30" w:after="30"/>
              <w:jc w:val="left"/>
            </w:pPr>
            <w:r>
              <w:rPr>
                <w:b w:val="0"/>
                <w:i/>
                <w:sz w:val="16"/>
              </w:rPr>
              <w:t>Indep</w:t>
            </w:r>
          </w:p>
        </w:tc>
        <w:tc>
          <w:tcPr>
            <w:tcW w:type="dxa" w:w="1098"/>
          </w:tcPr>
          <w:p>
            <w:pPr>
              <w:pStyle w:val="MDPI42tablebody"/>
              <w:keepNext/>
              <w:spacing w:line="240" w:lineRule="auto" w:before="30" w:after="30"/>
              <w:jc w:val="center"/>
            </w:pPr>
            <w:r>
              <w:rPr>
                <w:b w:val="0"/>
                <w:i w:val="0"/>
                <w:sz w:val="16"/>
              </w:rPr>
              <w:t>27,320</w:t>
            </w:r>
          </w:p>
        </w:tc>
        <w:tc>
          <w:tcPr>
            <w:tcW w:type="dxa" w:w="1098"/>
          </w:tcPr>
          <w:p>
            <w:pPr>
              <w:pStyle w:val="MDPI42tablebody"/>
              <w:keepNext/>
              <w:spacing w:line="240" w:lineRule="auto" w:before="30" w:after="30"/>
              <w:jc w:val="center"/>
            </w:pPr>
            <w:r>
              <w:rPr>
                <w:b w:val="0"/>
                <w:i w:val="0"/>
                <w:sz w:val="16"/>
              </w:rPr>
              <w:t>0.379</w:t>
            </w:r>
          </w:p>
        </w:tc>
        <w:tc>
          <w:tcPr>
            <w:tcW w:type="dxa" w:w="1098"/>
          </w:tcPr>
          <w:p>
            <w:pPr>
              <w:pStyle w:val="MDPI42tablebody"/>
              <w:keepNext/>
              <w:spacing w:line="240" w:lineRule="auto" w:before="30" w:after="30"/>
              <w:jc w:val="center"/>
            </w:pPr>
            <w:r>
              <w:rPr>
                <w:b w:val="0"/>
                <w:i w:val="0"/>
                <w:sz w:val="16"/>
              </w:rPr>
              <w:t>0.048</w:t>
            </w:r>
          </w:p>
        </w:tc>
        <w:tc>
          <w:tcPr>
            <w:tcW w:type="dxa" w:w="1098"/>
          </w:tcPr>
          <w:p>
            <w:pPr>
              <w:pStyle w:val="MDPI42tablebody"/>
              <w:keepNext/>
              <w:spacing w:line="240" w:lineRule="auto" w:before="30" w:after="30"/>
              <w:jc w:val="center"/>
            </w:pPr>
            <w:r>
              <w:rPr>
                <w:b w:val="0"/>
                <w:i w:val="0"/>
                <w:sz w:val="16"/>
              </w:rPr>
              <w:t>0.342</w:t>
            </w:r>
          </w:p>
        </w:tc>
        <w:tc>
          <w:tcPr>
            <w:tcW w:type="dxa" w:w="1098"/>
          </w:tcPr>
          <w:p>
            <w:pPr>
              <w:pStyle w:val="MDPI42tablebody"/>
              <w:keepNext/>
              <w:spacing w:line="240" w:lineRule="auto" w:before="30" w:after="30"/>
              <w:jc w:val="center"/>
            </w:pPr>
            <w:r>
              <w:rPr>
                <w:b w:val="0"/>
                <w:i w:val="0"/>
                <w:sz w:val="16"/>
              </w:rPr>
              <w:t>0.378</w:t>
            </w:r>
          </w:p>
        </w:tc>
        <w:tc>
          <w:tcPr>
            <w:tcW w:type="dxa" w:w="1098"/>
          </w:tcPr>
          <w:p>
            <w:pPr>
              <w:pStyle w:val="MDPI42tablebody"/>
              <w:keepNext/>
              <w:spacing w:line="240" w:lineRule="auto" w:before="30" w:after="30"/>
              <w:jc w:val="center"/>
            </w:pPr>
            <w:r>
              <w:rPr>
                <w:b w:val="0"/>
                <w:i w:val="0"/>
                <w:sz w:val="16"/>
              </w:rPr>
              <w:t>0.413</w:t>
            </w:r>
          </w:p>
        </w:tc>
        <w:tc>
          <w:tcPr>
            <w:tcW w:type="dxa" w:w="1098"/>
          </w:tcPr>
          <w:p>
            <w:pPr>
              <w:pStyle w:val="MDPI42tablebody"/>
              <w:keepNext/>
              <w:spacing w:line="240" w:lineRule="auto" w:before="30" w:after="30"/>
              <w:jc w:val="center"/>
            </w:pPr>
            <w:r>
              <w:rPr>
                <w:b w:val="0"/>
                <w:i w:val="0"/>
                <w:sz w:val="16"/>
              </w:rPr>
              <w:t>0.300</w:t>
            </w:r>
          </w:p>
        </w:tc>
        <w:tc>
          <w:tcPr>
            <w:tcW w:type="dxa" w:w="1098"/>
          </w:tcPr>
          <w:p>
            <w:pPr>
              <w:pStyle w:val="MDPI42tablebody"/>
              <w:keepNext/>
              <w:spacing w:line="240" w:lineRule="auto" w:before="30" w:after="30"/>
              <w:jc w:val="center"/>
            </w:pPr>
            <w:r>
              <w:rPr>
                <w:b w:val="0"/>
                <w:i w:val="0"/>
                <w:sz w:val="16"/>
              </w:rPr>
              <w:t>0.497</w:t>
            </w:r>
          </w:p>
        </w:tc>
      </w:tr>
      <w:tr>
        <w:trPr>
          <w:cantSplit/>
        </w:trPr>
        <w:tc>
          <w:tcPr>
            <w:tcW w:type="dxa" w:w="1674"/>
          </w:tcPr>
          <w:p>
            <w:pPr>
              <w:pStyle w:val="MDPI42tablebody"/>
              <w:keepNext/>
              <w:spacing w:line="240" w:lineRule="auto" w:before="30" w:after="30"/>
              <w:jc w:val="left"/>
            </w:pPr>
            <w:r>
              <w:rPr>
                <w:b w:val="0"/>
                <w:i/>
                <w:sz w:val="16"/>
              </w:rPr>
              <w:t>Dual</w:t>
            </w:r>
          </w:p>
        </w:tc>
        <w:tc>
          <w:tcPr>
            <w:tcW w:type="dxa" w:w="1098"/>
          </w:tcPr>
          <w:p>
            <w:pPr>
              <w:pStyle w:val="MDPI42tablebody"/>
              <w:keepNext/>
              <w:spacing w:line="240" w:lineRule="auto" w:before="30" w:after="30"/>
              <w:jc w:val="center"/>
            </w:pPr>
            <w:r>
              <w:rPr>
                <w:b w:val="0"/>
                <w:i w:val="0"/>
                <w:sz w:val="16"/>
              </w:rPr>
              <w:t>27,320</w:t>
            </w:r>
          </w:p>
        </w:tc>
        <w:tc>
          <w:tcPr>
            <w:tcW w:type="dxa" w:w="1098"/>
          </w:tcPr>
          <w:p>
            <w:pPr>
              <w:pStyle w:val="MDPI42tablebody"/>
              <w:keepNext/>
              <w:spacing w:line="240" w:lineRule="auto" w:before="30" w:after="30"/>
              <w:jc w:val="center"/>
            </w:pPr>
            <w:r>
              <w:rPr>
                <w:b w:val="0"/>
                <w:i w:val="0"/>
                <w:sz w:val="16"/>
              </w:rPr>
              <w:t>0.301</w:t>
            </w:r>
          </w:p>
        </w:tc>
        <w:tc>
          <w:tcPr>
            <w:tcW w:type="dxa" w:w="1098"/>
          </w:tcPr>
          <w:p>
            <w:pPr>
              <w:pStyle w:val="MDPI42tablebody"/>
              <w:keepNext/>
              <w:spacing w:line="240" w:lineRule="auto" w:before="30" w:after="30"/>
              <w:jc w:val="center"/>
            </w:pPr>
            <w:r>
              <w:rPr>
                <w:b w:val="0"/>
                <w:i w:val="0"/>
                <w:sz w:val="16"/>
              </w:rPr>
              <w:t>0.459</w:t>
            </w:r>
          </w:p>
        </w:tc>
        <w:tc>
          <w:tcPr>
            <w:tcW w:type="dxa" w:w="1098"/>
          </w:tcPr>
          <w:p>
            <w:pPr>
              <w:pStyle w:val="MDPI42tablebody"/>
              <w:keepNext/>
              <w:spacing w:line="240" w:lineRule="auto" w:before="30" w:after="30"/>
              <w:jc w:val="center"/>
            </w:pPr>
            <w:r>
              <w:rPr>
                <w:b w:val="0"/>
                <w:i w:val="0"/>
                <w:sz w:val="16"/>
              </w:rPr>
              <w:t>0.000</w:t>
            </w:r>
          </w:p>
        </w:tc>
        <w:tc>
          <w:tcPr>
            <w:tcW w:type="dxa" w:w="1098"/>
          </w:tcPr>
          <w:p>
            <w:pPr>
              <w:pStyle w:val="MDPI42tablebody"/>
              <w:keepNext/>
              <w:spacing w:line="240" w:lineRule="auto" w:before="30" w:after="30"/>
              <w:jc w:val="center"/>
            </w:pPr>
            <w:r>
              <w:rPr>
                <w:b w:val="0"/>
                <w:i w:val="0"/>
                <w:sz w:val="16"/>
              </w:rPr>
              <w:t>0.000</w:t>
            </w:r>
          </w:p>
        </w:tc>
        <w:tc>
          <w:tcPr>
            <w:tcW w:type="dxa" w:w="1098"/>
          </w:tcPr>
          <w:p>
            <w:pPr>
              <w:pStyle w:val="MDPI42tablebody"/>
              <w:keepNext/>
              <w:spacing w:line="240" w:lineRule="auto" w:before="30" w:after="30"/>
              <w:jc w:val="center"/>
            </w:pPr>
            <w:r>
              <w:rPr>
                <w:b w:val="0"/>
                <w:i w:val="0"/>
                <w:sz w:val="16"/>
              </w:rPr>
              <w:t>1.000</w:t>
            </w:r>
          </w:p>
        </w:tc>
        <w:tc>
          <w:tcPr>
            <w:tcW w:type="dxa" w:w="1098"/>
          </w:tcPr>
          <w:p>
            <w:pPr>
              <w:pStyle w:val="MDPI42tablebody"/>
              <w:keepNext/>
              <w:spacing w:line="240" w:lineRule="auto" w:before="30" w:after="30"/>
              <w:jc w:val="center"/>
            </w:pPr>
            <w:r>
              <w:rPr>
                <w:b w:val="0"/>
                <w:i w:val="0"/>
                <w:sz w:val="16"/>
              </w:rPr>
              <w:t>0.000</w:t>
            </w:r>
          </w:p>
        </w:tc>
        <w:tc>
          <w:tcPr>
            <w:tcW w:type="dxa" w:w="1098"/>
          </w:tcPr>
          <w:p>
            <w:pPr>
              <w:pStyle w:val="MDPI42tablebody"/>
              <w:keepNext/>
              <w:spacing w:line="240" w:lineRule="auto" w:before="30" w:after="30"/>
              <w:jc w:val="center"/>
            </w:pPr>
            <w:r>
              <w:rPr>
                <w:b w:val="0"/>
                <w:i w:val="0"/>
                <w:sz w:val="16"/>
              </w:rPr>
              <w:t>1.000</w:t>
            </w:r>
          </w:p>
        </w:tc>
      </w:tr>
      <w:tr>
        <w:trPr>
          <w:cantSplit/>
        </w:trPr>
        <w:tc>
          <w:tcPr>
            <w:tcW w:type="dxa" w:w="1674"/>
          </w:tcPr>
          <w:p>
            <w:pPr>
              <w:pStyle w:val="MDPI42tablebody"/>
              <w:keepNext/>
              <w:spacing w:line="240" w:lineRule="auto" w:before="30" w:after="30"/>
              <w:jc w:val="left"/>
            </w:pPr>
            <w:r>
              <w:rPr>
                <w:b w:val="0"/>
                <w:i/>
                <w:sz w:val="16"/>
              </w:rPr>
              <w:t>TobinQ</w:t>
            </w:r>
          </w:p>
        </w:tc>
        <w:tc>
          <w:tcPr>
            <w:tcW w:type="dxa" w:w="1098"/>
          </w:tcPr>
          <w:p>
            <w:pPr>
              <w:pStyle w:val="MDPI42tablebody"/>
              <w:keepNext/>
              <w:spacing w:line="240" w:lineRule="auto" w:before="30" w:after="30"/>
              <w:jc w:val="center"/>
            </w:pPr>
            <w:r>
              <w:rPr>
                <w:b w:val="0"/>
                <w:i w:val="0"/>
                <w:sz w:val="16"/>
              </w:rPr>
              <w:t>27,320</w:t>
            </w:r>
          </w:p>
        </w:tc>
        <w:tc>
          <w:tcPr>
            <w:tcW w:type="dxa" w:w="1098"/>
          </w:tcPr>
          <w:p>
            <w:pPr>
              <w:pStyle w:val="MDPI42tablebody"/>
              <w:keepNext/>
              <w:spacing w:line="240" w:lineRule="auto" w:before="30" w:after="30"/>
              <w:jc w:val="center"/>
            </w:pPr>
            <w:r>
              <w:rPr>
                <w:b w:val="0"/>
                <w:i w:val="0"/>
                <w:sz w:val="16"/>
              </w:rPr>
              <w:t>2.086</w:t>
            </w:r>
          </w:p>
        </w:tc>
        <w:tc>
          <w:tcPr>
            <w:tcW w:type="dxa" w:w="1098"/>
          </w:tcPr>
          <w:p>
            <w:pPr>
              <w:pStyle w:val="MDPI42tablebody"/>
              <w:keepNext/>
              <w:spacing w:line="240" w:lineRule="auto" w:before="30" w:after="30"/>
              <w:jc w:val="center"/>
            </w:pPr>
            <w:r>
              <w:rPr>
                <w:b w:val="0"/>
                <w:i w:val="0"/>
                <w:sz w:val="16"/>
              </w:rPr>
              <w:t>1.100</w:t>
            </w:r>
          </w:p>
        </w:tc>
        <w:tc>
          <w:tcPr>
            <w:tcW w:type="dxa" w:w="1098"/>
          </w:tcPr>
          <w:p>
            <w:pPr>
              <w:pStyle w:val="MDPI42tablebody"/>
              <w:keepNext/>
              <w:spacing w:line="240" w:lineRule="auto" w:before="30" w:after="30"/>
              <w:jc w:val="center"/>
            </w:pPr>
            <w:r>
              <w:rPr>
                <w:b w:val="0"/>
                <w:i w:val="0"/>
                <w:sz w:val="16"/>
              </w:rPr>
              <w:t>1.167</w:t>
            </w:r>
          </w:p>
        </w:tc>
        <w:tc>
          <w:tcPr>
            <w:tcW w:type="dxa" w:w="1098"/>
          </w:tcPr>
          <w:p>
            <w:pPr>
              <w:pStyle w:val="MDPI42tablebody"/>
              <w:keepNext/>
              <w:spacing w:line="240" w:lineRule="auto" w:before="30" w:after="30"/>
              <w:jc w:val="center"/>
            </w:pPr>
            <w:r>
              <w:rPr>
                <w:b w:val="0"/>
                <w:i w:val="0"/>
                <w:sz w:val="16"/>
              </w:rPr>
              <w:t>2.002</w:t>
            </w:r>
          </w:p>
        </w:tc>
        <w:tc>
          <w:tcPr>
            <w:tcW w:type="dxa" w:w="1098"/>
          </w:tcPr>
          <w:p>
            <w:pPr>
              <w:pStyle w:val="MDPI42tablebody"/>
              <w:keepNext/>
              <w:spacing w:line="240" w:lineRule="auto" w:before="30" w:after="30"/>
              <w:jc w:val="center"/>
            </w:pPr>
            <w:r>
              <w:rPr>
                <w:b w:val="0"/>
                <w:i w:val="0"/>
                <w:sz w:val="16"/>
              </w:rPr>
              <w:t>2.856</w:t>
            </w:r>
          </w:p>
        </w:tc>
        <w:tc>
          <w:tcPr>
            <w:tcW w:type="dxa" w:w="1098"/>
          </w:tcPr>
          <w:p>
            <w:pPr>
              <w:pStyle w:val="MDPI42tablebody"/>
              <w:keepNext/>
              <w:spacing w:line="240" w:lineRule="auto" w:before="30" w:after="30"/>
              <w:jc w:val="center"/>
            </w:pPr>
            <w:r>
              <w:rPr>
                <w:b w:val="0"/>
                <w:i w:val="0"/>
                <w:sz w:val="16"/>
              </w:rPr>
              <w:t>0.600</w:t>
            </w:r>
          </w:p>
        </w:tc>
        <w:tc>
          <w:tcPr>
            <w:tcW w:type="dxa" w:w="1098"/>
          </w:tcPr>
          <w:p>
            <w:pPr>
              <w:pStyle w:val="MDPI42tablebody"/>
              <w:keepNext/>
              <w:spacing w:line="240" w:lineRule="auto" w:before="30" w:after="30"/>
              <w:jc w:val="center"/>
            </w:pPr>
            <w:r>
              <w:rPr>
                <w:b w:val="0"/>
                <w:i w:val="0"/>
                <w:sz w:val="16"/>
              </w:rPr>
              <w:t>4.939</w:t>
            </w:r>
          </w:p>
        </w:tc>
      </w:tr>
      <w:tr>
        <w:trPr>
          <w:cantSplit/>
        </w:trPr>
        <w:tc>
          <w:tcPr>
            <w:tcW w:type="dxa" w:w="1674"/>
          </w:tcPr>
          <w:p>
            <w:pPr>
              <w:pStyle w:val="MDPI42tablebody"/>
              <w:spacing w:line="240" w:lineRule="auto" w:before="30" w:after="30"/>
              <w:jc w:val="left"/>
            </w:pPr>
            <w:r>
              <w:rPr>
                <w:b w:val="0"/>
                <w:i/>
                <w:sz w:val="16"/>
              </w:rPr>
              <w:t>Fixed</w:t>
            </w:r>
          </w:p>
        </w:tc>
        <w:tc>
          <w:tcPr>
            <w:tcW w:type="dxa" w:w="1098"/>
          </w:tcPr>
          <w:p>
            <w:pPr>
              <w:pStyle w:val="MDPI42tablebody"/>
              <w:spacing w:line="240" w:lineRule="auto" w:before="30" w:after="30"/>
              <w:jc w:val="center"/>
            </w:pPr>
            <w:r>
              <w:rPr>
                <w:b w:val="0"/>
                <w:i w:val="0"/>
                <w:sz w:val="16"/>
              </w:rPr>
              <w:t>27,320</w:t>
            </w:r>
          </w:p>
        </w:tc>
        <w:tc>
          <w:tcPr>
            <w:tcW w:type="dxa" w:w="1098"/>
          </w:tcPr>
          <w:p>
            <w:pPr>
              <w:pStyle w:val="MDPI42tablebody"/>
              <w:spacing w:line="240" w:lineRule="auto" w:before="30" w:after="30"/>
              <w:jc w:val="center"/>
            </w:pPr>
            <w:r>
              <w:rPr>
                <w:b w:val="0"/>
                <w:i w:val="0"/>
                <w:sz w:val="16"/>
              </w:rPr>
              <w:t>0.197</w:t>
            </w:r>
          </w:p>
        </w:tc>
        <w:tc>
          <w:tcPr>
            <w:tcW w:type="dxa" w:w="1098"/>
          </w:tcPr>
          <w:p>
            <w:pPr>
              <w:pStyle w:val="MDPI42tablebody"/>
              <w:spacing w:line="240" w:lineRule="auto" w:before="30" w:after="30"/>
              <w:jc w:val="center"/>
            </w:pPr>
            <w:r>
              <w:rPr>
                <w:b w:val="0"/>
                <w:i w:val="0"/>
                <w:sz w:val="16"/>
              </w:rPr>
              <w:t>0.125</w:t>
            </w:r>
          </w:p>
        </w:tc>
        <w:tc>
          <w:tcPr>
            <w:tcW w:type="dxa" w:w="1098"/>
          </w:tcPr>
          <w:p>
            <w:pPr>
              <w:pStyle w:val="MDPI42tablebody"/>
              <w:spacing w:line="240" w:lineRule="auto" w:before="30" w:after="30"/>
              <w:jc w:val="center"/>
            </w:pPr>
            <w:r>
              <w:rPr>
                <w:b w:val="0"/>
                <w:i w:val="0"/>
                <w:sz w:val="16"/>
              </w:rPr>
              <w:t>0.101</w:t>
            </w:r>
          </w:p>
        </w:tc>
        <w:tc>
          <w:tcPr>
            <w:tcW w:type="dxa" w:w="1098"/>
          </w:tcPr>
          <w:p>
            <w:pPr>
              <w:pStyle w:val="MDPI42tablebody"/>
              <w:spacing w:line="240" w:lineRule="auto" w:before="30" w:after="30"/>
              <w:jc w:val="center"/>
            </w:pPr>
            <w:r>
              <w:rPr>
                <w:b w:val="0"/>
                <w:i w:val="0"/>
                <w:sz w:val="16"/>
              </w:rPr>
              <w:t>0.192</w:t>
            </w:r>
          </w:p>
        </w:tc>
        <w:tc>
          <w:tcPr>
            <w:tcW w:type="dxa" w:w="1098"/>
          </w:tcPr>
          <w:p>
            <w:pPr>
              <w:pStyle w:val="MDPI42tablebody"/>
              <w:spacing w:line="240" w:lineRule="auto" w:before="30" w:after="30"/>
              <w:jc w:val="center"/>
            </w:pPr>
            <w:r>
              <w:rPr>
                <w:b w:val="0"/>
                <w:i w:val="0"/>
                <w:sz w:val="16"/>
              </w:rPr>
              <w:t>0.282</w:t>
            </w:r>
          </w:p>
        </w:tc>
        <w:tc>
          <w:tcPr>
            <w:tcW w:type="dxa" w:w="1098"/>
          </w:tcPr>
          <w:p>
            <w:pPr>
              <w:pStyle w:val="MDPI42tablebody"/>
              <w:spacing w:line="240" w:lineRule="auto" w:before="30" w:after="30"/>
              <w:jc w:val="center"/>
            </w:pPr>
            <w:r>
              <w:rPr>
                <w:b w:val="0"/>
                <w:i w:val="0"/>
                <w:sz w:val="16"/>
              </w:rPr>
              <w:t>0.002</w:t>
            </w:r>
          </w:p>
        </w:tc>
        <w:tc>
          <w:tcPr>
            <w:tcW w:type="dxa" w:w="1098"/>
          </w:tcPr>
          <w:p>
            <w:pPr>
              <w:pStyle w:val="MDPI42tablebody"/>
              <w:spacing w:line="240" w:lineRule="auto" w:before="30" w:after="30"/>
              <w:jc w:val="center"/>
            </w:pPr>
            <w:r>
              <w:rPr>
                <w:b w:val="0"/>
                <w:i w:val="0"/>
                <w:sz w:val="16"/>
              </w:rPr>
              <w:t>0.511</w:t>
            </w:r>
          </w:p>
        </w:tc>
      </w:tr>
    </w:tbl>
    <w:p>
      <w:pPr>
        <w:pStyle w:val="MDPI43tablefooter"/>
        <w:spacing w:line="240" w:lineRule="auto" w:before="40" w:after="200"/>
        <w:ind w:left="2608" w:firstLine="0"/>
      </w:pPr>
      <w:r>
        <w:rPr>
          <w:sz w:val="16"/>
        </w:rPr>
        <w:t xml:space="preserve">Note: </w:t>
      </w:r>
      <w:r>
        <w:rPr>
          <w:b w:val="0"/>
          <w:i w:val="0"/>
          <w:sz w:val="16"/>
        </w:rPr>
        <w:t>The sample covers Chinese A-share listed firms. All continuous variables are winsorised at the 1st and 99th percentiles. Variable definitions are given in Table 1.</w:t>
      </w:r>
    </w:p>
    <w:p>
      <w:pPr>
        <w:pStyle w:val="MDPI52figure"/>
        <w:keepNext/>
        <w:ind w:left="2608" w:firstLine="0"/>
        <w:jc w:val="center"/>
      </w:pPr>
      <w:r>
        <w:drawing>
          <wp:inline xmlns:a="http://schemas.openxmlformats.org/drawingml/2006/main" xmlns:pic="http://schemas.openxmlformats.org/drawingml/2006/picture">
            <wp:extent cx="4968000" cy="2595432"/>
            <wp:docPr id="1" name="Picture 1"/>
            <wp:cNvGraphicFramePr>
              <a:graphicFrameLocks noChangeAspect="1"/>
            </wp:cNvGraphicFramePr>
            <a:graphic>
              <a:graphicData uri="http://schemas.openxmlformats.org/drawingml/2006/picture">
                <pic:pic>
                  <pic:nvPicPr>
                    <pic:cNvPr id="0" name="figure1_trends.png"/>
                    <pic:cNvPicPr/>
                  </pic:nvPicPr>
                  <pic:blipFill>
                    <a:blip r:embed="rId1"/>
                    <a:stretch>
                      <a:fillRect/>
                    </a:stretch>
                  </pic:blipFill>
                  <pic:spPr>
                    <a:xfrm>
                      <a:off x="0" y="0"/>
                      <a:ext cx="4968000" cy="2595432"/>
                    </a:xfrm>
                    <a:prstGeom prst="rect"/>
                  </pic:spPr>
                </pic:pic>
              </a:graphicData>
            </a:graphic>
          </wp:inline>
        </w:drawing>
      </w:r>
    </w:p>
    <w:p>
      <w:pPr>
        <w:pStyle w:val="MDPI51figurecaption"/>
        <w:spacing w:after="200"/>
      </w:pPr>
      <w:r>
        <w:rPr>
          <w:b/>
          <w:sz w:val="18"/>
        </w:rPr>
        <w:t xml:space="preserve">Figure 1. </w:t>
      </w:r>
      <w:r>
        <w:rPr>
          <w:b w:val="0"/>
          <w:i w:val="0"/>
          <w:sz w:val="18"/>
        </w:rPr>
        <w:t>Generative AI adoption depth and the youth employment share of Chinese listed firms, 2016–2025.</w:t>
      </w:r>
    </w:p>
    <w:p>
      <w:pPr>
        <w:pStyle w:val="MDPI22heading2"/>
      </w:pPr>
      <w:r>
        <w:t>4.2. Pearson Correlation Analysis</w:t>
      </w:r>
    </w:p>
    <w:p>
      <w:pPr>
        <w:pStyle w:val="MDPI32textnoindent"/>
      </w:pPr>
      <w:r>
        <w:rPr>
          <w:b w:val="0"/>
          <w:i w:val="0"/>
        </w:rPr>
        <w:t>Table 3 reports pairwise correlations. Adoption depth is positively correlated with the augmentation channel and with the automation channel, as the mechanism implies, and its raw correlation with the youth share is small, which is the first hint that a linear summary will not be informative. Correlations among the regressors are moderate; excluding the mechanical correlation between adoption depth and its own square, variance inflation factors have a maximum of 1.00 and a mean of 1.00, far below the conventional threshold of ten, so multicollinearity is not a concern.</w:t>
      </w:r>
    </w:p>
    <w:p>
      <w:pPr>
        <w:pStyle w:val="MDPI41tablecaption"/>
        <w:keepNext/>
        <w:spacing w:after="60"/>
      </w:pPr>
      <w:r>
        <w:rPr>
          <w:b/>
          <w:sz w:val="18"/>
        </w:rPr>
        <w:t xml:space="preserve">Table 3. </w:t>
      </w:r>
      <w:r>
        <w:rPr>
          <w:b w:val="0"/>
          <w:i w:val="0"/>
          <w:sz w:val="18"/>
        </w:rPr>
        <w:t>Pearson correlations of the main variables.</w:t>
      </w:r>
    </w:p>
    <w:tbl>
      <w:tblPr>
        <w:tblStyle w:val="MDPI41threelinetable"/>
        <w:tblW w:w="10466"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CellMar>
          <w:top w:w="0" w:type="dxa"/>
          <w:left w:w="57" w:type="dxa"/>
          <w:bottom w:w="0" w:type="dxa"/>
          <w:right w:w="57" w:type="dxa"/>
        </w:tblCellMar>
        <w:tblLook w:firstColumn="1" w:firstRow="1" w:lastColumn="0" w:lastRow="0" w:noHBand="0" w:noVBand="1" w:val="04A0"/>
      </w:tblPr>
      <w:tblGrid>
        <w:gridCol w:w="1464"/>
        <w:gridCol w:w="1000"/>
        <w:gridCol w:w="1000"/>
        <w:gridCol w:w="1000"/>
        <w:gridCol w:w="1000"/>
        <w:gridCol w:w="1000"/>
        <w:gridCol w:w="1000"/>
        <w:gridCol w:w="1000"/>
        <w:gridCol w:w="1000"/>
        <w:gridCol w:w="1000"/>
      </w:tblGrid>
      <w:tr>
        <w:trPr>
          <w:cantSplit/>
          <w:tblHeader/>
        </w:trPr>
        <w:tc>
          <w:tcPr>
            <w:tcW w:type="dxa" w:w="1464"/>
            <w:tcBorders>
              <w:bottom w:val="single" w:sz="8" w:space="0" w:color="auto"/>
            </w:tcBorders>
          </w:tcPr>
          <w:p>
            <w:pPr>
              <w:pStyle w:val="MDPI42tablebody"/>
              <w:keepNext/>
              <w:spacing w:line="240" w:lineRule="auto" w:before="30" w:after="30"/>
              <w:jc w:val="center"/>
            </w:pPr>
            <w:r>
              <w:rPr>
                <w:b/>
                <w:i w:val="0"/>
                <w:sz w:val="15"/>
              </w:rPr>
              <w:t>Variable</w:t>
            </w:r>
          </w:p>
        </w:tc>
        <w:tc>
          <w:tcPr>
            <w:tcW w:type="dxa" w:w="1000"/>
            <w:tcBorders>
              <w:bottom w:val="single" w:sz="8" w:space="0" w:color="auto"/>
            </w:tcBorders>
          </w:tcPr>
          <w:p>
            <w:pPr>
              <w:pStyle w:val="MDPI42tablebody"/>
              <w:keepNext/>
              <w:spacing w:line="240" w:lineRule="auto" w:before="30" w:after="30"/>
              <w:jc w:val="center"/>
            </w:pPr>
            <w:r>
              <w:rPr>
                <w:b/>
                <w:i w:val="0"/>
                <w:sz w:val="15"/>
              </w:rPr>
              <w:t>Youth</w:t>
            </w:r>
          </w:p>
        </w:tc>
        <w:tc>
          <w:tcPr>
            <w:tcW w:type="dxa" w:w="1000"/>
            <w:tcBorders>
              <w:bottom w:val="single" w:sz="8" w:space="0" w:color="auto"/>
            </w:tcBorders>
          </w:tcPr>
          <w:p>
            <w:pPr>
              <w:pStyle w:val="MDPI42tablebody"/>
              <w:keepNext/>
              <w:spacing w:line="240" w:lineRule="auto" w:before="30" w:after="30"/>
              <w:jc w:val="center"/>
            </w:pPr>
            <w:r>
              <w:rPr>
                <w:b/>
                <w:i w:val="0"/>
                <w:sz w:val="15"/>
              </w:rPr>
              <w:t>AI</w:t>
            </w:r>
          </w:p>
        </w:tc>
        <w:tc>
          <w:tcPr>
            <w:tcW w:type="dxa" w:w="1000"/>
            <w:tcBorders>
              <w:bottom w:val="single" w:sz="8" w:space="0" w:color="auto"/>
            </w:tcBorders>
          </w:tcPr>
          <w:p>
            <w:pPr>
              <w:pStyle w:val="MDPI42tablebody"/>
              <w:keepNext/>
              <w:spacing w:line="240" w:lineRule="auto" w:before="30" w:after="30"/>
              <w:jc w:val="center"/>
            </w:pPr>
            <w:r>
              <w:rPr>
                <w:b/>
                <w:i w:val="0"/>
                <w:sz w:val="15"/>
              </w:rPr>
              <w:t>AUG</w:t>
            </w:r>
          </w:p>
        </w:tc>
        <w:tc>
          <w:tcPr>
            <w:tcW w:type="dxa" w:w="1000"/>
            <w:tcBorders>
              <w:bottom w:val="single" w:sz="8" w:space="0" w:color="auto"/>
            </w:tcBorders>
          </w:tcPr>
          <w:p>
            <w:pPr>
              <w:pStyle w:val="MDPI42tablebody"/>
              <w:keepNext/>
              <w:spacing w:line="240" w:lineRule="auto" w:before="30" w:after="30"/>
              <w:jc w:val="center"/>
            </w:pPr>
            <w:r>
              <w:rPr>
                <w:b/>
                <w:i w:val="0"/>
                <w:sz w:val="15"/>
              </w:rPr>
              <w:t>AUT</w:t>
            </w:r>
          </w:p>
        </w:tc>
        <w:tc>
          <w:tcPr>
            <w:tcW w:type="dxa" w:w="1000"/>
            <w:tcBorders>
              <w:bottom w:val="single" w:sz="8" w:space="0" w:color="auto"/>
            </w:tcBorders>
          </w:tcPr>
          <w:p>
            <w:pPr>
              <w:pStyle w:val="MDPI42tablebody"/>
              <w:keepNext/>
              <w:spacing w:line="240" w:lineRule="auto" w:before="30" w:after="30"/>
              <w:jc w:val="center"/>
            </w:pPr>
            <w:r>
              <w:rPr>
                <w:b/>
                <w:i w:val="0"/>
                <w:sz w:val="15"/>
              </w:rPr>
              <w:t>OLC</w:t>
            </w:r>
          </w:p>
        </w:tc>
        <w:tc>
          <w:tcPr>
            <w:tcW w:type="dxa" w:w="1000"/>
            <w:tcBorders>
              <w:bottom w:val="single" w:sz="8" w:space="0" w:color="auto"/>
            </w:tcBorders>
          </w:tcPr>
          <w:p>
            <w:pPr>
              <w:pStyle w:val="MDPI42tablebody"/>
              <w:keepNext/>
              <w:spacing w:line="240" w:lineRule="auto" w:before="30" w:after="30"/>
              <w:jc w:val="center"/>
            </w:pPr>
            <w:r>
              <w:rPr>
                <w:b/>
                <w:i w:val="0"/>
                <w:sz w:val="15"/>
              </w:rPr>
              <w:t>AIGov</w:t>
            </w:r>
          </w:p>
        </w:tc>
        <w:tc>
          <w:tcPr>
            <w:tcW w:type="dxa" w:w="1000"/>
            <w:tcBorders>
              <w:bottom w:val="single" w:sz="8" w:space="0" w:color="auto"/>
            </w:tcBorders>
          </w:tcPr>
          <w:p>
            <w:pPr>
              <w:pStyle w:val="MDPI42tablebody"/>
              <w:keepNext/>
              <w:spacing w:line="240" w:lineRule="auto" w:before="30" w:after="30"/>
              <w:jc w:val="center"/>
            </w:pPr>
            <w:r>
              <w:rPr>
                <w:b/>
                <w:i w:val="0"/>
                <w:sz w:val="15"/>
              </w:rPr>
              <w:t>LCP</w:t>
            </w:r>
          </w:p>
        </w:tc>
        <w:tc>
          <w:tcPr>
            <w:tcW w:type="dxa" w:w="1000"/>
            <w:tcBorders>
              <w:bottom w:val="single" w:sz="8" w:space="0" w:color="auto"/>
            </w:tcBorders>
          </w:tcPr>
          <w:p>
            <w:pPr>
              <w:pStyle w:val="MDPI42tablebody"/>
              <w:keepNext/>
              <w:spacing w:line="240" w:lineRule="auto" w:before="30" w:after="30"/>
              <w:jc w:val="center"/>
            </w:pPr>
            <w:r>
              <w:rPr>
                <w:b/>
                <w:i w:val="0"/>
                <w:sz w:val="15"/>
              </w:rPr>
              <w:t>Size</w:t>
            </w:r>
          </w:p>
        </w:tc>
        <w:tc>
          <w:tcPr>
            <w:tcW w:type="dxa" w:w="1000"/>
            <w:tcBorders>
              <w:bottom w:val="single" w:sz="8" w:space="0" w:color="auto"/>
            </w:tcBorders>
          </w:tcPr>
          <w:p>
            <w:pPr>
              <w:pStyle w:val="MDPI42tablebody"/>
              <w:keepNext/>
              <w:spacing w:line="240" w:lineRule="auto" w:before="30" w:after="30"/>
              <w:jc w:val="center"/>
            </w:pPr>
            <w:r>
              <w:rPr>
                <w:b/>
                <w:i w:val="0"/>
                <w:sz w:val="15"/>
              </w:rPr>
              <w:t>Lev</w:t>
            </w:r>
          </w:p>
        </w:tc>
      </w:tr>
      <w:tr>
        <w:trPr>
          <w:cantSplit/>
        </w:trPr>
        <w:tc>
          <w:tcPr>
            <w:tcW w:type="dxa" w:w="1464"/>
          </w:tcPr>
          <w:p>
            <w:pPr>
              <w:pStyle w:val="MDPI42tablebody"/>
              <w:keepNext/>
              <w:spacing w:line="240" w:lineRule="auto" w:before="30" w:after="30"/>
              <w:jc w:val="left"/>
            </w:pPr>
            <w:r>
              <w:rPr>
                <w:b w:val="0"/>
                <w:i/>
                <w:sz w:val="15"/>
              </w:rPr>
              <w:t>Youth</w:t>
            </w:r>
          </w:p>
        </w:tc>
        <w:tc>
          <w:tcPr>
            <w:tcW w:type="dxa" w:w="1000"/>
          </w:tcPr>
          <w:p>
            <w:pPr>
              <w:pStyle w:val="MDPI42tablebody"/>
              <w:keepNext/>
              <w:spacing w:line="240" w:lineRule="auto" w:before="30" w:after="30"/>
              <w:jc w:val="center"/>
            </w:pPr>
            <w:r>
              <w:rPr>
                <w:b w:val="0"/>
                <w:i w:val="0"/>
                <w:sz w:val="15"/>
              </w:rPr>
              <w:t>1.000</w:t>
            </w:r>
          </w:p>
        </w:tc>
        <w:tc>
          <w:tcPr>
            <w:tcW w:type="dxa" w:w="1000"/>
          </w:tcPr>
          <w:p>
            <w:pPr>
              <w:pStyle w:val="MDPI42tablebody"/>
              <w:keepNext/>
              <w:spacing w:line="240" w:lineRule="auto" w:before="30" w:after="30"/>
              <w:jc w:val="center"/>
            </w:pPr>
          </w:p>
        </w:tc>
        <w:tc>
          <w:tcPr>
            <w:tcW w:type="dxa" w:w="1000"/>
          </w:tcPr>
          <w:p>
            <w:pPr>
              <w:pStyle w:val="MDPI42tablebody"/>
              <w:keepNext/>
              <w:spacing w:line="240" w:lineRule="auto" w:before="30" w:after="30"/>
              <w:jc w:val="center"/>
            </w:pPr>
          </w:p>
        </w:tc>
        <w:tc>
          <w:tcPr>
            <w:tcW w:type="dxa" w:w="1000"/>
          </w:tcPr>
          <w:p>
            <w:pPr>
              <w:pStyle w:val="MDPI42tablebody"/>
              <w:keepNext/>
              <w:spacing w:line="240" w:lineRule="auto" w:before="30" w:after="30"/>
              <w:jc w:val="center"/>
            </w:pPr>
          </w:p>
        </w:tc>
        <w:tc>
          <w:tcPr>
            <w:tcW w:type="dxa" w:w="1000"/>
          </w:tcPr>
          <w:p>
            <w:pPr>
              <w:pStyle w:val="MDPI42tablebody"/>
              <w:keepNext/>
              <w:spacing w:line="240" w:lineRule="auto" w:before="30" w:after="30"/>
              <w:jc w:val="center"/>
            </w:pPr>
          </w:p>
        </w:tc>
        <w:tc>
          <w:tcPr>
            <w:tcW w:type="dxa" w:w="1000"/>
          </w:tcPr>
          <w:p>
            <w:pPr>
              <w:pStyle w:val="MDPI42tablebody"/>
              <w:keepNext/>
              <w:spacing w:line="240" w:lineRule="auto" w:before="30" w:after="30"/>
              <w:jc w:val="center"/>
            </w:pPr>
          </w:p>
        </w:tc>
        <w:tc>
          <w:tcPr>
            <w:tcW w:type="dxa" w:w="1000"/>
          </w:tcPr>
          <w:p>
            <w:pPr>
              <w:pStyle w:val="MDPI42tablebody"/>
              <w:keepNext/>
              <w:spacing w:line="240" w:lineRule="auto" w:before="30" w:after="30"/>
              <w:jc w:val="center"/>
            </w:pPr>
          </w:p>
        </w:tc>
        <w:tc>
          <w:tcPr>
            <w:tcW w:type="dxa" w:w="1000"/>
          </w:tcPr>
          <w:p>
            <w:pPr>
              <w:pStyle w:val="MDPI42tablebody"/>
              <w:keepNext/>
              <w:spacing w:line="240" w:lineRule="auto" w:before="30" w:after="30"/>
              <w:jc w:val="center"/>
            </w:pPr>
          </w:p>
        </w:tc>
        <w:tc>
          <w:tcPr>
            <w:tcW w:type="dxa" w:w="1000"/>
          </w:tcPr>
          <w:p>
            <w:pPr>
              <w:pStyle w:val="MDPI42tablebody"/>
              <w:keepNext/>
              <w:spacing w:line="240" w:lineRule="auto" w:before="30" w:after="30"/>
              <w:jc w:val="center"/>
            </w:pPr>
          </w:p>
        </w:tc>
      </w:tr>
      <w:tr>
        <w:trPr>
          <w:cantSplit/>
        </w:trPr>
        <w:tc>
          <w:tcPr>
            <w:tcW w:type="dxa" w:w="1464"/>
          </w:tcPr>
          <w:p>
            <w:pPr>
              <w:pStyle w:val="MDPI42tablebody"/>
              <w:keepNext/>
              <w:spacing w:line="240" w:lineRule="auto" w:before="30" w:after="30"/>
              <w:jc w:val="left"/>
            </w:pPr>
            <w:r>
              <w:rPr>
                <w:b w:val="0"/>
                <w:i/>
                <w:sz w:val="15"/>
              </w:rPr>
              <w:t>AI</w:t>
            </w:r>
          </w:p>
        </w:tc>
        <w:tc>
          <w:tcPr>
            <w:tcW w:type="dxa" w:w="1000"/>
          </w:tcPr>
          <w:p>
            <w:pPr>
              <w:pStyle w:val="MDPI42tablebody"/>
              <w:keepNext/>
              <w:spacing w:line="240" w:lineRule="auto" w:before="30" w:after="30"/>
              <w:jc w:val="center"/>
            </w:pPr>
            <w:r>
              <w:rPr>
                <w:b w:val="0"/>
                <w:i w:val="0"/>
                <w:sz w:val="15"/>
              </w:rPr>
              <w:t>−0.047***</w:t>
            </w:r>
          </w:p>
        </w:tc>
        <w:tc>
          <w:tcPr>
            <w:tcW w:type="dxa" w:w="1000"/>
          </w:tcPr>
          <w:p>
            <w:pPr>
              <w:pStyle w:val="MDPI42tablebody"/>
              <w:keepNext/>
              <w:spacing w:line="240" w:lineRule="auto" w:before="30" w:after="30"/>
              <w:jc w:val="center"/>
            </w:pPr>
            <w:r>
              <w:rPr>
                <w:b w:val="0"/>
                <w:i w:val="0"/>
                <w:sz w:val="15"/>
              </w:rPr>
              <w:t>1.000</w:t>
            </w:r>
          </w:p>
        </w:tc>
        <w:tc>
          <w:tcPr>
            <w:tcW w:type="dxa" w:w="1000"/>
          </w:tcPr>
          <w:p>
            <w:pPr>
              <w:pStyle w:val="MDPI42tablebody"/>
              <w:keepNext/>
              <w:spacing w:line="240" w:lineRule="auto" w:before="30" w:after="30"/>
              <w:jc w:val="center"/>
            </w:pPr>
          </w:p>
        </w:tc>
        <w:tc>
          <w:tcPr>
            <w:tcW w:type="dxa" w:w="1000"/>
          </w:tcPr>
          <w:p>
            <w:pPr>
              <w:pStyle w:val="MDPI42tablebody"/>
              <w:keepNext/>
              <w:spacing w:line="240" w:lineRule="auto" w:before="30" w:after="30"/>
              <w:jc w:val="center"/>
            </w:pPr>
          </w:p>
        </w:tc>
        <w:tc>
          <w:tcPr>
            <w:tcW w:type="dxa" w:w="1000"/>
          </w:tcPr>
          <w:p>
            <w:pPr>
              <w:pStyle w:val="MDPI42tablebody"/>
              <w:keepNext/>
              <w:spacing w:line="240" w:lineRule="auto" w:before="30" w:after="30"/>
              <w:jc w:val="center"/>
            </w:pPr>
          </w:p>
        </w:tc>
        <w:tc>
          <w:tcPr>
            <w:tcW w:type="dxa" w:w="1000"/>
          </w:tcPr>
          <w:p>
            <w:pPr>
              <w:pStyle w:val="MDPI42tablebody"/>
              <w:keepNext/>
              <w:spacing w:line="240" w:lineRule="auto" w:before="30" w:after="30"/>
              <w:jc w:val="center"/>
            </w:pPr>
          </w:p>
        </w:tc>
        <w:tc>
          <w:tcPr>
            <w:tcW w:type="dxa" w:w="1000"/>
          </w:tcPr>
          <w:p>
            <w:pPr>
              <w:pStyle w:val="MDPI42tablebody"/>
              <w:keepNext/>
              <w:spacing w:line="240" w:lineRule="auto" w:before="30" w:after="30"/>
              <w:jc w:val="center"/>
            </w:pPr>
          </w:p>
        </w:tc>
        <w:tc>
          <w:tcPr>
            <w:tcW w:type="dxa" w:w="1000"/>
          </w:tcPr>
          <w:p>
            <w:pPr>
              <w:pStyle w:val="MDPI42tablebody"/>
              <w:keepNext/>
              <w:spacing w:line="240" w:lineRule="auto" w:before="30" w:after="30"/>
              <w:jc w:val="center"/>
            </w:pPr>
          </w:p>
        </w:tc>
        <w:tc>
          <w:tcPr>
            <w:tcW w:type="dxa" w:w="1000"/>
          </w:tcPr>
          <w:p>
            <w:pPr>
              <w:pStyle w:val="MDPI42tablebody"/>
              <w:keepNext/>
              <w:spacing w:line="240" w:lineRule="auto" w:before="30" w:after="30"/>
              <w:jc w:val="center"/>
            </w:pPr>
          </w:p>
        </w:tc>
      </w:tr>
      <w:tr>
        <w:trPr>
          <w:cantSplit/>
        </w:trPr>
        <w:tc>
          <w:tcPr>
            <w:tcW w:type="dxa" w:w="1464"/>
          </w:tcPr>
          <w:p>
            <w:pPr>
              <w:pStyle w:val="MDPI42tablebody"/>
              <w:keepNext/>
              <w:spacing w:line="240" w:lineRule="auto" w:before="30" w:after="30"/>
              <w:jc w:val="left"/>
            </w:pPr>
            <w:r>
              <w:rPr>
                <w:b w:val="0"/>
                <w:i/>
                <w:sz w:val="15"/>
              </w:rPr>
              <w:t>AUG</w:t>
            </w:r>
          </w:p>
        </w:tc>
        <w:tc>
          <w:tcPr>
            <w:tcW w:type="dxa" w:w="1000"/>
          </w:tcPr>
          <w:p>
            <w:pPr>
              <w:pStyle w:val="MDPI42tablebody"/>
              <w:keepNext/>
              <w:spacing w:line="240" w:lineRule="auto" w:before="30" w:after="30"/>
              <w:jc w:val="center"/>
            </w:pPr>
            <w:r>
              <w:rPr>
                <w:b w:val="0"/>
                <w:i w:val="0"/>
                <w:sz w:val="15"/>
              </w:rPr>
              <w:t>0.227***</w:t>
            </w:r>
          </w:p>
        </w:tc>
        <w:tc>
          <w:tcPr>
            <w:tcW w:type="dxa" w:w="1000"/>
          </w:tcPr>
          <w:p>
            <w:pPr>
              <w:pStyle w:val="MDPI42tablebody"/>
              <w:keepNext/>
              <w:spacing w:line="240" w:lineRule="auto" w:before="30" w:after="30"/>
              <w:jc w:val="center"/>
            </w:pPr>
            <w:r>
              <w:rPr>
                <w:b w:val="0"/>
                <w:i w:val="0"/>
                <w:sz w:val="15"/>
              </w:rPr>
              <w:t>0.689***</w:t>
            </w:r>
          </w:p>
        </w:tc>
        <w:tc>
          <w:tcPr>
            <w:tcW w:type="dxa" w:w="1000"/>
          </w:tcPr>
          <w:p>
            <w:pPr>
              <w:pStyle w:val="MDPI42tablebody"/>
              <w:keepNext/>
              <w:spacing w:line="240" w:lineRule="auto" w:before="30" w:after="30"/>
              <w:jc w:val="center"/>
            </w:pPr>
            <w:r>
              <w:rPr>
                <w:b w:val="0"/>
                <w:i w:val="0"/>
                <w:sz w:val="15"/>
              </w:rPr>
              <w:t>1.000</w:t>
            </w:r>
          </w:p>
        </w:tc>
        <w:tc>
          <w:tcPr>
            <w:tcW w:type="dxa" w:w="1000"/>
          </w:tcPr>
          <w:p>
            <w:pPr>
              <w:pStyle w:val="MDPI42tablebody"/>
              <w:keepNext/>
              <w:spacing w:line="240" w:lineRule="auto" w:before="30" w:after="30"/>
              <w:jc w:val="center"/>
            </w:pPr>
          </w:p>
        </w:tc>
        <w:tc>
          <w:tcPr>
            <w:tcW w:type="dxa" w:w="1000"/>
          </w:tcPr>
          <w:p>
            <w:pPr>
              <w:pStyle w:val="MDPI42tablebody"/>
              <w:keepNext/>
              <w:spacing w:line="240" w:lineRule="auto" w:before="30" w:after="30"/>
              <w:jc w:val="center"/>
            </w:pPr>
          </w:p>
        </w:tc>
        <w:tc>
          <w:tcPr>
            <w:tcW w:type="dxa" w:w="1000"/>
          </w:tcPr>
          <w:p>
            <w:pPr>
              <w:pStyle w:val="MDPI42tablebody"/>
              <w:keepNext/>
              <w:spacing w:line="240" w:lineRule="auto" w:before="30" w:after="30"/>
              <w:jc w:val="center"/>
            </w:pPr>
          </w:p>
        </w:tc>
        <w:tc>
          <w:tcPr>
            <w:tcW w:type="dxa" w:w="1000"/>
          </w:tcPr>
          <w:p>
            <w:pPr>
              <w:pStyle w:val="MDPI42tablebody"/>
              <w:keepNext/>
              <w:spacing w:line="240" w:lineRule="auto" w:before="30" w:after="30"/>
              <w:jc w:val="center"/>
            </w:pPr>
          </w:p>
        </w:tc>
        <w:tc>
          <w:tcPr>
            <w:tcW w:type="dxa" w:w="1000"/>
          </w:tcPr>
          <w:p>
            <w:pPr>
              <w:pStyle w:val="MDPI42tablebody"/>
              <w:keepNext/>
              <w:spacing w:line="240" w:lineRule="auto" w:before="30" w:after="30"/>
              <w:jc w:val="center"/>
            </w:pPr>
          </w:p>
        </w:tc>
        <w:tc>
          <w:tcPr>
            <w:tcW w:type="dxa" w:w="1000"/>
          </w:tcPr>
          <w:p>
            <w:pPr>
              <w:pStyle w:val="MDPI42tablebody"/>
              <w:keepNext/>
              <w:spacing w:line="240" w:lineRule="auto" w:before="30" w:after="30"/>
              <w:jc w:val="center"/>
            </w:pPr>
          </w:p>
        </w:tc>
      </w:tr>
      <w:tr>
        <w:trPr>
          <w:cantSplit/>
        </w:trPr>
        <w:tc>
          <w:tcPr>
            <w:tcW w:type="dxa" w:w="1464"/>
          </w:tcPr>
          <w:p>
            <w:pPr>
              <w:pStyle w:val="MDPI42tablebody"/>
              <w:keepNext/>
              <w:spacing w:line="240" w:lineRule="auto" w:before="30" w:after="30"/>
              <w:jc w:val="left"/>
            </w:pPr>
            <w:r>
              <w:rPr>
                <w:b w:val="0"/>
                <w:i/>
                <w:sz w:val="15"/>
              </w:rPr>
              <w:t>AUT</w:t>
            </w:r>
          </w:p>
        </w:tc>
        <w:tc>
          <w:tcPr>
            <w:tcW w:type="dxa" w:w="1000"/>
          </w:tcPr>
          <w:p>
            <w:pPr>
              <w:pStyle w:val="MDPI42tablebody"/>
              <w:keepNext/>
              <w:spacing w:line="240" w:lineRule="auto" w:before="30" w:after="30"/>
              <w:jc w:val="center"/>
            </w:pPr>
            <w:r>
              <w:rPr>
                <w:b w:val="0"/>
                <w:i w:val="0"/>
                <w:sz w:val="15"/>
              </w:rPr>
              <w:t>−0.267***</w:t>
            </w:r>
          </w:p>
        </w:tc>
        <w:tc>
          <w:tcPr>
            <w:tcW w:type="dxa" w:w="1000"/>
          </w:tcPr>
          <w:p>
            <w:pPr>
              <w:pStyle w:val="MDPI42tablebody"/>
              <w:keepNext/>
              <w:spacing w:line="240" w:lineRule="auto" w:before="30" w:after="30"/>
              <w:jc w:val="center"/>
            </w:pPr>
            <w:r>
              <w:rPr>
                <w:b w:val="0"/>
                <w:i w:val="0"/>
                <w:sz w:val="15"/>
              </w:rPr>
              <w:t>0.673***</w:t>
            </w:r>
          </w:p>
        </w:tc>
        <w:tc>
          <w:tcPr>
            <w:tcW w:type="dxa" w:w="1000"/>
          </w:tcPr>
          <w:p>
            <w:pPr>
              <w:pStyle w:val="MDPI42tablebody"/>
              <w:keepNext/>
              <w:spacing w:line="240" w:lineRule="auto" w:before="30" w:after="30"/>
              <w:jc w:val="center"/>
            </w:pPr>
            <w:r>
              <w:rPr>
                <w:b w:val="0"/>
                <w:i w:val="0"/>
                <w:sz w:val="15"/>
              </w:rPr>
              <w:t>0.472***</w:t>
            </w:r>
          </w:p>
        </w:tc>
        <w:tc>
          <w:tcPr>
            <w:tcW w:type="dxa" w:w="1000"/>
          </w:tcPr>
          <w:p>
            <w:pPr>
              <w:pStyle w:val="MDPI42tablebody"/>
              <w:keepNext/>
              <w:spacing w:line="240" w:lineRule="auto" w:before="30" w:after="30"/>
              <w:jc w:val="center"/>
            </w:pPr>
            <w:r>
              <w:rPr>
                <w:b w:val="0"/>
                <w:i w:val="0"/>
                <w:sz w:val="15"/>
              </w:rPr>
              <w:t>1.000</w:t>
            </w:r>
          </w:p>
        </w:tc>
        <w:tc>
          <w:tcPr>
            <w:tcW w:type="dxa" w:w="1000"/>
          </w:tcPr>
          <w:p>
            <w:pPr>
              <w:pStyle w:val="MDPI42tablebody"/>
              <w:keepNext/>
              <w:spacing w:line="240" w:lineRule="auto" w:before="30" w:after="30"/>
              <w:jc w:val="center"/>
            </w:pPr>
          </w:p>
        </w:tc>
        <w:tc>
          <w:tcPr>
            <w:tcW w:type="dxa" w:w="1000"/>
          </w:tcPr>
          <w:p>
            <w:pPr>
              <w:pStyle w:val="MDPI42tablebody"/>
              <w:keepNext/>
              <w:spacing w:line="240" w:lineRule="auto" w:before="30" w:after="30"/>
              <w:jc w:val="center"/>
            </w:pPr>
          </w:p>
        </w:tc>
        <w:tc>
          <w:tcPr>
            <w:tcW w:type="dxa" w:w="1000"/>
          </w:tcPr>
          <w:p>
            <w:pPr>
              <w:pStyle w:val="MDPI42tablebody"/>
              <w:keepNext/>
              <w:spacing w:line="240" w:lineRule="auto" w:before="30" w:after="30"/>
              <w:jc w:val="center"/>
            </w:pPr>
          </w:p>
        </w:tc>
        <w:tc>
          <w:tcPr>
            <w:tcW w:type="dxa" w:w="1000"/>
          </w:tcPr>
          <w:p>
            <w:pPr>
              <w:pStyle w:val="MDPI42tablebody"/>
              <w:keepNext/>
              <w:spacing w:line="240" w:lineRule="auto" w:before="30" w:after="30"/>
              <w:jc w:val="center"/>
            </w:pPr>
          </w:p>
        </w:tc>
        <w:tc>
          <w:tcPr>
            <w:tcW w:type="dxa" w:w="1000"/>
          </w:tcPr>
          <w:p>
            <w:pPr>
              <w:pStyle w:val="MDPI42tablebody"/>
              <w:keepNext/>
              <w:spacing w:line="240" w:lineRule="auto" w:before="30" w:after="30"/>
              <w:jc w:val="center"/>
            </w:pPr>
          </w:p>
        </w:tc>
      </w:tr>
      <w:tr>
        <w:trPr>
          <w:cantSplit/>
        </w:trPr>
        <w:tc>
          <w:tcPr>
            <w:tcW w:type="dxa" w:w="1464"/>
          </w:tcPr>
          <w:p>
            <w:pPr>
              <w:pStyle w:val="MDPI42tablebody"/>
              <w:keepNext/>
              <w:spacing w:line="240" w:lineRule="auto" w:before="30" w:after="30"/>
              <w:jc w:val="left"/>
            </w:pPr>
            <w:r>
              <w:rPr>
                <w:b w:val="0"/>
                <w:i/>
                <w:sz w:val="15"/>
              </w:rPr>
              <w:t>OLC</w:t>
            </w:r>
          </w:p>
        </w:tc>
        <w:tc>
          <w:tcPr>
            <w:tcW w:type="dxa" w:w="1000"/>
          </w:tcPr>
          <w:p>
            <w:pPr>
              <w:pStyle w:val="MDPI42tablebody"/>
              <w:keepNext/>
              <w:spacing w:line="240" w:lineRule="auto" w:before="30" w:after="30"/>
              <w:jc w:val="center"/>
            </w:pPr>
            <w:r>
              <w:rPr>
                <w:b w:val="0"/>
                <w:i w:val="0"/>
                <w:sz w:val="15"/>
              </w:rPr>
              <w:t>0.076***</w:t>
            </w:r>
          </w:p>
        </w:tc>
        <w:tc>
          <w:tcPr>
            <w:tcW w:type="dxa" w:w="1000"/>
          </w:tcPr>
          <w:p>
            <w:pPr>
              <w:pStyle w:val="MDPI42tablebody"/>
              <w:keepNext/>
              <w:spacing w:line="240" w:lineRule="auto" w:before="30" w:after="30"/>
              <w:jc w:val="center"/>
            </w:pPr>
            <w:r>
              <w:rPr>
                <w:b w:val="0"/>
                <w:i w:val="0"/>
                <w:sz w:val="15"/>
              </w:rPr>
              <w:t>−0.009</w:t>
            </w:r>
          </w:p>
        </w:tc>
        <w:tc>
          <w:tcPr>
            <w:tcW w:type="dxa" w:w="1000"/>
          </w:tcPr>
          <w:p>
            <w:pPr>
              <w:pStyle w:val="MDPI42tablebody"/>
              <w:keepNext/>
              <w:spacing w:line="240" w:lineRule="auto" w:before="30" w:after="30"/>
              <w:jc w:val="center"/>
            </w:pPr>
            <w:r>
              <w:rPr>
                <w:b w:val="0"/>
                <w:i w:val="0"/>
                <w:sz w:val="15"/>
              </w:rPr>
              <w:t>0.112***</w:t>
            </w:r>
          </w:p>
        </w:tc>
        <w:tc>
          <w:tcPr>
            <w:tcW w:type="dxa" w:w="1000"/>
          </w:tcPr>
          <w:p>
            <w:pPr>
              <w:pStyle w:val="MDPI42tablebody"/>
              <w:keepNext/>
              <w:spacing w:line="240" w:lineRule="auto" w:before="30" w:after="30"/>
              <w:jc w:val="center"/>
            </w:pPr>
            <w:r>
              <w:rPr>
                <w:b w:val="0"/>
                <w:i w:val="0"/>
                <w:sz w:val="15"/>
              </w:rPr>
              <w:t>0.002</w:t>
            </w:r>
          </w:p>
        </w:tc>
        <w:tc>
          <w:tcPr>
            <w:tcW w:type="dxa" w:w="1000"/>
          </w:tcPr>
          <w:p>
            <w:pPr>
              <w:pStyle w:val="MDPI42tablebody"/>
              <w:keepNext/>
              <w:spacing w:line="240" w:lineRule="auto" w:before="30" w:after="30"/>
              <w:jc w:val="center"/>
            </w:pPr>
            <w:r>
              <w:rPr>
                <w:b w:val="0"/>
                <w:i w:val="0"/>
                <w:sz w:val="15"/>
              </w:rPr>
              <w:t>1.000</w:t>
            </w:r>
          </w:p>
        </w:tc>
        <w:tc>
          <w:tcPr>
            <w:tcW w:type="dxa" w:w="1000"/>
          </w:tcPr>
          <w:p>
            <w:pPr>
              <w:pStyle w:val="MDPI42tablebody"/>
              <w:keepNext/>
              <w:spacing w:line="240" w:lineRule="auto" w:before="30" w:after="30"/>
              <w:jc w:val="center"/>
            </w:pPr>
          </w:p>
        </w:tc>
        <w:tc>
          <w:tcPr>
            <w:tcW w:type="dxa" w:w="1000"/>
          </w:tcPr>
          <w:p>
            <w:pPr>
              <w:pStyle w:val="MDPI42tablebody"/>
              <w:keepNext/>
              <w:spacing w:line="240" w:lineRule="auto" w:before="30" w:after="30"/>
              <w:jc w:val="center"/>
            </w:pPr>
          </w:p>
        </w:tc>
        <w:tc>
          <w:tcPr>
            <w:tcW w:type="dxa" w:w="1000"/>
          </w:tcPr>
          <w:p>
            <w:pPr>
              <w:pStyle w:val="MDPI42tablebody"/>
              <w:keepNext/>
              <w:spacing w:line="240" w:lineRule="auto" w:before="30" w:after="30"/>
              <w:jc w:val="center"/>
            </w:pPr>
          </w:p>
        </w:tc>
        <w:tc>
          <w:tcPr>
            <w:tcW w:type="dxa" w:w="1000"/>
          </w:tcPr>
          <w:p>
            <w:pPr>
              <w:pStyle w:val="MDPI42tablebody"/>
              <w:keepNext/>
              <w:spacing w:line="240" w:lineRule="auto" w:before="30" w:after="30"/>
              <w:jc w:val="center"/>
            </w:pPr>
          </w:p>
        </w:tc>
      </w:tr>
      <w:tr>
        <w:trPr>
          <w:cantSplit/>
        </w:trPr>
        <w:tc>
          <w:tcPr>
            <w:tcW w:type="dxa" w:w="1464"/>
          </w:tcPr>
          <w:p>
            <w:pPr>
              <w:pStyle w:val="MDPI42tablebody"/>
              <w:keepNext/>
              <w:spacing w:line="240" w:lineRule="auto" w:before="30" w:after="30"/>
              <w:jc w:val="left"/>
            </w:pPr>
            <w:r>
              <w:rPr>
                <w:b w:val="0"/>
                <w:i/>
                <w:sz w:val="15"/>
              </w:rPr>
              <w:t>AIGov</w:t>
            </w:r>
          </w:p>
        </w:tc>
        <w:tc>
          <w:tcPr>
            <w:tcW w:type="dxa" w:w="1000"/>
          </w:tcPr>
          <w:p>
            <w:pPr>
              <w:pStyle w:val="MDPI42tablebody"/>
              <w:keepNext/>
              <w:spacing w:line="240" w:lineRule="auto" w:before="30" w:after="30"/>
              <w:jc w:val="center"/>
            </w:pPr>
            <w:r>
              <w:rPr>
                <w:b w:val="0"/>
                <w:i w:val="0"/>
                <w:sz w:val="15"/>
              </w:rPr>
              <w:t>0.007</w:t>
            </w:r>
          </w:p>
        </w:tc>
        <w:tc>
          <w:tcPr>
            <w:tcW w:type="dxa" w:w="1000"/>
          </w:tcPr>
          <w:p>
            <w:pPr>
              <w:pStyle w:val="MDPI42tablebody"/>
              <w:keepNext/>
              <w:spacing w:line="240" w:lineRule="auto" w:before="30" w:after="30"/>
              <w:jc w:val="center"/>
            </w:pPr>
            <w:r>
              <w:rPr>
                <w:b w:val="0"/>
                <w:i w:val="0"/>
                <w:sz w:val="15"/>
              </w:rPr>
              <w:t>0.188***</w:t>
            </w:r>
          </w:p>
        </w:tc>
        <w:tc>
          <w:tcPr>
            <w:tcW w:type="dxa" w:w="1000"/>
          </w:tcPr>
          <w:p>
            <w:pPr>
              <w:pStyle w:val="MDPI42tablebody"/>
              <w:keepNext/>
              <w:spacing w:line="240" w:lineRule="auto" w:before="30" w:after="30"/>
              <w:jc w:val="center"/>
            </w:pPr>
            <w:r>
              <w:rPr>
                <w:b w:val="0"/>
                <w:i w:val="0"/>
                <w:sz w:val="15"/>
              </w:rPr>
              <w:t>0.142***</w:t>
            </w:r>
          </w:p>
        </w:tc>
        <w:tc>
          <w:tcPr>
            <w:tcW w:type="dxa" w:w="1000"/>
          </w:tcPr>
          <w:p>
            <w:pPr>
              <w:pStyle w:val="MDPI42tablebody"/>
              <w:keepNext/>
              <w:spacing w:line="240" w:lineRule="auto" w:before="30" w:after="30"/>
              <w:jc w:val="center"/>
            </w:pPr>
            <w:r>
              <w:rPr>
                <w:b w:val="0"/>
                <w:i w:val="0"/>
                <w:sz w:val="15"/>
              </w:rPr>
              <w:t>0.108***</w:t>
            </w:r>
          </w:p>
        </w:tc>
        <w:tc>
          <w:tcPr>
            <w:tcW w:type="dxa" w:w="1000"/>
          </w:tcPr>
          <w:p>
            <w:pPr>
              <w:pStyle w:val="MDPI42tablebody"/>
              <w:keepNext/>
              <w:spacing w:line="240" w:lineRule="auto" w:before="30" w:after="30"/>
              <w:jc w:val="center"/>
            </w:pPr>
            <w:r>
              <w:rPr>
                <w:b w:val="0"/>
                <w:i w:val="0"/>
                <w:sz w:val="15"/>
              </w:rPr>
              <w:t>0.003</w:t>
            </w:r>
          </w:p>
        </w:tc>
        <w:tc>
          <w:tcPr>
            <w:tcW w:type="dxa" w:w="1000"/>
          </w:tcPr>
          <w:p>
            <w:pPr>
              <w:pStyle w:val="MDPI42tablebody"/>
              <w:keepNext/>
              <w:spacing w:line="240" w:lineRule="auto" w:before="30" w:after="30"/>
              <w:jc w:val="center"/>
            </w:pPr>
            <w:r>
              <w:rPr>
                <w:b w:val="0"/>
                <w:i w:val="0"/>
                <w:sz w:val="15"/>
              </w:rPr>
              <w:t>1.000</w:t>
            </w:r>
          </w:p>
        </w:tc>
        <w:tc>
          <w:tcPr>
            <w:tcW w:type="dxa" w:w="1000"/>
          </w:tcPr>
          <w:p>
            <w:pPr>
              <w:pStyle w:val="MDPI42tablebody"/>
              <w:keepNext/>
              <w:spacing w:line="240" w:lineRule="auto" w:before="30" w:after="30"/>
              <w:jc w:val="center"/>
            </w:pPr>
          </w:p>
        </w:tc>
        <w:tc>
          <w:tcPr>
            <w:tcW w:type="dxa" w:w="1000"/>
          </w:tcPr>
          <w:p>
            <w:pPr>
              <w:pStyle w:val="MDPI42tablebody"/>
              <w:keepNext/>
              <w:spacing w:line="240" w:lineRule="auto" w:before="30" w:after="30"/>
              <w:jc w:val="center"/>
            </w:pPr>
          </w:p>
        </w:tc>
        <w:tc>
          <w:tcPr>
            <w:tcW w:type="dxa" w:w="1000"/>
          </w:tcPr>
          <w:p>
            <w:pPr>
              <w:pStyle w:val="MDPI42tablebody"/>
              <w:keepNext/>
              <w:spacing w:line="240" w:lineRule="auto" w:before="30" w:after="30"/>
              <w:jc w:val="center"/>
            </w:pPr>
          </w:p>
        </w:tc>
      </w:tr>
      <w:tr>
        <w:trPr>
          <w:cantSplit/>
        </w:trPr>
        <w:tc>
          <w:tcPr>
            <w:tcW w:type="dxa" w:w="1464"/>
          </w:tcPr>
          <w:p>
            <w:pPr>
              <w:pStyle w:val="MDPI42tablebody"/>
              <w:keepNext/>
              <w:spacing w:line="240" w:lineRule="auto" w:before="30" w:after="30"/>
              <w:jc w:val="left"/>
            </w:pPr>
            <w:r>
              <w:rPr>
                <w:b w:val="0"/>
                <w:i/>
                <w:sz w:val="15"/>
              </w:rPr>
              <w:t>LCP</w:t>
            </w:r>
          </w:p>
        </w:tc>
        <w:tc>
          <w:tcPr>
            <w:tcW w:type="dxa" w:w="1000"/>
          </w:tcPr>
          <w:p>
            <w:pPr>
              <w:pStyle w:val="MDPI42tablebody"/>
              <w:keepNext/>
              <w:spacing w:line="240" w:lineRule="auto" w:before="30" w:after="30"/>
              <w:jc w:val="center"/>
            </w:pPr>
            <w:r>
              <w:rPr>
                <w:b w:val="0"/>
                <w:i w:val="0"/>
                <w:sz w:val="15"/>
              </w:rPr>
              <w:t>−0.067***</w:t>
            </w:r>
          </w:p>
        </w:tc>
        <w:tc>
          <w:tcPr>
            <w:tcW w:type="dxa" w:w="1000"/>
          </w:tcPr>
          <w:p>
            <w:pPr>
              <w:pStyle w:val="MDPI42tablebody"/>
              <w:keepNext/>
              <w:spacing w:line="240" w:lineRule="auto" w:before="30" w:after="30"/>
              <w:jc w:val="center"/>
            </w:pPr>
            <w:r>
              <w:rPr>
                <w:b w:val="0"/>
                <w:i w:val="0"/>
                <w:sz w:val="15"/>
              </w:rPr>
              <w:t>0.082***</w:t>
            </w:r>
          </w:p>
        </w:tc>
        <w:tc>
          <w:tcPr>
            <w:tcW w:type="dxa" w:w="1000"/>
          </w:tcPr>
          <w:p>
            <w:pPr>
              <w:pStyle w:val="MDPI42tablebody"/>
              <w:keepNext/>
              <w:spacing w:line="240" w:lineRule="auto" w:before="30" w:after="30"/>
              <w:jc w:val="center"/>
            </w:pPr>
            <w:r>
              <w:rPr>
                <w:b w:val="0"/>
                <w:i w:val="0"/>
                <w:sz w:val="15"/>
              </w:rPr>
              <w:t>0.030***</w:t>
            </w:r>
          </w:p>
        </w:tc>
        <w:tc>
          <w:tcPr>
            <w:tcW w:type="dxa" w:w="1000"/>
          </w:tcPr>
          <w:p>
            <w:pPr>
              <w:pStyle w:val="MDPI42tablebody"/>
              <w:keepNext/>
              <w:spacing w:line="240" w:lineRule="auto" w:before="30" w:after="30"/>
              <w:jc w:val="center"/>
            </w:pPr>
            <w:r>
              <w:rPr>
                <w:b w:val="0"/>
                <w:i w:val="0"/>
                <w:sz w:val="15"/>
              </w:rPr>
              <w:t>0.032***</w:t>
            </w:r>
          </w:p>
        </w:tc>
        <w:tc>
          <w:tcPr>
            <w:tcW w:type="dxa" w:w="1000"/>
          </w:tcPr>
          <w:p>
            <w:pPr>
              <w:pStyle w:val="MDPI42tablebody"/>
              <w:keepNext/>
              <w:spacing w:line="240" w:lineRule="auto" w:before="30" w:after="30"/>
              <w:jc w:val="center"/>
            </w:pPr>
            <w:r>
              <w:rPr>
                <w:b w:val="0"/>
                <w:i w:val="0"/>
                <w:sz w:val="15"/>
              </w:rPr>
              <w:t>−0.012**</w:t>
            </w:r>
          </w:p>
        </w:tc>
        <w:tc>
          <w:tcPr>
            <w:tcW w:type="dxa" w:w="1000"/>
          </w:tcPr>
          <w:p>
            <w:pPr>
              <w:pStyle w:val="MDPI42tablebody"/>
              <w:keepNext/>
              <w:spacing w:line="240" w:lineRule="auto" w:before="30" w:after="30"/>
              <w:jc w:val="center"/>
            </w:pPr>
            <w:r>
              <w:rPr>
                <w:b w:val="0"/>
                <w:i w:val="0"/>
                <w:sz w:val="15"/>
              </w:rPr>
              <w:t>0.030***</w:t>
            </w:r>
          </w:p>
        </w:tc>
        <w:tc>
          <w:tcPr>
            <w:tcW w:type="dxa" w:w="1000"/>
          </w:tcPr>
          <w:p>
            <w:pPr>
              <w:pStyle w:val="MDPI42tablebody"/>
              <w:keepNext/>
              <w:spacing w:line="240" w:lineRule="auto" w:before="30" w:after="30"/>
              <w:jc w:val="center"/>
            </w:pPr>
            <w:r>
              <w:rPr>
                <w:b w:val="0"/>
                <w:i w:val="0"/>
                <w:sz w:val="15"/>
              </w:rPr>
              <w:t>1.000</w:t>
            </w:r>
          </w:p>
        </w:tc>
        <w:tc>
          <w:tcPr>
            <w:tcW w:type="dxa" w:w="1000"/>
          </w:tcPr>
          <w:p>
            <w:pPr>
              <w:pStyle w:val="MDPI42tablebody"/>
              <w:keepNext/>
              <w:spacing w:line="240" w:lineRule="auto" w:before="30" w:after="30"/>
              <w:jc w:val="center"/>
            </w:pPr>
          </w:p>
        </w:tc>
        <w:tc>
          <w:tcPr>
            <w:tcW w:type="dxa" w:w="1000"/>
          </w:tcPr>
          <w:p>
            <w:pPr>
              <w:pStyle w:val="MDPI42tablebody"/>
              <w:keepNext/>
              <w:spacing w:line="240" w:lineRule="auto" w:before="30" w:after="30"/>
              <w:jc w:val="center"/>
            </w:pPr>
          </w:p>
        </w:tc>
      </w:tr>
      <w:tr>
        <w:trPr>
          <w:cantSplit/>
        </w:trPr>
        <w:tc>
          <w:tcPr>
            <w:tcW w:type="dxa" w:w="1464"/>
          </w:tcPr>
          <w:p>
            <w:pPr>
              <w:pStyle w:val="MDPI42tablebody"/>
              <w:keepNext/>
              <w:spacing w:line="240" w:lineRule="auto" w:before="30" w:after="30"/>
              <w:jc w:val="left"/>
            </w:pPr>
            <w:r>
              <w:rPr>
                <w:b w:val="0"/>
                <w:i/>
                <w:sz w:val="15"/>
              </w:rPr>
              <w:t>Size</w:t>
            </w:r>
          </w:p>
        </w:tc>
        <w:tc>
          <w:tcPr>
            <w:tcW w:type="dxa" w:w="1000"/>
          </w:tcPr>
          <w:p>
            <w:pPr>
              <w:pStyle w:val="MDPI42tablebody"/>
              <w:keepNext/>
              <w:spacing w:line="240" w:lineRule="auto" w:before="30" w:after="30"/>
              <w:jc w:val="center"/>
            </w:pPr>
            <w:r>
              <w:rPr>
                <w:b w:val="0"/>
                <w:i w:val="0"/>
                <w:sz w:val="15"/>
              </w:rPr>
              <w:t>0.115***</w:t>
            </w:r>
          </w:p>
        </w:tc>
        <w:tc>
          <w:tcPr>
            <w:tcW w:type="dxa" w:w="1000"/>
          </w:tcPr>
          <w:p>
            <w:pPr>
              <w:pStyle w:val="MDPI42tablebody"/>
              <w:keepNext/>
              <w:spacing w:line="240" w:lineRule="auto" w:before="30" w:after="30"/>
              <w:jc w:val="center"/>
            </w:pPr>
            <w:r>
              <w:rPr>
                <w:b w:val="0"/>
                <w:i w:val="0"/>
                <w:sz w:val="15"/>
              </w:rPr>
              <w:t>0.178***</w:t>
            </w:r>
          </w:p>
        </w:tc>
        <w:tc>
          <w:tcPr>
            <w:tcW w:type="dxa" w:w="1000"/>
          </w:tcPr>
          <w:p>
            <w:pPr>
              <w:pStyle w:val="MDPI42tablebody"/>
              <w:keepNext/>
              <w:spacing w:line="240" w:lineRule="auto" w:before="30" w:after="30"/>
              <w:jc w:val="center"/>
            </w:pPr>
            <w:r>
              <w:rPr>
                <w:b w:val="0"/>
                <w:i w:val="0"/>
                <w:sz w:val="15"/>
              </w:rPr>
              <w:t>0.194***</w:t>
            </w:r>
          </w:p>
        </w:tc>
        <w:tc>
          <w:tcPr>
            <w:tcW w:type="dxa" w:w="1000"/>
          </w:tcPr>
          <w:p>
            <w:pPr>
              <w:pStyle w:val="MDPI42tablebody"/>
              <w:keepNext/>
              <w:spacing w:line="240" w:lineRule="auto" w:before="30" w:after="30"/>
              <w:jc w:val="center"/>
            </w:pPr>
            <w:r>
              <w:rPr>
                <w:b w:val="0"/>
                <w:i w:val="0"/>
                <w:sz w:val="15"/>
              </w:rPr>
              <w:t>0.112***</w:t>
            </w:r>
          </w:p>
        </w:tc>
        <w:tc>
          <w:tcPr>
            <w:tcW w:type="dxa" w:w="1000"/>
          </w:tcPr>
          <w:p>
            <w:pPr>
              <w:pStyle w:val="MDPI42tablebody"/>
              <w:keepNext/>
              <w:spacing w:line="240" w:lineRule="auto" w:before="30" w:after="30"/>
              <w:jc w:val="center"/>
            </w:pPr>
            <w:r>
              <w:rPr>
                <w:b w:val="0"/>
                <w:i w:val="0"/>
                <w:sz w:val="15"/>
              </w:rPr>
              <w:t>−0.017***</w:t>
            </w:r>
          </w:p>
        </w:tc>
        <w:tc>
          <w:tcPr>
            <w:tcW w:type="dxa" w:w="1000"/>
          </w:tcPr>
          <w:p>
            <w:pPr>
              <w:pStyle w:val="MDPI42tablebody"/>
              <w:keepNext/>
              <w:spacing w:line="240" w:lineRule="auto" w:before="30" w:after="30"/>
              <w:jc w:val="center"/>
            </w:pPr>
            <w:r>
              <w:rPr>
                <w:b w:val="0"/>
                <w:i w:val="0"/>
                <w:sz w:val="15"/>
              </w:rPr>
              <w:t>0.025***</w:t>
            </w:r>
          </w:p>
        </w:tc>
        <w:tc>
          <w:tcPr>
            <w:tcW w:type="dxa" w:w="1000"/>
          </w:tcPr>
          <w:p>
            <w:pPr>
              <w:pStyle w:val="MDPI42tablebody"/>
              <w:keepNext/>
              <w:spacing w:line="240" w:lineRule="auto" w:before="30" w:after="30"/>
              <w:jc w:val="center"/>
            </w:pPr>
            <w:r>
              <w:rPr>
                <w:b w:val="0"/>
                <w:i w:val="0"/>
                <w:sz w:val="15"/>
              </w:rPr>
              <w:t>0.011*</w:t>
            </w:r>
          </w:p>
        </w:tc>
        <w:tc>
          <w:tcPr>
            <w:tcW w:type="dxa" w:w="1000"/>
          </w:tcPr>
          <w:p>
            <w:pPr>
              <w:pStyle w:val="MDPI42tablebody"/>
              <w:keepNext/>
              <w:spacing w:line="240" w:lineRule="auto" w:before="30" w:after="30"/>
              <w:jc w:val="center"/>
            </w:pPr>
            <w:r>
              <w:rPr>
                <w:b w:val="0"/>
                <w:i w:val="0"/>
                <w:sz w:val="15"/>
              </w:rPr>
              <w:t>1.000</w:t>
            </w:r>
          </w:p>
        </w:tc>
        <w:tc>
          <w:tcPr>
            <w:tcW w:type="dxa" w:w="1000"/>
          </w:tcPr>
          <w:p>
            <w:pPr>
              <w:pStyle w:val="MDPI42tablebody"/>
              <w:keepNext/>
              <w:spacing w:line="240" w:lineRule="auto" w:before="30" w:after="30"/>
              <w:jc w:val="center"/>
            </w:pPr>
          </w:p>
        </w:tc>
      </w:tr>
      <w:tr>
        <w:trPr>
          <w:cantSplit/>
        </w:trPr>
        <w:tc>
          <w:tcPr>
            <w:tcW w:type="dxa" w:w="1464"/>
          </w:tcPr>
          <w:p>
            <w:pPr>
              <w:pStyle w:val="MDPI42tablebody"/>
              <w:spacing w:line="240" w:lineRule="auto" w:before="30" w:after="30"/>
              <w:jc w:val="left"/>
            </w:pPr>
            <w:r>
              <w:rPr>
                <w:b w:val="0"/>
                <w:i/>
                <w:sz w:val="15"/>
              </w:rPr>
              <w:t>Lev</w:t>
            </w:r>
          </w:p>
        </w:tc>
        <w:tc>
          <w:tcPr>
            <w:tcW w:type="dxa" w:w="1000"/>
          </w:tcPr>
          <w:p>
            <w:pPr>
              <w:pStyle w:val="MDPI42tablebody"/>
              <w:spacing w:line="240" w:lineRule="auto" w:before="30" w:after="30"/>
              <w:jc w:val="center"/>
            </w:pPr>
            <w:r>
              <w:rPr>
                <w:b w:val="0"/>
                <w:i w:val="0"/>
                <w:sz w:val="15"/>
              </w:rPr>
              <w:t>−0.064***</w:t>
            </w:r>
          </w:p>
        </w:tc>
        <w:tc>
          <w:tcPr>
            <w:tcW w:type="dxa" w:w="1000"/>
          </w:tcPr>
          <w:p>
            <w:pPr>
              <w:pStyle w:val="MDPI42tablebody"/>
              <w:spacing w:line="240" w:lineRule="auto" w:before="30" w:after="30"/>
              <w:jc w:val="center"/>
            </w:pPr>
            <w:r>
              <w:rPr>
                <w:b w:val="0"/>
                <w:i w:val="0"/>
                <w:sz w:val="15"/>
              </w:rPr>
              <w:t>0.005</w:t>
            </w:r>
          </w:p>
        </w:tc>
        <w:tc>
          <w:tcPr>
            <w:tcW w:type="dxa" w:w="1000"/>
          </w:tcPr>
          <w:p>
            <w:pPr>
              <w:pStyle w:val="MDPI42tablebody"/>
              <w:spacing w:line="240" w:lineRule="auto" w:before="30" w:after="30"/>
              <w:jc w:val="center"/>
            </w:pPr>
            <w:r>
              <w:rPr>
                <w:b w:val="0"/>
                <w:i w:val="0"/>
                <w:sz w:val="15"/>
              </w:rPr>
              <w:t>0.010</w:t>
            </w:r>
          </w:p>
        </w:tc>
        <w:tc>
          <w:tcPr>
            <w:tcW w:type="dxa" w:w="1000"/>
          </w:tcPr>
          <w:p>
            <w:pPr>
              <w:pStyle w:val="MDPI42tablebody"/>
              <w:spacing w:line="240" w:lineRule="auto" w:before="30" w:after="30"/>
              <w:jc w:val="center"/>
            </w:pPr>
            <w:r>
              <w:rPr>
                <w:b w:val="0"/>
                <w:i w:val="0"/>
                <w:sz w:val="15"/>
              </w:rPr>
              <w:t>0.002</w:t>
            </w:r>
          </w:p>
        </w:tc>
        <w:tc>
          <w:tcPr>
            <w:tcW w:type="dxa" w:w="1000"/>
          </w:tcPr>
          <w:p>
            <w:pPr>
              <w:pStyle w:val="MDPI42tablebody"/>
              <w:spacing w:line="240" w:lineRule="auto" w:before="30" w:after="30"/>
              <w:jc w:val="center"/>
            </w:pPr>
            <w:r>
              <w:rPr>
                <w:b w:val="0"/>
                <w:i w:val="0"/>
                <w:sz w:val="15"/>
              </w:rPr>
              <w:t>0.002</w:t>
            </w:r>
          </w:p>
        </w:tc>
        <w:tc>
          <w:tcPr>
            <w:tcW w:type="dxa" w:w="1000"/>
          </w:tcPr>
          <w:p>
            <w:pPr>
              <w:pStyle w:val="MDPI42tablebody"/>
              <w:spacing w:line="240" w:lineRule="auto" w:before="30" w:after="30"/>
              <w:jc w:val="center"/>
            </w:pPr>
            <w:r>
              <w:rPr>
                <w:b w:val="0"/>
                <w:i w:val="0"/>
                <w:sz w:val="15"/>
              </w:rPr>
              <w:t>0.010*</w:t>
            </w:r>
          </w:p>
        </w:tc>
        <w:tc>
          <w:tcPr>
            <w:tcW w:type="dxa" w:w="1000"/>
          </w:tcPr>
          <w:p>
            <w:pPr>
              <w:pStyle w:val="MDPI42tablebody"/>
              <w:spacing w:line="240" w:lineRule="auto" w:before="30" w:after="30"/>
              <w:jc w:val="center"/>
            </w:pPr>
            <w:r>
              <w:rPr>
                <w:b w:val="0"/>
                <w:i w:val="0"/>
                <w:sz w:val="15"/>
              </w:rPr>
              <w:t>−0.001</w:t>
            </w:r>
          </w:p>
        </w:tc>
        <w:tc>
          <w:tcPr>
            <w:tcW w:type="dxa" w:w="1000"/>
          </w:tcPr>
          <w:p>
            <w:pPr>
              <w:pStyle w:val="MDPI42tablebody"/>
              <w:spacing w:line="240" w:lineRule="auto" w:before="30" w:after="30"/>
              <w:jc w:val="center"/>
            </w:pPr>
            <w:r>
              <w:rPr>
                <w:b w:val="0"/>
                <w:i w:val="0"/>
                <w:sz w:val="15"/>
              </w:rPr>
              <w:t>0.014**</w:t>
            </w:r>
          </w:p>
        </w:tc>
        <w:tc>
          <w:tcPr>
            <w:tcW w:type="dxa" w:w="1000"/>
          </w:tcPr>
          <w:p>
            <w:pPr>
              <w:pStyle w:val="MDPI42tablebody"/>
              <w:spacing w:line="240" w:lineRule="auto" w:before="30" w:after="30"/>
              <w:jc w:val="center"/>
            </w:pPr>
            <w:r>
              <w:rPr>
                <w:b w:val="0"/>
                <w:i w:val="0"/>
                <w:sz w:val="15"/>
              </w:rPr>
              <w:t>1.000</w:t>
            </w:r>
          </w:p>
        </w:tc>
      </w:tr>
    </w:tbl>
    <w:p>
      <w:pPr>
        <w:pStyle w:val="MDPI43tablefooter"/>
        <w:spacing w:line="240" w:lineRule="auto" w:before="40" w:after="200"/>
        <w:ind w:left="2608" w:firstLine="0"/>
      </w:pPr>
      <w:r>
        <w:rPr>
          <w:sz w:val="16"/>
        </w:rPr>
        <w:t xml:space="preserve">Note: </w:t>
      </w:r>
      <w:r>
        <w:rPr>
          <w:b w:val="0"/>
          <w:i w:val="0"/>
          <w:sz w:val="16"/>
        </w:rPr>
        <w:t>***, ** and * denote significance at the 1%, 5% and 10% levels. Excluding the mechanical correlation between adoption depth and its own square, variance inflation factors have a maximum of 1.00 and a mean of 1.00.</w:t>
      </w:r>
    </w:p>
    <w:p>
      <w:pPr>
        <w:pStyle w:val="MDPI22heading2"/>
      </w:pPr>
      <w:r>
        <w:t>4.3. Baseline Regression Analysis</w:t>
      </w:r>
    </w:p>
    <w:p>
      <w:pPr>
        <w:pStyle w:val="MDPI32textnoindent"/>
      </w:pPr>
      <w:r>
        <w:rPr>
          <w:b w:val="0"/>
          <w:i w:val="0"/>
        </w:rPr>
        <w:t xml:space="preserve">Table 4 reports the baseline estimates. Columns (1) and (2) estimate the linear specification of Equation (2). The coefficient on adoption depth is −0.019 with a standard error of 0.074 and a p-value of 0.801: with firm and year fixed effects and the full control vector, a linear model finds no relationship whatsoever between generative AI adoption and the age composition of the workforce. Taken alone, this is the null result that much of the recent literature reports </w:t>
      </w:r>
      <w:r>
        <w:t>[</w:t>
      </w:r>
      <w:r>
        <w:fldChar w:fldCharType="begin"/>
      </w:r>
      <w:r>
        <w:instrText xml:space="preserve"> REF _Ref_8 \h </w:instrText>
      </w:r>
      <w:r>
        <w:fldChar w:fldCharType="separate"/>
      </w:r>
      <w:r>
        <w:t>8</w:t>
      </w:r>
      <w:r>
        <w:fldChar w:fldCharType="end"/>
      </w:r>
      <w:r>
        <w:t>]</w:t>
      </w:r>
      <w:r>
        <w:rPr>
          <w:b w:val="0"/>
          <w:i w:val="0"/>
        </w:rPr>
        <w:t>.</w:t>
      </w:r>
    </w:p>
    <w:p>
      <w:pPr>
        <w:pStyle w:val="MDPI31text"/>
      </w:pPr>
      <w:r>
        <w:rPr>
          <w:b w:val="0"/>
          <w:i w:val="0"/>
        </w:rPr>
        <w:t>Columns (3) and (4) add the squared term. The coefficient on depth becomes 2.952 and the coefficient on its square −0.692, both significant at the 1% level, and the within R-squared roughly doubles. The sign pattern is the one H1 predicts. Columns (5) and (6) replace the year fixed effects with industry-by-year and province-by-year fixed effects, absorbing any shock common to an industry or a province in a given year, including sectoral demand cycles and provincial graduate-supply conditions; both coefficients are essentially unchanged. The contrast between columns (2) and (4) is the paper's first substantive finding: the apparent absence of an effect in the linear specification is not an absence of an effect but the cancellation of two arms of a curve.</w:t>
      </w:r>
    </w:p>
    <w:p>
      <w:pPr>
        <w:pStyle w:val="MDPI41tablecaption"/>
        <w:keepNext/>
        <w:spacing w:after="60"/>
      </w:pPr>
      <w:r>
        <w:rPr>
          <w:b/>
          <w:sz w:val="18"/>
        </w:rPr>
        <w:t xml:space="preserve">Table 4. </w:t>
      </w:r>
      <w:r>
        <w:rPr>
          <w:b w:val="0"/>
          <w:i w:val="0"/>
          <w:sz w:val="18"/>
        </w:rPr>
        <w:t>Baseline regressions: adoption depth and the youth employment share.</w:t>
      </w:r>
    </w:p>
    <w:tbl>
      <w:tblPr>
        <w:tblStyle w:val="MDPI41threelinetable"/>
        <w:tblW w:w="10466"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CellMar>
          <w:top w:w="0" w:type="dxa"/>
          <w:left w:w="57" w:type="dxa"/>
          <w:bottom w:w="0" w:type="dxa"/>
          <w:right w:w="57" w:type="dxa"/>
        </w:tblCellMar>
        <w:tblLook w:firstColumn="1" w:firstRow="1" w:lastColumn="0" w:lastRow="0" w:noHBand="0" w:noVBand="1" w:val="04A0"/>
      </w:tblPr>
      <w:tblGrid>
        <w:gridCol w:w="2302"/>
        <w:gridCol w:w="1360"/>
        <w:gridCol w:w="1360"/>
        <w:gridCol w:w="1360"/>
        <w:gridCol w:w="1360"/>
        <w:gridCol w:w="1360"/>
        <w:gridCol w:w="1360"/>
      </w:tblGrid>
      <w:tr>
        <w:trPr>
          <w:cantSplit/>
          <w:tblHeader/>
        </w:trPr>
        <w:tc>
          <w:tcPr>
            <w:tcW w:type="dxa" w:w="2302"/>
            <w:tcBorders>
              <w:bottom w:val="single" w:sz="8" w:space="0" w:color="auto"/>
            </w:tcBorders>
          </w:tcPr>
          <w:p>
            <w:pPr>
              <w:pStyle w:val="MDPI42tablebody"/>
              <w:keepNext/>
              <w:spacing w:line="240" w:lineRule="auto" w:before="30" w:after="30"/>
              <w:jc w:val="center"/>
            </w:pPr>
            <w:r>
              <w:rPr>
                <w:b/>
                <w:i w:val="0"/>
                <w:sz w:val="16"/>
              </w:rPr>
              <w:t>Variable</w:t>
            </w:r>
          </w:p>
        </w:tc>
        <w:tc>
          <w:tcPr>
            <w:tcW w:type="dxa" w:w="1360"/>
            <w:tcBorders>
              <w:bottom w:val="single" w:sz="8" w:space="0" w:color="auto"/>
            </w:tcBorders>
          </w:tcPr>
          <w:p>
            <w:pPr>
              <w:pStyle w:val="MDPI42tablebody"/>
              <w:keepNext/>
              <w:spacing w:line="240" w:lineRule="auto" w:before="30" w:after="30"/>
              <w:jc w:val="center"/>
            </w:pPr>
            <w:r>
              <w:rPr>
                <w:b/>
                <w:i w:val="0"/>
                <w:sz w:val="16"/>
              </w:rPr>
              <w:t>(1)</w:t>
            </w:r>
          </w:p>
        </w:tc>
        <w:tc>
          <w:tcPr>
            <w:tcW w:type="dxa" w:w="1360"/>
            <w:tcBorders>
              <w:bottom w:val="single" w:sz="8" w:space="0" w:color="auto"/>
            </w:tcBorders>
          </w:tcPr>
          <w:p>
            <w:pPr>
              <w:pStyle w:val="MDPI42tablebody"/>
              <w:keepNext/>
              <w:spacing w:line="240" w:lineRule="auto" w:before="30" w:after="30"/>
              <w:jc w:val="center"/>
            </w:pPr>
            <w:r>
              <w:rPr>
                <w:b/>
                <w:i w:val="0"/>
                <w:sz w:val="16"/>
              </w:rPr>
              <w:t>(2)</w:t>
            </w:r>
          </w:p>
        </w:tc>
        <w:tc>
          <w:tcPr>
            <w:tcW w:type="dxa" w:w="1360"/>
            <w:tcBorders>
              <w:bottom w:val="single" w:sz="8" w:space="0" w:color="auto"/>
            </w:tcBorders>
          </w:tcPr>
          <w:p>
            <w:pPr>
              <w:pStyle w:val="MDPI42tablebody"/>
              <w:keepNext/>
              <w:spacing w:line="240" w:lineRule="auto" w:before="30" w:after="30"/>
              <w:jc w:val="center"/>
            </w:pPr>
            <w:r>
              <w:rPr>
                <w:b/>
                <w:i w:val="0"/>
                <w:sz w:val="16"/>
              </w:rPr>
              <w:t>(3)</w:t>
            </w:r>
          </w:p>
        </w:tc>
        <w:tc>
          <w:tcPr>
            <w:tcW w:type="dxa" w:w="1360"/>
            <w:tcBorders>
              <w:bottom w:val="single" w:sz="8" w:space="0" w:color="auto"/>
            </w:tcBorders>
          </w:tcPr>
          <w:p>
            <w:pPr>
              <w:pStyle w:val="MDPI42tablebody"/>
              <w:keepNext/>
              <w:spacing w:line="240" w:lineRule="auto" w:before="30" w:after="30"/>
              <w:jc w:val="center"/>
            </w:pPr>
            <w:r>
              <w:rPr>
                <w:b/>
                <w:i w:val="0"/>
                <w:sz w:val="16"/>
              </w:rPr>
              <w:t>(4)</w:t>
            </w:r>
          </w:p>
        </w:tc>
        <w:tc>
          <w:tcPr>
            <w:tcW w:type="dxa" w:w="1360"/>
            <w:tcBorders>
              <w:bottom w:val="single" w:sz="8" w:space="0" w:color="auto"/>
            </w:tcBorders>
          </w:tcPr>
          <w:p>
            <w:pPr>
              <w:pStyle w:val="MDPI42tablebody"/>
              <w:keepNext/>
              <w:spacing w:line="240" w:lineRule="auto" w:before="30" w:after="30"/>
              <w:jc w:val="center"/>
            </w:pPr>
            <w:r>
              <w:rPr>
                <w:b/>
                <w:i w:val="0"/>
                <w:sz w:val="16"/>
              </w:rPr>
              <w:t>(5)</w:t>
            </w:r>
          </w:p>
        </w:tc>
        <w:tc>
          <w:tcPr>
            <w:tcW w:type="dxa" w:w="1360"/>
            <w:tcBorders>
              <w:bottom w:val="single" w:sz="8" w:space="0" w:color="auto"/>
            </w:tcBorders>
          </w:tcPr>
          <w:p>
            <w:pPr>
              <w:pStyle w:val="MDPI42tablebody"/>
              <w:keepNext/>
              <w:spacing w:line="240" w:lineRule="auto" w:before="30" w:after="30"/>
              <w:jc w:val="center"/>
            </w:pPr>
            <w:r>
              <w:rPr>
                <w:b/>
                <w:i w:val="0"/>
                <w:sz w:val="16"/>
              </w:rPr>
              <w:t>(6)</w:t>
            </w:r>
          </w:p>
        </w:tc>
      </w:tr>
      <w:tr>
        <w:trPr>
          <w:cantSplit/>
        </w:trPr>
        <w:tc>
          <w:tcPr>
            <w:tcW w:type="dxa" w:w="2302"/>
          </w:tcPr>
          <w:p>
            <w:pPr>
              <w:pStyle w:val="MDPI42tablebody"/>
              <w:keepNext/>
              <w:spacing w:line="240" w:lineRule="auto" w:before="30" w:after="30"/>
              <w:jc w:val="left"/>
            </w:pPr>
            <w:r>
              <w:rPr>
                <w:b w:val="0"/>
                <w:i/>
                <w:sz w:val="16"/>
              </w:rPr>
              <w:t>AI</w:t>
            </w:r>
          </w:p>
        </w:tc>
        <w:tc>
          <w:tcPr>
            <w:tcW w:type="dxa" w:w="1360"/>
          </w:tcPr>
          <w:p>
            <w:pPr>
              <w:pStyle w:val="MDPI42tablebody"/>
              <w:keepNext/>
              <w:spacing w:line="240" w:lineRule="auto" w:before="30" w:after="30"/>
              <w:jc w:val="center"/>
            </w:pPr>
            <w:r>
              <w:rPr>
                <w:b w:val="0"/>
                <w:i w:val="0"/>
                <w:sz w:val="16"/>
              </w:rPr>
              <w:t>0.007</w:t>
            </w:r>
          </w:p>
        </w:tc>
        <w:tc>
          <w:tcPr>
            <w:tcW w:type="dxa" w:w="1360"/>
          </w:tcPr>
          <w:p>
            <w:pPr>
              <w:pStyle w:val="MDPI42tablebody"/>
              <w:keepNext/>
              <w:spacing w:line="240" w:lineRule="auto" w:before="30" w:after="30"/>
              <w:jc w:val="center"/>
            </w:pPr>
            <w:r>
              <w:rPr>
                <w:b w:val="0"/>
                <w:i w:val="0"/>
                <w:sz w:val="16"/>
              </w:rPr>
              <w:t>−0.019</w:t>
            </w:r>
          </w:p>
        </w:tc>
        <w:tc>
          <w:tcPr>
            <w:tcW w:type="dxa" w:w="1360"/>
          </w:tcPr>
          <w:p>
            <w:pPr>
              <w:pStyle w:val="MDPI42tablebody"/>
              <w:keepNext/>
              <w:spacing w:line="240" w:lineRule="auto" w:before="30" w:after="30"/>
              <w:jc w:val="center"/>
            </w:pPr>
            <w:r>
              <w:rPr>
                <w:b w:val="0"/>
                <w:i w:val="0"/>
                <w:sz w:val="16"/>
              </w:rPr>
              <w:t>2.975***</w:t>
            </w:r>
          </w:p>
        </w:tc>
        <w:tc>
          <w:tcPr>
            <w:tcW w:type="dxa" w:w="1360"/>
          </w:tcPr>
          <w:p>
            <w:pPr>
              <w:pStyle w:val="MDPI42tablebody"/>
              <w:keepNext/>
              <w:spacing w:line="240" w:lineRule="auto" w:before="30" w:after="30"/>
              <w:jc w:val="center"/>
            </w:pPr>
            <w:r>
              <w:rPr>
                <w:b w:val="0"/>
                <w:i w:val="0"/>
                <w:sz w:val="16"/>
              </w:rPr>
              <w:t>2.952***</w:t>
            </w:r>
          </w:p>
        </w:tc>
        <w:tc>
          <w:tcPr>
            <w:tcW w:type="dxa" w:w="1360"/>
          </w:tcPr>
          <w:p>
            <w:pPr>
              <w:pStyle w:val="MDPI42tablebody"/>
              <w:keepNext/>
              <w:spacing w:line="240" w:lineRule="auto" w:before="30" w:after="30"/>
              <w:jc w:val="center"/>
            </w:pPr>
            <w:r>
              <w:rPr>
                <w:b w:val="0"/>
                <w:i w:val="0"/>
                <w:sz w:val="16"/>
              </w:rPr>
              <w:t>2.989***</w:t>
            </w:r>
          </w:p>
        </w:tc>
        <w:tc>
          <w:tcPr>
            <w:tcW w:type="dxa" w:w="1360"/>
          </w:tcPr>
          <w:p>
            <w:pPr>
              <w:pStyle w:val="MDPI42tablebody"/>
              <w:keepNext/>
              <w:spacing w:line="240" w:lineRule="auto" w:before="30" w:after="30"/>
              <w:jc w:val="center"/>
            </w:pPr>
            <w:r>
              <w:rPr>
                <w:b w:val="0"/>
                <w:i w:val="0"/>
                <w:sz w:val="16"/>
              </w:rPr>
              <w:t>3.000***</w:t>
            </w:r>
          </w:p>
        </w:tc>
      </w:tr>
      <w:tr>
        <w:trPr>
          <w:cantSplit/>
        </w:trPr>
        <w:tc>
          <w:tcPr>
            <w:tcW w:type="dxa" w:w="2302"/>
          </w:tcPr>
          <w:p>
            <w:pPr>
              <w:pStyle w:val="MDPI42tablebody"/>
              <w:keepNext/>
              <w:spacing w:line="240" w:lineRule="auto" w:before="30" w:after="30"/>
              <w:jc w:val="left"/>
            </w:pPr>
          </w:p>
        </w:tc>
        <w:tc>
          <w:tcPr>
            <w:tcW w:type="dxa" w:w="1360"/>
          </w:tcPr>
          <w:p>
            <w:pPr>
              <w:pStyle w:val="MDPI42tablebody"/>
              <w:keepNext/>
              <w:spacing w:line="240" w:lineRule="auto" w:before="30" w:after="30"/>
              <w:jc w:val="center"/>
            </w:pPr>
            <w:r>
              <w:rPr>
                <w:b w:val="0"/>
                <w:i w:val="0"/>
                <w:sz w:val="16"/>
              </w:rPr>
              <w:t>(0.074)</w:t>
            </w:r>
          </w:p>
        </w:tc>
        <w:tc>
          <w:tcPr>
            <w:tcW w:type="dxa" w:w="1360"/>
          </w:tcPr>
          <w:p>
            <w:pPr>
              <w:pStyle w:val="MDPI42tablebody"/>
              <w:keepNext/>
              <w:spacing w:line="240" w:lineRule="auto" w:before="30" w:after="30"/>
              <w:jc w:val="center"/>
            </w:pPr>
            <w:r>
              <w:rPr>
                <w:b w:val="0"/>
                <w:i w:val="0"/>
                <w:sz w:val="16"/>
              </w:rPr>
              <w:t>(0.074)</w:t>
            </w:r>
          </w:p>
        </w:tc>
        <w:tc>
          <w:tcPr>
            <w:tcW w:type="dxa" w:w="1360"/>
          </w:tcPr>
          <w:p>
            <w:pPr>
              <w:pStyle w:val="MDPI42tablebody"/>
              <w:keepNext/>
              <w:spacing w:line="240" w:lineRule="auto" w:before="30" w:after="30"/>
              <w:jc w:val="center"/>
            </w:pPr>
            <w:r>
              <w:rPr>
                <w:b w:val="0"/>
                <w:i w:val="0"/>
                <w:sz w:val="16"/>
              </w:rPr>
              <w:t>(0.191)</w:t>
            </w:r>
          </w:p>
        </w:tc>
        <w:tc>
          <w:tcPr>
            <w:tcW w:type="dxa" w:w="1360"/>
          </w:tcPr>
          <w:p>
            <w:pPr>
              <w:pStyle w:val="MDPI42tablebody"/>
              <w:keepNext/>
              <w:spacing w:line="240" w:lineRule="auto" w:before="30" w:after="30"/>
              <w:jc w:val="center"/>
            </w:pPr>
            <w:r>
              <w:rPr>
                <w:b w:val="0"/>
                <w:i w:val="0"/>
                <w:sz w:val="16"/>
              </w:rPr>
              <w:t>(0.190)</w:t>
            </w:r>
          </w:p>
        </w:tc>
        <w:tc>
          <w:tcPr>
            <w:tcW w:type="dxa" w:w="1360"/>
          </w:tcPr>
          <w:p>
            <w:pPr>
              <w:pStyle w:val="MDPI42tablebody"/>
              <w:keepNext/>
              <w:spacing w:line="240" w:lineRule="auto" w:before="30" w:after="30"/>
              <w:jc w:val="center"/>
            </w:pPr>
            <w:r>
              <w:rPr>
                <w:b w:val="0"/>
                <w:i w:val="0"/>
                <w:sz w:val="16"/>
              </w:rPr>
              <w:t>(0.194)</w:t>
            </w:r>
          </w:p>
        </w:tc>
        <w:tc>
          <w:tcPr>
            <w:tcW w:type="dxa" w:w="1360"/>
          </w:tcPr>
          <w:p>
            <w:pPr>
              <w:pStyle w:val="MDPI42tablebody"/>
              <w:keepNext/>
              <w:spacing w:line="240" w:lineRule="auto" w:before="30" w:after="30"/>
              <w:jc w:val="center"/>
            </w:pPr>
            <w:r>
              <w:rPr>
                <w:b w:val="0"/>
                <w:i w:val="0"/>
                <w:sz w:val="16"/>
              </w:rPr>
              <w:t>(0.193)</w:t>
            </w:r>
          </w:p>
        </w:tc>
      </w:tr>
      <w:tr>
        <w:trPr>
          <w:cantSplit/>
        </w:trPr>
        <w:tc>
          <w:tcPr>
            <w:tcW w:type="dxa" w:w="2302"/>
          </w:tcPr>
          <w:p>
            <w:pPr>
              <w:pStyle w:val="MDPI42tablebody"/>
              <w:keepNext/>
              <w:spacing w:line="240" w:lineRule="auto" w:before="30" w:after="30"/>
              <w:jc w:val="left"/>
            </w:pPr>
            <w:r>
              <w:rPr>
                <w:b w:val="0"/>
                <w:i/>
                <w:sz w:val="16"/>
              </w:rPr>
              <w:t>AI</w:t>
            </w:r>
            <w:r>
              <w:rPr>
                <w:b w:val="0"/>
                <w:i/>
                <w:sz w:val="16"/>
                <w:vertAlign w:val="superscript"/>
              </w:rPr>
              <w:t>2</w:t>
            </w:r>
          </w:p>
        </w:tc>
        <w:tc>
          <w:tcPr>
            <w:tcW w:type="dxa" w:w="1360"/>
          </w:tcPr>
          <w:p>
            <w:pPr>
              <w:pStyle w:val="MDPI42tablebody"/>
              <w:keepNext/>
              <w:spacing w:line="240" w:lineRule="auto" w:before="30" w:after="30"/>
              <w:jc w:val="center"/>
            </w:pPr>
          </w:p>
        </w:tc>
        <w:tc>
          <w:tcPr>
            <w:tcW w:type="dxa" w:w="1360"/>
          </w:tcPr>
          <w:p>
            <w:pPr>
              <w:pStyle w:val="MDPI42tablebody"/>
              <w:keepNext/>
              <w:spacing w:line="240" w:lineRule="auto" w:before="30" w:after="30"/>
              <w:jc w:val="center"/>
            </w:pPr>
          </w:p>
        </w:tc>
        <w:tc>
          <w:tcPr>
            <w:tcW w:type="dxa" w:w="1360"/>
          </w:tcPr>
          <w:p>
            <w:pPr>
              <w:pStyle w:val="MDPI42tablebody"/>
              <w:keepNext/>
              <w:spacing w:line="240" w:lineRule="auto" w:before="30" w:after="30"/>
              <w:jc w:val="center"/>
            </w:pPr>
            <w:r>
              <w:rPr>
                <w:b w:val="0"/>
                <w:i w:val="0"/>
                <w:sz w:val="16"/>
              </w:rPr>
              <w:t>−0.692***</w:t>
            </w:r>
          </w:p>
        </w:tc>
        <w:tc>
          <w:tcPr>
            <w:tcW w:type="dxa" w:w="1360"/>
          </w:tcPr>
          <w:p>
            <w:pPr>
              <w:pStyle w:val="MDPI42tablebody"/>
              <w:keepNext/>
              <w:spacing w:line="240" w:lineRule="auto" w:before="30" w:after="30"/>
              <w:jc w:val="center"/>
            </w:pPr>
            <w:r>
              <w:rPr>
                <w:b w:val="0"/>
                <w:i w:val="0"/>
                <w:sz w:val="16"/>
              </w:rPr>
              <w:t>−0.692***</w:t>
            </w:r>
          </w:p>
        </w:tc>
        <w:tc>
          <w:tcPr>
            <w:tcW w:type="dxa" w:w="1360"/>
          </w:tcPr>
          <w:p>
            <w:pPr>
              <w:pStyle w:val="MDPI42tablebody"/>
              <w:keepNext/>
              <w:spacing w:line="240" w:lineRule="auto" w:before="30" w:after="30"/>
              <w:jc w:val="center"/>
            </w:pPr>
            <w:r>
              <w:rPr>
                <w:b w:val="0"/>
                <w:i w:val="0"/>
                <w:sz w:val="16"/>
              </w:rPr>
              <w:t>−0.693***</w:t>
            </w:r>
          </w:p>
        </w:tc>
        <w:tc>
          <w:tcPr>
            <w:tcW w:type="dxa" w:w="1360"/>
          </w:tcPr>
          <w:p>
            <w:pPr>
              <w:pStyle w:val="MDPI42tablebody"/>
              <w:keepNext/>
              <w:spacing w:line="240" w:lineRule="auto" w:before="30" w:after="30"/>
              <w:jc w:val="center"/>
            </w:pPr>
            <w:r>
              <w:rPr>
                <w:b w:val="0"/>
                <w:i w:val="0"/>
                <w:sz w:val="16"/>
              </w:rPr>
              <w:t>−0.690***</w:t>
            </w:r>
          </w:p>
        </w:tc>
      </w:tr>
      <w:tr>
        <w:trPr>
          <w:cantSplit/>
        </w:trPr>
        <w:tc>
          <w:tcPr>
            <w:tcW w:type="dxa" w:w="2302"/>
          </w:tcPr>
          <w:p>
            <w:pPr>
              <w:pStyle w:val="MDPI42tablebody"/>
              <w:keepNext/>
              <w:spacing w:line="240" w:lineRule="auto" w:before="30" w:after="30"/>
              <w:jc w:val="left"/>
            </w:pPr>
          </w:p>
        </w:tc>
        <w:tc>
          <w:tcPr>
            <w:tcW w:type="dxa" w:w="1360"/>
          </w:tcPr>
          <w:p>
            <w:pPr>
              <w:pStyle w:val="MDPI42tablebody"/>
              <w:keepNext/>
              <w:spacing w:line="240" w:lineRule="auto" w:before="30" w:after="30"/>
              <w:jc w:val="center"/>
            </w:pPr>
          </w:p>
        </w:tc>
        <w:tc>
          <w:tcPr>
            <w:tcW w:type="dxa" w:w="1360"/>
          </w:tcPr>
          <w:p>
            <w:pPr>
              <w:pStyle w:val="MDPI42tablebody"/>
              <w:keepNext/>
              <w:spacing w:line="240" w:lineRule="auto" w:before="30" w:after="30"/>
              <w:jc w:val="center"/>
            </w:pPr>
          </w:p>
        </w:tc>
        <w:tc>
          <w:tcPr>
            <w:tcW w:type="dxa" w:w="1360"/>
          </w:tcPr>
          <w:p>
            <w:pPr>
              <w:pStyle w:val="MDPI42tablebody"/>
              <w:keepNext/>
              <w:spacing w:line="240" w:lineRule="auto" w:before="30" w:after="30"/>
              <w:jc w:val="center"/>
            </w:pPr>
            <w:r>
              <w:rPr>
                <w:b w:val="0"/>
                <w:i w:val="0"/>
                <w:sz w:val="16"/>
              </w:rPr>
              <w:t>(0.045)</w:t>
            </w:r>
          </w:p>
        </w:tc>
        <w:tc>
          <w:tcPr>
            <w:tcW w:type="dxa" w:w="1360"/>
          </w:tcPr>
          <w:p>
            <w:pPr>
              <w:pStyle w:val="MDPI42tablebody"/>
              <w:keepNext/>
              <w:spacing w:line="240" w:lineRule="auto" w:before="30" w:after="30"/>
              <w:jc w:val="center"/>
            </w:pPr>
            <w:r>
              <w:rPr>
                <w:b w:val="0"/>
                <w:i w:val="0"/>
                <w:sz w:val="16"/>
              </w:rPr>
              <w:t>(0.045)</w:t>
            </w:r>
          </w:p>
        </w:tc>
        <w:tc>
          <w:tcPr>
            <w:tcW w:type="dxa" w:w="1360"/>
          </w:tcPr>
          <w:p>
            <w:pPr>
              <w:pStyle w:val="MDPI42tablebody"/>
              <w:keepNext/>
              <w:spacing w:line="240" w:lineRule="auto" w:before="30" w:after="30"/>
              <w:jc w:val="center"/>
            </w:pPr>
            <w:r>
              <w:rPr>
                <w:b w:val="0"/>
                <w:i w:val="0"/>
                <w:sz w:val="16"/>
              </w:rPr>
              <w:t>(0.046)</w:t>
            </w:r>
          </w:p>
        </w:tc>
        <w:tc>
          <w:tcPr>
            <w:tcW w:type="dxa" w:w="1360"/>
          </w:tcPr>
          <w:p>
            <w:pPr>
              <w:pStyle w:val="MDPI42tablebody"/>
              <w:keepNext/>
              <w:spacing w:line="240" w:lineRule="auto" w:before="30" w:after="30"/>
              <w:jc w:val="center"/>
            </w:pPr>
            <w:r>
              <w:rPr>
                <w:b w:val="0"/>
                <w:i w:val="0"/>
                <w:sz w:val="16"/>
              </w:rPr>
              <w:t>(0.046)</w:t>
            </w:r>
          </w:p>
        </w:tc>
      </w:tr>
      <w:tr>
        <w:trPr>
          <w:cantSplit/>
        </w:trPr>
        <w:tc>
          <w:tcPr>
            <w:tcW w:type="dxa" w:w="2302"/>
          </w:tcPr>
          <w:p>
            <w:pPr>
              <w:pStyle w:val="MDPI42tablebody"/>
              <w:keepNext/>
              <w:spacing w:line="240" w:lineRule="auto" w:before="30" w:after="30"/>
              <w:jc w:val="left"/>
            </w:pPr>
            <w:r>
              <w:rPr>
                <w:b w:val="0"/>
                <w:i/>
                <w:sz w:val="16"/>
              </w:rPr>
              <w:t>Size</w:t>
            </w:r>
          </w:p>
        </w:tc>
        <w:tc>
          <w:tcPr>
            <w:tcW w:type="dxa" w:w="1360"/>
          </w:tcPr>
          <w:p>
            <w:pPr>
              <w:pStyle w:val="MDPI42tablebody"/>
              <w:keepNext/>
              <w:spacing w:line="240" w:lineRule="auto" w:before="30" w:after="30"/>
              <w:jc w:val="center"/>
            </w:pPr>
          </w:p>
        </w:tc>
        <w:tc>
          <w:tcPr>
            <w:tcW w:type="dxa" w:w="1360"/>
          </w:tcPr>
          <w:p>
            <w:pPr>
              <w:pStyle w:val="MDPI42tablebody"/>
              <w:keepNext/>
              <w:spacing w:line="240" w:lineRule="auto" w:before="30" w:after="30"/>
              <w:jc w:val="center"/>
            </w:pPr>
            <w:r>
              <w:rPr>
                <w:b w:val="0"/>
                <w:i w:val="0"/>
                <w:sz w:val="16"/>
              </w:rPr>
              <w:t>1.369***</w:t>
            </w:r>
          </w:p>
        </w:tc>
        <w:tc>
          <w:tcPr>
            <w:tcW w:type="dxa" w:w="1360"/>
          </w:tcPr>
          <w:p>
            <w:pPr>
              <w:pStyle w:val="MDPI42tablebody"/>
              <w:keepNext/>
              <w:spacing w:line="240" w:lineRule="auto" w:before="30" w:after="30"/>
              <w:jc w:val="center"/>
            </w:pPr>
          </w:p>
        </w:tc>
        <w:tc>
          <w:tcPr>
            <w:tcW w:type="dxa" w:w="1360"/>
          </w:tcPr>
          <w:p>
            <w:pPr>
              <w:pStyle w:val="MDPI42tablebody"/>
              <w:keepNext/>
              <w:spacing w:line="240" w:lineRule="auto" w:before="30" w:after="30"/>
              <w:jc w:val="center"/>
            </w:pPr>
            <w:r>
              <w:rPr>
                <w:b w:val="0"/>
                <w:i w:val="0"/>
                <w:sz w:val="16"/>
              </w:rPr>
              <w:t>1.361***</w:t>
            </w:r>
          </w:p>
        </w:tc>
        <w:tc>
          <w:tcPr>
            <w:tcW w:type="dxa" w:w="1360"/>
          </w:tcPr>
          <w:p>
            <w:pPr>
              <w:pStyle w:val="MDPI42tablebody"/>
              <w:keepNext/>
              <w:spacing w:line="240" w:lineRule="auto" w:before="30" w:after="30"/>
              <w:jc w:val="center"/>
            </w:pPr>
            <w:r>
              <w:rPr>
                <w:b w:val="0"/>
                <w:i w:val="0"/>
                <w:sz w:val="16"/>
              </w:rPr>
              <w:t>1.350***</w:t>
            </w:r>
          </w:p>
        </w:tc>
        <w:tc>
          <w:tcPr>
            <w:tcW w:type="dxa" w:w="1360"/>
          </w:tcPr>
          <w:p>
            <w:pPr>
              <w:pStyle w:val="MDPI42tablebody"/>
              <w:keepNext/>
              <w:spacing w:line="240" w:lineRule="auto" w:before="30" w:after="30"/>
              <w:jc w:val="center"/>
            </w:pPr>
            <w:r>
              <w:rPr>
                <w:b w:val="0"/>
                <w:i w:val="0"/>
                <w:sz w:val="16"/>
              </w:rPr>
              <w:t>1.365***</w:t>
            </w:r>
          </w:p>
        </w:tc>
      </w:tr>
      <w:tr>
        <w:trPr>
          <w:cantSplit/>
        </w:trPr>
        <w:tc>
          <w:tcPr>
            <w:tcW w:type="dxa" w:w="2302"/>
          </w:tcPr>
          <w:p>
            <w:pPr>
              <w:pStyle w:val="MDPI42tablebody"/>
              <w:keepNext/>
              <w:spacing w:line="240" w:lineRule="auto" w:before="30" w:after="30"/>
              <w:jc w:val="left"/>
            </w:pPr>
          </w:p>
        </w:tc>
        <w:tc>
          <w:tcPr>
            <w:tcW w:type="dxa" w:w="1360"/>
          </w:tcPr>
          <w:p>
            <w:pPr>
              <w:pStyle w:val="MDPI42tablebody"/>
              <w:keepNext/>
              <w:spacing w:line="240" w:lineRule="auto" w:before="30" w:after="30"/>
              <w:jc w:val="center"/>
            </w:pPr>
          </w:p>
        </w:tc>
        <w:tc>
          <w:tcPr>
            <w:tcW w:type="dxa" w:w="1360"/>
          </w:tcPr>
          <w:p>
            <w:pPr>
              <w:pStyle w:val="MDPI42tablebody"/>
              <w:keepNext/>
              <w:spacing w:line="240" w:lineRule="auto" w:before="30" w:after="30"/>
              <w:jc w:val="center"/>
            </w:pPr>
            <w:r>
              <w:rPr>
                <w:b w:val="0"/>
                <w:i w:val="0"/>
                <w:sz w:val="16"/>
              </w:rPr>
              <w:t>(0.122)</w:t>
            </w:r>
          </w:p>
        </w:tc>
        <w:tc>
          <w:tcPr>
            <w:tcW w:type="dxa" w:w="1360"/>
          </w:tcPr>
          <w:p>
            <w:pPr>
              <w:pStyle w:val="MDPI42tablebody"/>
              <w:keepNext/>
              <w:spacing w:line="240" w:lineRule="auto" w:before="30" w:after="30"/>
              <w:jc w:val="center"/>
            </w:pPr>
          </w:p>
        </w:tc>
        <w:tc>
          <w:tcPr>
            <w:tcW w:type="dxa" w:w="1360"/>
          </w:tcPr>
          <w:p>
            <w:pPr>
              <w:pStyle w:val="MDPI42tablebody"/>
              <w:keepNext/>
              <w:spacing w:line="240" w:lineRule="auto" w:before="30" w:after="30"/>
              <w:jc w:val="center"/>
            </w:pPr>
            <w:r>
              <w:rPr>
                <w:b w:val="0"/>
                <w:i w:val="0"/>
                <w:sz w:val="16"/>
              </w:rPr>
              <w:t>(0.120)</w:t>
            </w:r>
          </w:p>
        </w:tc>
        <w:tc>
          <w:tcPr>
            <w:tcW w:type="dxa" w:w="1360"/>
          </w:tcPr>
          <w:p>
            <w:pPr>
              <w:pStyle w:val="MDPI42tablebody"/>
              <w:keepNext/>
              <w:spacing w:line="240" w:lineRule="auto" w:before="30" w:after="30"/>
              <w:jc w:val="center"/>
            </w:pPr>
            <w:r>
              <w:rPr>
                <w:b w:val="0"/>
                <w:i w:val="0"/>
                <w:sz w:val="16"/>
              </w:rPr>
              <w:t>(0.121)</w:t>
            </w:r>
          </w:p>
        </w:tc>
        <w:tc>
          <w:tcPr>
            <w:tcW w:type="dxa" w:w="1360"/>
          </w:tcPr>
          <w:p>
            <w:pPr>
              <w:pStyle w:val="MDPI42tablebody"/>
              <w:keepNext/>
              <w:spacing w:line="240" w:lineRule="auto" w:before="30" w:after="30"/>
              <w:jc w:val="center"/>
            </w:pPr>
            <w:r>
              <w:rPr>
                <w:b w:val="0"/>
                <w:i w:val="0"/>
                <w:sz w:val="16"/>
              </w:rPr>
              <w:t>(0.121)</w:t>
            </w:r>
          </w:p>
        </w:tc>
      </w:tr>
      <w:tr>
        <w:trPr>
          <w:cantSplit/>
        </w:trPr>
        <w:tc>
          <w:tcPr>
            <w:tcW w:type="dxa" w:w="2302"/>
          </w:tcPr>
          <w:p>
            <w:pPr>
              <w:pStyle w:val="MDPI42tablebody"/>
              <w:keepNext/>
              <w:spacing w:line="240" w:lineRule="auto" w:before="30" w:after="30"/>
              <w:jc w:val="left"/>
            </w:pPr>
            <w:r>
              <w:rPr>
                <w:b w:val="0"/>
                <w:i/>
                <w:sz w:val="16"/>
              </w:rPr>
              <w:t>Lev</w:t>
            </w:r>
          </w:p>
        </w:tc>
        <w:tc>
          <w:tcPr>
            <w:tcW w:type="dxa" w:w="1360"/>
          </w:tcPr>
          <w:p>
            <w:pPr>
              <w:pStyle w:val="MDPI42tablebody"/>
              <w:keepNext/>
              <w:spacing w:line="240" w:lineRule="auto" w:before="30" w:after="30"/>
              <w:jc w:val="center"/>
            </w:pPr>
          </w:p>
        </w:tc>
        <w:tc>
          <w:tcPr>
            <w:tcW w:type="dxa" w:w="1360"/>
          </w:tcPr>
          <w:p>
            <w:pPr>
              <w:pStyle w:val="MDPI42tablebody"/>
              <w:keepNext/>
              <w:spacing w:line="240" w:lineRule="auto" w:before="30" w:after="30"/>
              <w:jc w:val="center"/>
            </w:pPr>
            <w:r>
              <w:rPr>
                <w:b w:val="0"/>
                <w:i w:val="0"/>
                <w:sz w:val="16"/>
              </w:rPr>
              <w:t>−3.273***</w:t>
            </w:r>
          </w:p>
        </w:tc>
        <w:tc>
          <w:tcPr>
            <w:tcW w:type="dxa" w:w="1360"/>
          </w:tcPr>
          <w:p>
            <w:pPr>
              <w:pStyle w:val="MDPI42tablebody"/>
              <w:keepNext/>
              <w:spacing w:line="240" w:lineRule="auto" w:before="30" w:after="30"/>
              <w:jc w:val="center"/>
            </w:pPr>
          </w:p>
        </w:tc>
        <w:tc>
          <w:tcPr>
            <w:tcW w:type="dxa" w:w="1360"/>
          </w:tcPr>
          <w:p>
            <w:pPr>
              <w:pStyle w:val="MDPI42tablebody"/>
              <w:keepNext/>
              <w:spacing w:line="240" w:lineRule="auto" w:before="30" w:after="30"/>
              <w:jc w:val="center"/>
            </w:pPr>
            <w:r>
              <w:rPr>
                <w:b w:val="0"/>
                <w:i w:val="0"/>
                <w:sz w:val="16"/>
              </w:rPr>
              <w:t>−3.277***</w:t>
            </w:r>
          </w:p>
        </w:tc>
        <w:tc>
          <w:tcPr>
            <w:tcW w:type="dxa" w:w="1360"/>
          </w:tcPr>
          <w:p>
            <w:pPr>
              <w:pStyle w:val="MDPI42tablebody"/>
              <w:keepNext/>
              <w:spacing w:line="240" w:lineRule="auto" w:before="30" w:after="30"/>
              <w:jc w:val="center"/>
            </w:pPr>
            <w:r>
              <w:rPr>
                <w:b w:val="0"/>
                <w:i w:val="0"/>
                <w:sz w:val="16"/>
              </w:rPr>
              <w:t>−3.249***</w:t>
            </w:r>
          </w:p>
        </w:tc>
        <w:tc>
          <w:tcPr>
            <w:tcW w:type="dxa" w:w="1360"/>
          </w:tcPr>
          <w:p>
            <w:pPr>
              <w:pStyle w:val="MDPI42tablebody"/>
              <w:keepNext/>
              <w:spacing w:line="240" w:lineRule="auto" w:before="30" w:after="30"/>
              <w:jc w:val="center"/>
            </w:pPr>
            <w:r>
              <w:rPr>
                <w:b w:val="0"/>
                <w:i w:val="0"/>
                <w:sz w:val="16"/>
              </w:rPr>
              <w:t>−3.272***</w:t>
            </w:r>
          </w:p>
        </w:tc>
      </w:tr>
      <w:tr>
        <w:trPr>
          <w:cantSplit/>
        </w:trPr>
        <w:tc>
          <w:tcPr>
            <w:tcW w:type="dxa" w:w="2302"/>
          </w:tcPr>
          <w:p>
            <w:pPr>
              <w:pStyle w:val="MDPI42tablebody"/>
              <w:keepNext/>
              <w:spacing w:line="240" w:lineRule="auto" w:before="30" w:after="30"/>
              <w:jc w:val="left"/>
            </w:pPr>
          </w:p>
        </w:tc>
        <w:tc>
          <w:tcPr>
            <w:tcW w:type="dxa" w:w="1360"/>
          </w:tcPr>
          <w:p>
            <w:pPr>
              <w:pStyle w:val="MDPI42tablebody"/>
              <w:keepNext/>
              <w:spacing w:line="240" w:lineRule="auto" w:before="30" w:after="30"/>
              <w:jc w:val="center"/>
            </w:pPr>
          </w:p>
        </w:tc>
        <w:tc>
          <w:tcPr>
            <w:tcW w:type="dxa" w:w="1360"/>
          </w:tcPr>
          <w:p>
            <w:pPr>
              <w:pStyle w:val="MDPI42tablebody"/>
              <w:keepNext/>
              <w:spacing w:line="240" w:lineRule="auto" w:before="30" w:after="30"/>
              <w:jc w:val="center"/>
            </w:pPr>
            <w:r>
              <w:rPr>
                <w:b w:val="0"/>
                <w:i w:val="0"/>
                <w:sz w:val="16"/>
              </w:rPr>
              <w:t>(0.240)</w:t>
            </w:r>
          </w:p>
        </w:tc>
        <w:tc>
          <w:tcPr>
            <w:tcW w:type="dxa" w:w="1360"/>
          </w:tcPr>
          <w:p>
            <w:pPr>
              <w:pStyle w:val="MDPI42tablebody"/>
              <w:keepNext/>
              <w:spacing w:line="240" w:lineRule="auto" w:before="30" w:after="30"/>
              <w:jc w:val="center"/>
            </w:pPr>
          </w:p>
        </w:tc>
        <w:tc>
          <w:tcPr>
            <w:tcW w:type="dxa" w:w="1360"/>
          </w:tcPr>
          <w:p>
            <w:pPr>
              <w:pStyle w:val="MDPI42tablebody"/>
              <w:keepNext/>
              <w:spacing w:line="240" w:lineRule="auto" w:before="30" w:after="30"/>
              <w:jc w:val="center"/>
            </w:pPr>
            <w:r>
              <w:rPr>
                <w:b w:val="0"/>
                <w:i w:val="0"/>
                <w:sz w:val="16"/>
              </w:rPr>
              <w:t>(0.237)</w:t>
            </w:r>
          </w:p>
        </w:tc>
        <w:tc>
          <w:tcPr>
            <w:tcW w:type="dxa" w:w="1360"/>
          </w:tcPr>
          <w:p>
            <w:pPr>
              <w:pStyle w:val="MDPI42tablebody"/>
              <w:keepNext/>
              <w:spacing w:line="240" w:lineRule="auto" w:before="30" w:after="30"/>
              <w:jc w:val="center"/>
            </w:pPr>
            <w:r>
              <w:rPr>
                <w:b w:val="0"/>
                <w:i w:val="0"/>
                <w:sz w:val="16"/>
              </w:rPr>
              <w:t>(0.238)</w:t>
            </w:r>
          </w:p>
        </w:tc>
        <w:tc>
          <w:tcPr>
            <w:tcW w:type="dxa" w:w="1360"/>
          </w:tcPr>
          <w:p>
            <w:pPr>
              <w:pStyle w:val="MDPI42tablebody"/>
              <w:keepNext/>
              <w:spacing w:line="240" w:lineRule="auto" w:before="30" w:after="30"/>
              <w:jc w:val="center"/>
            </w:pPr>
            <w:r>
              <w:rPr>
                <w:b w:val="0"/>
                <w:i w:val="0"/>
                <w:sz w:val="16"/>
              </w:rPr>
              <w:t>(0.239)</w:t>
            </w:r>
          </w:p>
        </w:tc>
      </w:tr>
      <w:tr>
        <w:trPr>
          <w:cantSplit/>
        </w:trPr>
        <w:tc>
          <w:tcPr>
            <w:tcW w:type="dxa" w:w="2302"/>
          </w:tcPr>
          <w:p>
            <w:pPr>
              <w:pStyle w:val="MDPI42tablebody"/>
              <w:keepNext/>
              <w:spacing w:line="240" w:lineRule="auto" w:before="30" w:after="30"/>
              <w:jc w:val="left"/>
            </w:pPr>
            <w:r>
              <w:rPr>
                <w:b w:val="0"/>
                <w:i/>
                <w:sz w:val="16"/>
              </w:rPr>
              <w:t>ROE</w:t>
            </w:r>
          </w:p>
        </w:tc>
        <w:tc>
          <w:tcPr>
            <w:tcW w:type="dxa" w:w="1360"/>
          </w:tcPr>
          <w:p>
            <w:pPr>
              <w:pStyle w:val="MDPI42tablebody"/>
              <w:keepNext/>
              <w:spacing w:line="240" w:lineRule="auto" w:before="30" w:after="30"/>
              <w:jc w:val="center"/>
            </w:pPr>
          </w:p>
        </w:tc>
        <w:tc>
          <w:tcPr>
            <w:tcW w:type="dxa" w:w="1360"/>
          </w:tcPr>
          <w:p>
            <w:pPr>
              <w:pStyle w:val="MDPI42tablebody"/>
              <w:keepNext/>
              <w:spacing w:line="240" w:lineRule="auto" w:before="30" w:after="30"/>
              <w:jc w:val="center"/>
            </w:pPr>
            <w:r>
              <w:rPr>
                <w:b w:val="0"/>
                <w:i w:val="0"/>
                <w:sz w:val="16"/>
              </w:rPr>
              <w:t>1.103***</w:t>
            </w:r>
          </w:p>
        </w:tc>
        <w:tc>
          <w:tcPr>
            <w:tcW w:type="dxa" w:w="1360"/>
          </w:tcPr>
          <w:p>
            <w:pPr>
              <w:pStyle w:val="MDPI42tablebody"/>
              <w:keepNext/>
              <w:spacing w:line="240" w:lineRule="auto" w:before="30" w:after="30"/>
              <w:jc w:val="center"/>
            </w:pPr>
          </w:p>
        </w:tc>
        <w:tc>
          <w:tcPr>
            <w:tcW w:type="dxa" w:w="1360"/>
          </w:tcPr>
          <w:p>
            <w:pPr>
              <w:pStyle w:val="MDPI42tablebody"/>
              <w:keepNext/>
              <w:spacing w:line="240" w:lineRule="auto" w:before="30" w:after="30"/>
              <w:jc w:val="center"/>
            </w:pPr>
            <w:r>
              <w:rPr>
                <w:b w:val="0"/>
                <w:i w:val="0"/>
                <w:sz w:val="16"/>
              </w:rPr>
              <w:t>1.075***</w:t>
            </w:r>
          </w:p>
        </w:tc>
        <w:tc>
          <w:tcPr>
            <w:tcW w:type="dxa" w:w="1360"/>
          </w:tcPr>
          <w:p>
            <w:pPr>
              <w:pStyle w:val="MDPI42tablebody"/>
              <w:keepNext/>
              <w:spacing w:line="240" w:lineRule="auto" w:before="30" w:after="30"/>
              <w:jc w:val="center"/>
            </w:pPr>
            <w:r>
              <w:rPr>
                <w:b w:val="0"/>
                <w:i w:val="0"/>
                <w:sz w:val="16"/>
              </w:rPr>
              <w:t>1.117***</w:t>
            </w:r>
          </w:p>
        </w:tc>
        <w:tc>
          <w:tcPr>
            <w:tcW w:type="dxa" w:w="1360"/>
          </w:tcPr>
          <w:p>
            <w:pPr>
              <w:pStyle w:val="MDPI42tablebody"/>
              <w:keepNext/>
              <w:spacing w:line="240" w:lineRule="auto" w:before="30" w:after="30"/>
              <w:jc w:val="center"/>
            </w:pPr>
            <w:r>
              <w:rPr>
                <w:b w:val="0"/>
                <w:i w:val="0"/>
                <w:sz w:val="16"/>
              </w:rPr>
              <w:t>1.057***</w:t>
            </w:r>
          </w:p>
        </w:tc>
      </w:tr>
      <w:tr>
        <w:trPr>
          <w:cantSplit/>
        </w:trPr>
        <w:tc>
          <w:tcPr>
            <w:tcW w:type="dxa" w:w="2302"/>
          </w:tcPr>
          <w:p>
            <w:pPr>
              <w:pStyle w:val="MDPI42tablebody"/>
              <w:keepNext/>
              <w:spacing w:line="240" w:lineRule="auto" w:before="30" w:after="30"/>
              <w:jc w:val="left"/>
            </w:pPr>
          </w:p>
        </w:tc>
        <w:tc>
          <w:tcPr>
            <w:tcW w:type="dxa" w:w="1360"/>
          </w:tcPr>
          <w:p>
            <w:pPr>
              <w:pStyle w:val="MDPI42tablebody"/>
              <w:keepNext/>
              <w:spacing w:line="240" w:lineRule="auto" w:before="30" w:after="30"/>
              <w:jc w:val="center"/>
            </w:pPr>
          </w:p>
        </w:tc>
        <w:tc>
          <w:tcPr>
            <w:tcW w:type="dxa" w:w="1360"/>
          </w:tcPr>
          <w:p>
            <w:pPr>
              <w:pStyle w:val="MDPI42tablebody"/>
              <w:keepNext/>
              <w:spacing w:line="240" w:lineRule="auto" w:before="30" w:after="30"/>
              <w:jc w:val="center"/>
            </w:pPr>
            <w:r>
              <w:rPr>
                <w:b w:val="0"/>
                <w:i w:val="0"/>
                <w:sz w:val="16"/>
              </w:rPr>
              <w:t>(0.310)</w:t>
            </w:r>
          </w:p>
        </w:tc>
        <w:tc>
          <w:tcPr>
            <w:tcW w:type="dxa" w:w="1360"/>
          </w:tcPr>
          <w:p>
            <w:pPr>
              <w:pStyle w:val="MDPI42tablebody"/>
              <w:keepNext/>
              <w:spacing w:line="240" w:lineRule="auto" w:before="30" w:after="30"/>
              <w:jc w:val="center"/>
            </w:pPr>
          </w:p>
        </w:tc>
        <w:tc>
          <w:tcPr>
            <w:tcW w:type="dxa" w:w="1360"/>
          </w:tcPr>
          <w:p>
            <w:pPr>
              <w:pStyle w:val="MDPI42tablebody"/>
              <w:keepNext/>
              <w:spacing w:line="240" w:lineRule="auto" w:before="30" w:after="30"/>
              <w:jc w:val="center"/>
            </w:pPr>
            <w:r>
              <w:rPr>
                <w:b w:val="0"/>
                <w:i w:val="0"/>
                <w:sz w:val="16"/>
              </w:rPr>
              <w:t>(0.309)</w:t>
            </w:r>
          </w:p>
        </w:tc>
        <w:tc>
          <w:tcPr>
            <w:tcW w:type="dxa" w:w="1360"/>
          </w:tcPr>
          <w:p>
            <w:pPr>
              <w:pStyle w:val="MDPI42tablebody"/>
              <w:keepNext/>
              <w:spacing w:line="240" w:lineRule="auto" w:before="30" w:after="30"/>
              <w:jc w:val="center"/>
            </w:pPr>
            <w:r>
              <w:rPr>
                <w:b w:val="0"/>
                <w:i w:val="0"/>
                <w:sz w:val="16"/>
              </w:rPr>
              <w:t>(0.309)</w:t>
            </w:r>
          </w:p>
        </w:tc>
        <w:tc>
          <w:tcPr>
            <w:tcW w:type="dxa" w:w="1360"/>
          </w:tcPr>
          <w:p>
            <w:pPr>
              <w:pStyle w:val="MDPI42tablebody"/>
              <w:keepNext/>
              <w:spacing w:line="240" w:lineRule="auto" w:before="30" w:after="30"/>
              <w:jc w:val="center"/>
            </w:pPr>
            <w:r>
              <w:rPr>
                <w:b w:val="0"/>
                <w:i w:val="0"/>
                <w:sz w:val="16"/>
              </w:rPr>
              <w:t>(0.310)</w:t>
            </w:r>
          </w:p>
        </w:tc>
      </w:tr>
      <w:tr>
        <w:trPr>
          <w:cantSplit/>
        </w:trPr>
        <w:tc>
          <w:tcPr>
            <w:tcW w:type="dxa" w:w="2302"/>
          </w:tcPr>
          <w:p>
            <w:pPr>
              <w:pStyle w:val="MDPI42tablebody"/>
              <w:keepNext/>
              <w:spacing w:line="240" w:lineRule="auto" w:before="30" w:after="30"/>
              <w:jc w:val="left"/>
            </w:pPr>
            <w:r>
              <w:rPr>
                <w:b w:val="0"/>
                <w:i/>
                <w:sz w:val="16"/>
              </w:rPr>
              <w:t>Growth</w:t>
            </w:r>
          </w:p>
        </w:tc>
        <w:tc>
          <w:tcPr>
            <w:tcW w:type="dxa" w:w="1360"/>
          </w:tcPr>
          <w:p>
            <w:pPr>
              <w:pStyle w:val="MDPI42tablebody"/>
              <w:keepNext/>
              <w:spacing w:line="240" w:lineRule="auto" w:before="30" w:after="30"/>
              <w:jc w:val="center"/>
            </w:pPr>
          </w:p>
        </w:tc>
        <w:tc>
          <w:tcPr>
            <w:tcW w:type="dxa" w:w="1360"/>
          </w:tcPr>
          <w:p>
            <w:pPr>
              <w:pStyle w:val="MDPI42tablebody"/>
              <w:keepNext/>
              <w:spacing w:line="240" w:lineRule="auto" w:before="30" w:after="30"/>
              <w:jc w:val="center"/>
            </w:pPr>
            <w:r>
              <w:rPr>
                <w:b w:val="0"/>
                <w:i w:val="0"/>
                <w:sz w:val="16"/>
              </w:rPr>
              <w:t>0.185*</w:t>
            </w:r>
          </w:p>
        </w:tc>
        <w:tc>
          <w:tcPr>
            <w:tcW w:type="dxa" w:w="1360"/>
          </w:tcPr>
          <w:p>
            <w:pPr>
              <w:pStyle w:val="MDPI42tablebody"/>
              <w:keepNext/>
              <w:spacing w:line="240" w:lineRule="auto" w:before="30" w:after="30"/>
              <w:jc w:val="center"/>
            </w:pPr>
          </w:p>
        </w:tc>
        <w:tc>
          <w:tcPr>
            <w:tcW w:type="dxa" w:w="1360"/>
          </w:tcPr>
          <w:p>
            <w:pPr>
              <w:pStyle w:val="MDPI42tablebody"/>
              <w:keepNext/>
              <w:spacing w:line="240" w:lineRule="auto" w:before="30" w:after="30"/>
              <w:jc w:val="center"/>
            </w:pPr>
            <w:r>
              <w:rPr>
                <w:b w:val="0"/>
                <w:i w:val="0"/>
                <w:sz w:val="16"/>
              </w:rPr>
              <w:t>0.217**</w:t>
            </w:r>
          </w:p>
        </w:tc>
        <w:tc>
          <w:tcPr>
            <w:tcW w:type="dxa" w:w="1360"/>
          </w:tcPr>
          <w:p>
            <w:pPr>
              <w:pStyle w:val="MDPI42tablebody"/>
              <w:keepNext/>
              <w:spacing w:line="240" w:lineRule="auto" w:before="30" w:after="30"/>
              <w:jc w:val="center"/>
            </w:pPr>
            <w:r>
              <w:rPr>
                <w:b w:val="0"/>
                <w:i w:val="0"/>
                <w:sz w:val="16"/>
              </w:rPr>
              <w:t>0.230**</w:t>
            </w:r>
          </w:p>
        </w:tc>
        <w:tc>
          <w:tcPr>
            <w:tcW w:type="dxa" w:w="1360"/>
          </w:tcPr>
          <w:p>
            <w:pPr>
              <w:pStyle w:val="MDPI42tablebody"/>
              <w:keepNext/>
              <w:spacing w:line="240" w:lineRule="auto" w:before="30" w:after="30"/>
              <w:jc w:val="center"/>
            </w:pPr>
            <w:r>
              <w:rPr>
                <w:b w:val="0"/>
                <w:i w:val="0"/>
                <w:sz w:val="16"/>
              </w:rPr>
              <w:t>0.222**</w:t>
            </w:r>
          </w:p>
        </w:tc>
      </w:tr>
      <w:tr>
        <w:trPr>
          <w:cantSplit/>
        </w:trPr>
        <w:tc>
          <w:tcPr>
            <w:tcW w:type="dxa" w:w="2302"/>
          </w:tcPr>
          <w:p>
            <w:pPr>
              <w:pStyle w:val="MDPI42tablebody"/>
              <w:keepNext/>
              <w:spacing w:line="240" w:lineRule="auto" w:before="30" w:after="30"/>
              <w:jc w:val="left"/>
            </w:pPr>
          </w:p>
        </w:tc>
        <w:tc>
          <w:tcPr>
            <w:tcW w:type="dxa" w:w="1360"/>
          </w:tcPr>
          <w:p>
            <w:pPr>
              <w:pStyle w:val="MDPI42tablebody"/>
              <w:keepNext/>
              <w:spacing w:line="240" w:lineRule="auto" w:before="30" w:after="30"/>
              <w:jc w:val="center"/>
            </w:pPr>
          </w:p>
        </w:tc>
        <w:tc>
          <w:tcPr>
            <w:tcW w:type="dxa" w:w="1360"/>
          </w:tcPr>
          <w:p>
            <w:pPr>
              <w:pStyle w:val="MDPI42tablebody"/>
              <w:keepNext/>
              <w:spacing w:line="240" w:lineRule="auto" w:before="30" w:after="30"/>
              <w:jc w:val="center"/>
            </w:pPr>
            <w:r>
              <w:rPr>
                <w:b w:val="0"/>
                <w:i w:val="0"/>
                <w:sz w:val="16"/>
              </w:rPr>
              <w:t>(0.106)</w:t>
            </w:r>
          </w:p>
        </w:tc>
        <w:tc>
          <w:tcPr>
            <w:tcW w:type="dxa" w:w="1360"/>
          </w:tcPr>
          <w:p>
            <w:pPr>
              <w:pStyle w:val="MDPI42tablebody"/>
              <w:keepNext/>
              <w:spacing w:line="240" w:lineRule="auto" w:before="30" w:after="30"/>
              <w:jc w:val="center"/>
            </w:pPr>
          </w:p>
        </w:tc>
        <w:tc>
          <w:tcPr>
            <w:tcW w:type="dxa" w:w="1360"/>
          </w:tcPr>
          <w:p>
            <w:pPr>
              <w:pStyle w:val="MDPI42tablebody"/>
              <w:keepNext/>
              <w:spacing w:line="240" w:lineRule="auto" w:before="30" w:after="30"/>
              <w:jc w:val="center"/>
            </w:pPr>
            <w:r>
              <w:rPr>
                <w:b w:val="0"/>
                <w:i w:val="0"/>
                <w:sz w:val="16"/>
              </w:rPr>
              <w:t>(0.105)</w:t>
            </w:r>
          </w:p>
        </w:tc>
        <w:tc>
          <w:tcPr>
            <w:tcW w:type="dxa" w:w="1360"/>
          </w:tcPr>
          <w:p>
            <w:pPr>
              <w:pStyle w:val="MDPI42tablebody"/>
              <w:keepNext/>
              <w:spacing w:line="240" w:lineRule="auto" w:before="30" w:after="30"/>
              <w:jc w:val="center"/>
            </w:pPr>
            <w:r>
              <w:rPr>
                <w:b w:val="0"/>
                <w:i w:val="0"/>
                <w:sz w:val="16"/>
              </w:rPr>
              <w:t>(0.105)</w:t>
            </w:r>
          </w:p>
        </w:tc>
        <w:tc>
          <w:tcPr>
            <w:tcW w:type="dxa" w:w="1360"/>
          </w:tcPr>
          <w:p>
            <w:pPr>
              <w:pStyle w:val="MDPI42tablebody"/>
              <w:keepNext/>
              <w:spacing w:line="240" w:lineRule="auto" w:before="30" w:after="30"/>
              <w:jc w:val="center"/>
            </w:pPr>
            <w:r>
              <w:rPr>
                <w:b w:val="0"/>
                <w:i w:val="0"/>
                <w:sz w:val="16"/>
              </w:rPr>
              <w:t>(0.106)</w:t>
            </w:r>
          </w:p>
        </w:tc>
      </w:tr>
      <w:tr>
        <w:trPr>
          <w:cantSplit/>
        </w:trPr>
        <w:tc>
          <w:tcPr>
            <w:tcW w:type="dxa" w:w="2302"/>
          </w:tcPr>
          <w:p>
            <w:pPr>
              <w:pStyle w:val="MDPI42tablebody"/>
              <w:keepNext/>
              <w:spacing w:line="240" w:lineRule="auto" w:before="30" w:after="30"/>
              <w:jc w:val="left"/>
            </w:pPr>
            <w:r>
              <w:rPr>
                <w:b w:val="0"/>
                <w:i/>
                <w:sz w:val="16"/>
              </w:rPr>
              <w:t>Age</w:t>
            </w:r>
          </w:p>
        </w:tc>
        <w:tc>
          <w:tcPr>
            <w:tcW w:type="dxa" w:w="1360"/>
          </w:tcPr>
          <w:p>
            <w:pPr>
              <w:pStyle w:val="MDPI42tablebody"/>
              <w:keepNext/>
              <w:spacing w:line="240" w:lineRule="auto" w:before="30" w:after="30"/>
              <w:jc w:val="center"/>
            </w:pPr>
          </w:p>
        </w:tc>
        <w:tc>
          <w:tcPr>
            <w:tcW w:type="dxa" w:w="1360"/>
          </w:tcPr>
          <w:p>
            <w:pPr>
              <w:pStyle w:val="MDPI42tablebody"/>
              <w:keepNext/>
              <w:spacing w:line="240" w:lineRule="auto" w:before="30" w:after="30"/>
              <w:jc w:val="center"/>
            </w:pPr>
            <w:r>
              <w:rPr>
                <w:b w:val="0"/>
                <w:i w:val="0"/>
                <w:sz w:val="16"/>
              </w:rPr>
              <w:t>−2.121***</w:t>
            </w:r>
          </w:p>
        </w:tc>
        <w:tc>
          <w:tcPr>
            <w:tcW w:type="dxa" w:w="1360"/>
          </w:tcPr>
          <w:p>
            <w:pPr>
              <w:pStyle w:val="MDPI42tablebody"/>
              <w:keepNext/>
              <w:spacing w:line="240" w:lineRule="auto" w:before="30" w:after="30"/>
              <w:jc w:val="center"/>
            </w:pPr>
          </w:p>
        </w:tc>
        <w:tc>
          <w:tcPr>
            <w:tcW w:type="dxa" w:w="1360"/>
          </w:tcPr>
          <w:p>
            <w:pPr>
              <w:pStyle w:val="MDPI42tablebody"/>
              <w:keepNext/>
              <w:spacing w:line="240" w:lineRule="auto" w:before="30" w:after="30"/>
              <w:jc w:val="center"/>
            </w:pPr>
            <w:r>
              <w:rPr>
                <w:b w:val="0"/>
                <w:i w:val="0"/>
                <w:sz w:val="16"/>
              </w:rPr>
              <w:t>−2.190***</w:t>
            </w:r>
          </w:p>
        </w:tc>
        <w:tc>
          <w:tcPr>
            <w:tcW w:type="dxa" w:w="1360"/>
          </w:tcPr>
          <w:p>
            <w:pPr>
              <w:pStyle w:val="MDPI42tablebody"/>
              <w:keepNext/>
              <w:spacing w:line="240" w:lineRule="auto" w:before="30" w:after="30"/>
              <w:jc w:val="center"/>
            </w:pPr>
            <w:r>
              <w:rPr>
                <w:b w:val="0"/>
                <w:i w:val="0"/>
                <w:sz w:val="16"/>
              </w:rPr>
              <w:t>−2.123***</w:t>
            </w:r>
          </w:p>
        </w:tc>
        <w:tc>
          <w:tcPr>
            <w:tcW w:type="dxa" w:w="1360"/>
          </w:tcPr>
          <w:p>
            <w:pPr>
              <w:pStyle w:val="MDPI42tablebody"/>
              <w:keepNext/>
              <w:spacing w:line="240" w:lineRule="auto" w:before="30" w:after="30"/>
              <w:jc w:val="center"/>
            </w:pPr>
            <w:r>
              <w:rPr>
                <w:b w:val="0"/>
                <w:i w:val="0"/>
                <w:sz w:val="16"/>
              </w:rPr>
              <w:t>−2.119***</w:t>
            </w:r>
          </w:p>
        </w:tc>
      </w:tr>
      <w:tr>
        <w:trPr>
          <w:cantSplit/>
        </w:trPr>
        <w:tc>
          <w:tcPr>
            <w:tcW w:type="dxa" w:w="2302"/>
          </w:tcPr>
          <w:p>
            <w:pPr>
              <w:pStyle w:val="MDPI42tablebody"/>
              <w:keepNext/>
              <w:spacing w:line="240" w:lineRule="auto" w:before="30" w:after="30"/>
              <w:jc w:val="left"/>
            </w:pPr>
          </w:p>
        </w:tc>
        <w:tc>
          <w:tcPr>
            <w:tcW w:type="dxa" w:w="1360"/>
          </w:tcPr>
          <w:p>
            <w:pPr>
              <w:pStyle w:val="MDPI42tablebody"/>
              <w:keepNext/>
              <w:spacing w:line="240" w:lineRule="auto" w:before="30" w:after="30"/>
              <w:jc w:val="center"/>
            </w:pPr>
          </w:p>
        </w:tc>
        <w:tc>
          <w:tcPr>
            <w:tcW w:type="dxa" w:w="1360"/>
          </w:tcPr>
          <w:p>
            <w:pPr>
              <w:pStyle w:val="MDPI42tablebody"/>
              <w:keepNext/>
              <w:spacing w:line="240" w:lineRule="auto" w:before="30" w:after="30"/>
              <w:jc w:val="center"/>
            </w:pPr>
            <w:r>
              <w:rPr>
                <w:b w:val="0"/>
                <w:i w:val="0"/>
                <w:sz w:val="16"/>
              </w:rPr>
              <w:t>(0.756)</w:t>
            </w:r>
          </w:p>
        </w:tc>
        <w:tc>
          <w:tcPr>
            <w:tcW w:type="dxa" w:w="1360"/>
          </w:tcPr>
          <w:p>
            <w:pPr>
              <w:pStyle w:val="MDPI42tablebody"/>
              <w:keepNext/>
              <w:spacing w:line="240" w:lineRule="auto" w:before="30" w:after="30"/>
              <w:jc w:val="center"/>
            </w:pPr>
          </w:p>
        </w:tc>
        <w:tc>
          <w:tcPr>
            <w:tcW w:type="dxa" w:w="1360"/>
          </w:tcPr>
          <w:p>
            <w:pPr>
              <w:pStyle w:val="MDPI42tablebody"/>
              <w:keepNext/>
              <w:spacing w:line="240" w:lineRule="auto" w:before="30" w:after="30"/>
              <w:jc w:val="center"/>
            </w:pPr>
            <w:r>
              <w:rPr>
                <w:b w:val="0"/>
                <w:i w:val="0"/>
                <w:sz w:val="16"/>
              </w:rPr>
              <w:t>(0.752)</w:t>
            </w:r>
          </w:p>
        </w:tc>
        <w:tc>
          <w:tcPr>
            <w:tcW w:type="dxa" w:w="1360"/>
          </w:tcPr>
          <w:p>
            <w:pPr>
              <w:pStyle w:val="MDPI42tablebody"/>
              <w:keepNext/>
              <w:spacing w:line="240" w:lineRule="auto" w:before="30" w:after="30"/>
              <w:jc w:val="center"/>
            </w:pPr>
            <w:r>
              <w:rPr>
                <w:b w:val="0"/>
                <w:i w:val="0"/>
                <w:sz w:val="16"/>
              </w:rPr>
              <w:t>(0.755)</w:t>
            </w:r>
          </w:p>
        </w:tc>
        <w:tc>
          <w:tcPr>
            <w:tcW w:type="dxa" w:w="1360"/>
          </w:tcPr>
          <w:p>
            <w:pPr>
              <w:pStyle w:val="MDPI42tablebody"/>
              <w:keepNext/>
              <w:spacing w:line="240" w:lineRule="auto" w:before="30" w:after="30"/>
              <w:jc w:val="center"/>
            </w:pPr>
            <w:r>
              <w:rPr>
                <w:b w:val="0"/>
                <w:i w:val="0"/>
                <w:sz w:val="16"/>
              </w:rPr>
              <w:t>(0.755)</w:t>
            </w:r>
          </w:p>
        </w:tc>
      </w:tr>
      <w:tr>
        <w:trPr>
          <w:cantSplit/>
        </w:trPr>
        <w:tc>
          <w:tcPr>
            <w:tcW w:type="dxa" w:w="2302"/>
          </w:tcPr>
          <w:p>
            <w:pPr>
              <w:pStyle w:val="MDPI42tablebody"/>
              <w:keepNext/>
              <w:spacing w:line="240" w:lineRule="auto" w:before="30" w:after="30"/>
              <w:jc w:val="left"/>
            </w:pPr>
            <w:r>
              <w:rPr>
                <w:b w:val="0"/>
                <w:i/>
                <w:sz w:val="16"/>
              </w:rPr>
              <w:t>Board</w:t>
            </w:r>
          </w:p>
        </w:tc>
        <w:tc>
          <w:tcPr>
            <w:tcW w:type="dxa" w:w="1360"/>
          </w:tcPr>
          <w:p>
            <w:pPr>
              <w:pStyle w:val="MDPI42tablebody"/>
              <w:keepNext/>
              <w:spacing w:line="240" w:lineRule="auto" w:before="30" w:after="30"/>
              <w:jc w:val="center"/>
            </w:pPr>
          </w:p>
        </w:tc>
        <w:tc>
          <w:tcPr>
            <w:tcW w:type="dxa" w:w="1360"/>
          </w:tcPr>
          <w:p>
            <w:pPr>
              <w:pStyle w:val="MDPI42tablebody"/>
              <w:keepNext/>
              <w:spacing w:line="240" w:lineRule="auto" w:before="30" w:after="30"/>
              <w:jc w:val="center"/>
            </w:pPr>
            <w:r>
              <w:rPr>
                <w:b w:val="0"/>
                <w:i w:val="0"/>
                <w:sz w:val="16"/>
              </w:rPr>
              <w:t>−0.010</w:t>
            </w:r>
          </w:p>
        </w:tc>
        <w:tc>
          <w:tcPr>
            <w:tcW w:type="dxa" w:w="1360"/>
          </w:tcPr>
          <w:p>
            <w:pPr>
              <w:pStyle w:val="MDPI42tablebody"/>
              <w:keepNext/>
              <w:spacing w:line="240" w:lineRule="auto" w:before="30" w:after="30"/>
              <w:jc w:val="center"/>
            </w:pPr>
          </w:p>
        </w:tc>
        <w:tc>
          <w:tcPr>
            <w:tcW w:type="dxa" w:w="1360"/>
          </w:tcPr>
          <w:p>
            <w:pPr>
              <w:pStyle w:val="MDPI42tablebody"/>
              <w:keepNext/>
              <w:spacing w:line="240" w:lineRule="auto" w:before="30" w:after="30"/>
              <w:jc w:val="center"/>
            </w:pPr>
            <w:r>
              <w:rPr>
                <w:b w:val="0"/>
                <w:i w:val="0"/>
                <w:sz w:val="16"/>
              </w:rPr>
              <w:t>−0.018</w:t>
            </w:r>
          </w:p>
        </w:tc>
        <w:tc>
          <w:tcPr>
            <w:tcW w:type="dxa" w:w="1360"/>
          </w:tcPr>
          <w:p>
            <w:pPr>
              <w:pStyle w:val="MDPI42tablebody"/>
              <w:keepNext/>
              <w:spacing w:line="240" w:lineRule="auto" w:before="30" w:after="30"/>
              <w:jc w:val="center"/>
            </w:pPr>
            <w:r>
              <w:rPr>
                <w:b w:val="0"/>
                <w:i w:val="0"/>
                <w:sz w:val="16"/>
              </w:rPr>
              <w:t>−0.050</w:t>
            </w:r>
          </w:p>
        </w:tc>
        <w:tc>
          <w:tcPr>
            <w:tcW w:type="dxa" w:w="1360"/>
          </w:tcPr>
          <w:p>
            <w:pPr>
              <w:pStyle w:val="MDPI42tablebody"/>
              <w:keepNext/>
              <w:spacing w:line="240" w:lineRule="auto" w:before="30" w:after="30"/>
              <w:jc w:val="center"/>
            </w:pPr>
            <w:r>
              <w:rPr>
                <w:b w:val="0"/>
                <w:i w:val="0"/>
                <w:sz w:val="16"/>
              </w:rPr>
              <w:t>−0.027</w:t>
            </w:r>
          </w:p>
        </w:tc>
      </w:tr>
      <w:tr>
        <w:trPr>
          <w:cantSplit/>
        </w:trPr>
        <w:tc>
          <w:tcPr>
            <w:tcW w:type="dxa" w:w="2302"/>
          </w:tcPr>
          <w:p>
            <w:pPr>
              <w:pStyle w:val="MDPI42tablebody"/>
              <w:keepNext/>
              <w:spacing w:line="240" w:lineRule="auto" w:before="30" w:after="30"/>
              <w:jc w:val="left"/>
            </w:pPr>
          </w:p>
        </w:tc>
        <w:tc>
          <w:tcPr>
            <w:tcW w:type="dxa" w:w="1360"/>
          </w:tcPr>
          <w:p>
            <w:pPr>
              <w:pStyle w:val="MDPI42tablebody"/>
              <w:keepNext/>
              <w:spacing w:line="240" w:lineRule="auto" w:before="30" w:after="30"/>
              <w:jc w:val="center"/>
            </w:pPr>
          </w:p>
        </w:tc>
        <w:tc>
          <w:tcPr>
            <w:tcW w:type="dxa" w:w="1360"/>
          </w:tcPr>
          <w:p>
            <w:pPr>
              <w:pStyle w:val="MDPI42tablebody"/>
              <w:keepNext/>
              <w:spacing w:line="240" w:lineRule="auto" w:before="30" w:after="30"/>
              <w:jc w:val="center"/>
            </w:pPr>
            <w:r>
              <w:rPr>
                <w:b w:val="0"/>
                <w:i w:val="0"/>
                <w:sz w:val="16"/>
              </w:rPr>
              <w:t>(0.198)</w:t>
            </w:r>
          </w:p>
        </w:tc>
        <w:tc>
          <w:tcPr>
            <w:tcW w:type="dxa" w:w="1360"/>
          </w:tcPr>
          <w:p>
            <w:pPr>
              <w:pStyle w:val="MDPI42tablebody"/>
              <w:keepNext/>
              <w:spacing w:line="240" w:lineRule="auto" w:before="30" w:after="30"/>
              <w:jc w:val="center"/>
            </w:pPr>
          </w:p>
        </w:tc>
        <w:tc>
          <w:tcPr>
            <w:tcW w:type="dxa" w:w="1360"/>
          </w:tcPr>
          <w:p>
            <w:pPr>
              <w:pStyle w:val="MDPI42tablebody"/>
              <w:keepNext/>
              <w:spacing w:line="240" w:lineRule="auto" w:before="30" w:after="30"/>
              <w:jc w:val="center"/>
            </w:pPr>
            <w:r>
              <w:rPr>
                <w:b w:val="0"/>
                <w:i w:val="0"/>
                <w:sz w:val="16"/>
              </w:rPr>
              <w:t>(0.197)</w:t>
            </w:r>
          </w:p>
        </w:tc>
        <w:tc>
          <w:tcPr>
            <w:tcW w:type="dxa" w:w="1360"/>
          </w:tcPr>
          <w:p>
            <w:pPr>
              <w:pStyle w:val="MDPI42tablebody"/>
              <w:keepNext/>
              <w:spacing w:line="240" w:lineRule="auto" w:before="30" w:after="30"/>
              <w:jc w:val="center"/>
            </w:pPr>
            <w:r>
              <w:rPr>
                <w:b w:val="0"/>
                <w:i w:val="0"/>
                <w:sz w:val="16"/>
              </w:rPr>
              <w:t>(0.198)</w:t>
            </w:r>
          </w:p>
        </w:tc>
        <w:tc>
          <w:tcPr>
            <w:tcW w:type="dxa" w:w="1360"/>
          </w:tcPr>
          <w:p>
            <w:pPr>
              <w:pStyle w:val="MDPI42tablebody"/>
              <w:keepNext/>
              <w:spacing w:line="240" w:lineRule="auto" w:before="30" w:after="30"/>
              <w:jc w:val="center"/>
            </w:pPr>
            <w:r>
              <w:rPr>
                <w:b w:val="0"/>
                <w:i w:val="0"/>
                <w:sz w:val="16"/>
              </w:rPr>
              <w:t>(0.198)</w:t>
            </w:r>
          </w:p>
        </w:tc>
      </w:tr>
      <w:tr>
        <w:trPr>
          <w:cantSplit/>
        </w:trPr>
        <w:tc>
          <w:tcPr>
            <w:tcW w:type="dxa" w:w="2302"/>
          </w:tcPr>
          <w:p>
            <w:pPr>
              <w:pStyle w:val="MDPI42tablebody"/>
              <w:keepNext/>
              <w:spacing w:line="240" w:lineRule="auto" w:before="30" w:after="30"/>
              <w:jc w:val="left"/>
            </w:pPr>
            <w:r>
              <w:rPr>
                <w:b w:val="0"/>
                <w:i/>
                <w:sz w:val="16"/>
              </w:rPr>
              <w:t>Indep</w:t>
            </w:r>
          </w:p>
        </w:tc>
        <w:tc>
          <w:tcPr>
            <w:tcW w:type="dxa" w:w="1360"/>
          </w:tcPr>
          <w:p>
            <w:pPr>
              <w:pStyle w:val="MDPI42tablebody"/>
              <w:keepNext/>
              <w:spacing w:line="240" w:lineRule="auto" w:before="30" w:after="30"/>
              <w:jc w:val="center"/>
            </w:pPr>
          </w:p>
        </w:tc>
        <w:tc>
          <w:tcPr>
            <w:tcW w:type="dxa" w:w="1360"/>
          </w:tcPr>
          <w:p>
            <w:pPr>
              <w:pStyle w:val="MDPI42tablebody"/>
              <w:keepNext/>
              <w:spacing w:line="240" w:lineRule="auto" w:before="30" w:after="30"/>
              <w:jc w:val="center"/>
            </w:pPr>
            <w:r>
              <w:rPr>
                <w:b w:val="0"/>
                <w:i w:val="0"/>
                <w:sz w:val="16"/>
              </w:rPr>
              <w:t>−0.209</w:t>
            </w:r>
          </w:p>
        </w:tc>
        <w:tc>
          <w:tcPr>
            <w:tcW w:type="dxa" w:w="1360"/>
          </w:tcPr>
          <w:p>
            <w:pPr>
              <w:pStyle w:val="MDPI42tablebody"/>
              <w:keepNext/>
              <w:spacing w:line="240" w:lineRule="auto" w:before="30" w:after="30"/>
              <w:jc w:val="center"/>
            </w:pPr>
          </w:p>
        </w:tc>
        <w:tc>
          <w:tcPr>
            <w:tcW w:type="dxa" w:w="1360"/>
          </w:tcPr>
          <w:p>
            <w:pPr>
              <w:pStyle w:val="MDPI42tablebody"/>
              <w:keepNext/>
              <w:spacing w:line="240" w:lineRule="auto" w:before="30" w:after="30"/>
              <w:jc w:val="center"/>
            </w:pPr>
            <w:r>
              <w:rPr>
                <w:b w:val="0"/>
                <w:i w:val="0"/>
                <w:sz w:val="16"/>
              </w:rPr>
              <w:t>−0.462</w:t>
            </w:r>
          </w:p>
        </w:tc>
        <w:tc>
          <w:tcPr>
            <w:tcW w:type="dxa" w:w="1360"/>
          </w:tcPr>
          <w:p>
            <w:pPr>
              <w:pStyle w:val="MDPI42tablebody"/>
              <w:keepNext/>
              <w:spacing w:line="240" w:lineRule="auto" w:before="30" w:after="30"/>
              <w:jc w:val="center"/>
            </w:pPr>
            <w:r>
              <w:rPr>
                <w:b w:val="0"/>
                <w:i w:val="0"/>
                <w:sz w:val="16"/>
              </w:rPr>
              <w:t>−0.499</w:t>
            </w:r>
          </w:p>
        </w:tc>
        <w:tc>
          <w:tcPr>
            <w:tcW w:type="dxa" w:w="1360"/>
          </w:tcPr>
          <w:p>
            <w:pPr>
              <w:pStyle w:val="MDPI42tablebody"/>
              <w:keepNext/>
              <w:spacing w:line="240" w:lineRule="auto" w:before="30" w:after="30"/>
              <w:jc w:val="center"/>
            </w:pPr>
            <w:r>
              <w:rPr>
                <w:b w:val="0"/>
                <w:i w:val="0"/>
                <w:sz w:val="16"/>
              </w:rPr>
              <w:t>−0.438</w:t>
            </w:r>
          </w:p>
        </w:tc>
      </w:tr>
      <w:tr>
        <w:trPr>
          <w:cantSplit/>
        </w:trPr>
        <w:tc>
          <w:tcPr>
            <w:tcW w:type="dxa" w:w="2302"/>
          </w:tcPr>
          <w:p>
            <w:pPr>
              <w:pStyle w:val="MDPI42tablebody"/>
              <w:keepNext/>
              <w:spacing w:line="240" w:lineRule="auto" w:before="30" w:after="30"/>
              <w:jc w:val="left"/>
            </w:pPr>
          </w:p>
        </w:tc>
        <w:tc>
          <w:tcPr>
            <w:tcW w:type="dxa" w:w="1360"/>
          </w:tcPr>
          <w:p>
            <w:pPr>
              <w:pStyle w:val="MDPI42tablebody"/>
              <w:keepNext/>
              <w:spacing w:line="240" w:lineRule="auto" w:before="30" w:after="30"/>
              <w:jc w:val="center"/>
            </w:pPr>
          </w:p>
        </w:tc>
        <w:tc>
          <w:tcPr>
            <w:tcW w:type="dxa" w:w="1360"/>
          </w:tcPr>
          <w:p>
            <w:pPr>
              <w:pStyle w:val="MDPI42tablebody"/>
              <w:keepNext/>
              <w:spacing w:line="240" w:lineRule="auto" w:before="30" w:after="30"/>
              <w:jc w:val="center"/>
            </w:pPr>
            <w:r>
              <w:rPr>
                <w:b w:val="0"/>
                <w:i w:val="0"/>
                <w:sz w:val="16"/>
              </w:rPr>
              <w:t>(0.766)</w:t>
            </w:r>
          </w:p>
        </w:tc>
        <w:tc>
          <w:tcPr>
            <w:tcW w:type="dxa" w:w="1360"/>
          </w:tcPr>
          <w:p>
            <w:pPr>
              <w:pStyle w:val="MDPI42tablebody"/>
              <w:keepNext/>
              <w:spacing w:line="240" w:lineRule="auto" w:before="30" w:after="30"/>
              <w:jc w:val="center"/>
            </w:pPr>
          </w:p>
        </w:tc>
        <w:tc>
          <w:tcPr>
            <w:tcW w:type="dxa" w:w="1360"/>
          </w:tcPr>
          <w:p>
            <w:pPr>
              <w:pStyle w:val="MDPI42tablebody"/>
              <w:keepNext/>
              <w:spacing w:line="240" w:lineRule="auto" w:before="30" w:after="30"/>
              <w:jc w:val="center"/>
            </w:pPr>
            <w:r>
              <w:rPr>
                <w:b w:val="0"/>
                <w:i w:val="0"/>
                <w:sz w:val="16"/>
              </w:rPr>
              <w:t>(0.763)</w:t>
            </w:r>
          </w:p>
        </w:tc>
        <w:tc>
          <w:tcPr>
            <w:tcW w:type="dxa" w:w="1360"/>
          </w:tcPr>
          <w:p>
            <w:pPr>
              <w:pStyle w:val="MDPI42tablebody"/>
              <w:keepNext/>
              <w:spacing w:line="240" w:lineRule="auto" w:before="30" w:after="30"/>
              <w:jc w:val="center"/>
            </w:pPr>
            <w:r>
              <w:rPr>
                <w:b w:val="0"/>
                <w:i w:val="0"/>
                <w:sz w:val="16"/>
              </w:rPr>
              <w:t>(0.762)</w:t>
            </w:r>
          </w:p>
        </w:tc>
        <w:tc>
          <w:tcPr>
            <w:tcW w:type="dxa" w:w="1360"/>
          </w:tcPr>
          <w:p>
            <w:pPr>
              <w:pStyle w:val="MDPI42tablebody"/>
              <w:keepNext/>
              <w:spacing w:line="240" w:lineRule="auto" w:before="30" w:after="30"/>
              <w:jc w:val="center"/>
            </w:pPr>
            <w:r>
              <w:rPr>
                <w:b w:val="0"/>
                <w:i w:val="0"/>
                <w:sz w:val="16"/>
              </w:rPr>
              <w:t>(0.768)</w:t>
            </w:r>
          </w:p>
        </w:tc>
      </w:tr>
      <w:tr>
        <w:trPr>
          <w:cantSplit/>
        </w:trPr>
        <w:tc>
          <w:tcPr>
            <w:tcW w:type="dxa" w:w="2302"/>
          </w:tcPr>
          <w:p>
            <w:pPr>
              <w:pStyle w:val="MDPI42tablebody"/>
              <w:keepNext/>
              <w:spacing w:line="240" w:lineRule="auto" w:before="30" w:after="30"/>
              <w:jc w:val="left"/>
            </w:pPr>
            <w:r>
              <w:rPr>
                <w:b w:val="0"/>
                <w:i/>
                <w:sz w:val="16"/>
              </w:rPr>
              <w:t>Dual</w:t>
            </w:r>
          </w:p>
        </w:tc>
        <w:tc>
          <w:tcPr>
            <w:tcW w:type="dxa" w:w="1360"/>
          </w:tcPr>
          <w:p>
            <w:pPr>
              <w:pStyle w:val="MDPI42tablebody"/>
              <w:keepNext/>
              <w:spacing w:line="240" w:lineRule="auto" w:before="30" w:after="30"/>
              <w:jc w:val="center"/>
            </w:pPr>
          </w:p>
        </w:tc>
        <w:tc>
          <w:tcPr>
            <w:tcW w:type="dxa" w:w="1360"/>
          </w:tcPr>
          <w:p>
            <w:pPr>
              <w:pStyle w:val="MDPI42tablebody"/>
              <w:keepNext/>
              <w:spacing w:line="240" w:lineRule="auto" w:before="30" w:after="30"/>
              <w:jc w:val="center"/>
            </w:pPr>
            <w:r>
              <w:rPr>
                <w:b w:val="0"/>
                <w:i w:val="0"/>
                <w:sz w:val="16"/>
              </w:rPr>
              <w:t>0.038</w:t>
            </w:r>
          </w:p>
        </w:tc>
        <w:tc>
          <w:tcPr>
            <w:tcW w:type="dxa" w:w="1360"/>
          </w:tcPr>
          <w:p>
            <w:pPr>
              <w:pStyle w:val="MDPI42tablebody"/>
              <w:keepNext/>
              <w:spacing w:line="240" w:lineRule="auto" w:before="30" w:after="30"/>
              <w:jc w:val="center"/>
            </w:pPr>
          </w:p>
        </w:tc>
        <w:tc>
          <w:tcPr>
            <w:tcW w:type="dxa" w:w="1360"/>
          </w:tcPr>
          <w:p>
            <w:pPr>
              <w:pStyle w:val="MDPI42tablebody"/>
              <w:keepNext/>
              <w:spacing w:line="240" w:lineRule="auto" w:before="30" w:after="30"/>
              <w:jc w:val="center"/>
            </w:pPr>
            <w:r>
              <w:rPr>
                <w:b w:val="0"/>
                <w:i w:val="0"/>
                <w:sz w:val="16"/>
              </w:rPr>
              <w:t>0.047</w:t>
            </w:r>
          </w:p>
        </w:tc>
        <w:tc>
          <w:tcPr>
            <w:tcW w:type="dxa" w:w="1360"/>
          </w:tcPr>
          <w:p>
            <w:pPr>
              <w:pStyle w:val="MDPI42tablebody"/>
              <w:keepNext/>
              <w:spacing w:line="240" w:lineRule="auto" w:before="30" w:after="30"/>
              <w:jc w:val="center"/>
            </w:pPr>
            <w:r>
              <w:rPr>
                <w:b w:val="0"/>
                <w:i w:val="0"/>
                <w:sz w:val="16"/>
              </w:rPr>
              <w:t>0.048</w:t>
            </w:r>
          </w:p>
        </w:tc>
        <w:tc>
          <w:tcPr>
            <w:tcW w:type="dxa" w:w="1360"/>
          </w:tcPr>
          <w:p>
            <w:pPr>
              <w:pStyle w:val="MDPI42tablebody"/>
              <w:keepNext/>
              <w:spacing w:line="240" w:lineRule="auto" w:before="30" w:after="30"/>
              <w:jc w:val="center"/>
            </w:pPr>
            <w:r>
              <w:rPr>
                <w:b w:val="0"/>
                <w:i w:val="0"/>
                <w:sz w:val="16"/>
              </w:rPr>
              <w:t>0.033</w:t>
            </w:r>
          </w:p>
        </w:tc>
      </w:tr>
      <w:tr>
        <w:trPr>
          <w:cantSplit/>
        </w:trPr>
        <w:tc>
          <w:tcPr>
            <w:tcW w:type="dxa" w:w="2302"/>
          </w:tcPr>
          <w:p>
            <w:pPr>
              <w:pStyle w:val="MDPI42tablebody"/>
              <w:keepNext/>
              <w:spacing w:line="240" w:lineRule="auto" w:before="30" w:after="30"/>
              <w:jc w:val="left"/>
            </w:pPr>
          </w:p>
        </w:tc>
        <w:tc>
          <w:tcPr>
            <w:tcW w:type="dxa" w:w="1360"/>
          </w:tcPr>
          <w:p>
            <w:pPr>
              <w:pStyle w:val="MDPI42tablebody"/>
              <w:keepNext/>
              <w:spacing w:line="240" w:lineRule="auto" w:before="30" w:after="30"/>
              <w:jc w:val="center"/>
            </w:pPr>
          </w:p>
        </w:tc>
        <w:tc>
          <w:tcPr>
            <w:tcW w:type="dxa" w:w="1360"/>
          </w:tcPr>
          <w:p>
            <w:pPr>
              <w:pStyle w:val="MDPI42tablebody"/>
              <w:keepNext/>
              <w:spacing w:line="240" w:lineRule="auto" w:before="30" w:after="30"/>
              <w:jc w:val="center"/>
            </w:pPr>
            <w:r>
              <w:rPr>
                <w:b w:val="0"/>
                <w:i w:val="0"/>
                <w:sz w:val="16"/>
              </w:rPr>
              <w:t>(0.081)</w:t>
            </w:r>
          </w:p>
        </w:tc>
        <w:tc>
          <w:tcPr>
            <w:tcW w:type="dxa" w:w="1360"/>
          </w:tcPr>
          <w:p>
            <w:pPr>
              <w:pStyle w:val="MDPI42tablebody"/>
              <w:keepNext/>
              <w:spacing w:line="240" w:lineRule="auto" w:before="30" w:after="30"/>
              <w:jc w:val="center"/>
            </w:pPr>
          </w:p>
        </w:tc>
        <w:tc>
          <w:tcPr>
            <w:tcW w:type="dxa" w:w="1360"/>
          </w:tcPr>
          <w:p>
            <w:pPr>
              <w:pStyle w:val="MDPI42tablebody"/>
              <w:keepNext/>
              <w:spacing w:line="240" w:lineRule="auto" w:before="30" w:after="30"/>
              <w:jc w:val="center"/>
            </w:pPr>
            <w:r>
              <w:rPr>
                <w:b w:val="0"/>
                <w:i w:val="0"/>
                <w:sz w:val="16"/>
              </w:rPr>
              <w:t>(0.081)</w:t>
            </w:r>
          </w:p>
        </w:tc>
        <w:tc>
          <w:tcPr>
            <w:tcW w:type="dxa" w:w="1360"/>
          </w:tcPr>
          <w:p>
            <w:pPr>
              <w:pStyle w:val="MDPI42tablebody"/>
              <w:keepNext/>
              <w:spacing w:line="240" w:lineRule="auto" w:before="30" w:after="30"/>
              <w:jc w:val="center"/>
            </w:pPr>
            <w:r>
              <w:rPr>
                <w:b w:val="0"/>
                <w:i w:val="0"/>
                <w:sz w:val="16"/>
              </w:rPr>
              <w:t>(0.081)</w:t>
            </w:r>
          </w:p>
        </w:tc>
        <w:tc>
          <w:tcPr>
            <w:tcW w:type="dxa" w:w="1360"/>
          </w:tcPr>
          <w:p>
            <w:pPr>
              <w:pStyle w:val="MDPI42tablebody"/>
              <w:keepNext/>
              <w:spacing w:line="240" w:lineRule="auto" w:before="30" w:after="30"/>
              <w:jc w:val="center"/>
            </w:pPr>
            <w:r>
              <w:rPr>
                <w:b w:val="0"/>
                <w:i w:val="0"/>
                <w:sz w:val="16"/>
              </w:rPr>
              <w:t>(0.082)</w:t>
            </w:r>
          </w:p>
        </w:tc>
      </w:tr>
      <w:tr>
        <w:trPr>
          <w:cantSplit/>
        </w:trPr>
        <w:tc>
          <w:tcPr>
            <w:tcW w:type="dxa" w:w="2302"/>
          </w:tcPr>
          <w:p>
            <w:pPr>
              <w:pStyle w:val="MDPI42tablebody"/>
              <w:keepNext/>
              <w:spacing w:line="240" w:lineRule="auto" w:before="30" w:after="30"/>
              <w:jc w:val="left"/>
            </w:pPr>
            <w:r>
              <w:rPr>
                <w:b w:val="0"/>
                <w:i/>
                <w:sz w:val="16"/>
              </w:rPr>
              <w:t>TobinQ</w:t>
            </w:r>
          </w:p>
        </w:tc>
        <w:tc>
          <w:tcPr>
            <w:tcW w:type="dxa" w:w="1360"/>
          </w:tcPr>
          <w:p>
            <w:pPr>
              <w:pStyle w:val="MDPI42tablebody"/>
              <w:keepNext/>
              <w:spacing w:line="240" w:lineRule="auto" w:before="30" w:after="30"/>
              <w:jc w:val="center"/>
            </w:pPr>
          </w:p>
        </w:tc>
        <w:tc>
          <w:tcPr>
            <w:tcW w:type="dxa" w:w="1360"/>
          </w:tcPr>
          <w:p>
            <w:pPr>
              <w:pStyle w:val="MDPI42tablebody"/>
              <w:keepNext/>
              <w:spacing w:line="240" w:lineRule="auto" w:before="30" w:after="30"/>
              <w:jc w:val="center"/>
            </w:pPr>
            <w:r>
              <w:rPr>
                <w:b w:val="0"/>
                <w:i w:val="0"/>
                <w:sz w:val="16"/>
              </w:rPr>
              <w:t>0.008</w:t>
            </w:r>
          </w:p>
        </w:tc>
        <w:tc>
          <w:tcPr>
            <w:tcW w:type="dxa" w:w="1360"/>
          </w:tcPr>
          <w:p>
            <w:pPr>
              <w:pStyle w:val="MDPI42tablebody"/>
              <w:keepNext/>
              <w:spacing w:line="240" w:lineRule="auto" w:before="30" w:after="30"/>
              <w:jc w:val="center"/>
            </w:pPr>
          </w:p>
        </w:tc>
        <w:tc>
          <w:tcPr>
            <w:tcW w:type="dxa" w:w="1360"/>
          </w:tcPr>
          <w:p>
            <w:pPr>
              <w:pStyle w:val="MDPI42tablebody"/>
              <w:keepNext/>
              <w:spacing w:line="240" w:lineRule="auto" w:before="30" w:after="30"/>
              <w:jc w:val="center"/>
            </w:pPr>
            <w:r>
              <w:rPr>
                <w:b w:val="0"/>
                <w:i w:val="0"/>
                <w:sz w:val="16"/>
              </w:rPr>
              <w:t>0.004</w:t>
            </w:r>
          </w:p>
        </w:tc>
        <w:tc>
          <w:tcPr>
            <w:tcW w:type="dxa" w:w="1360"/>
          </w:tcPr>
          <w:p>
            <w:pPr>
              <w:pStyle w:val="MDPI42tablebody"/>
              <w:keepNext/>
              <w:spacing w:line="240" w:lineRule="auto" w:before="30" w:after="30"/>
              <w:jc w:val="center"/>
            </w:pPr>
            <w:r>
              <w:rPr>
                <w:b w:val="0"/>
                <w:i w:val="0"/>
                <w:sz w:val="16"/>
              </w:rPr>
              <w:t>0.006</w:t>
            </w:r>
          </w:p>
        </w:tc>
        <w:tc>
          <w:tcPr>
            <w:tcW w:type="dxa" w:w="1360"/>
          </w:tcPr>
          <w:p>
            <w:pPr>
              <w:pStyle w:val="MDPI42tablebody"/>
              <w:keepNext/>
              <w:spacing w:line="240" w:lineRule="auto" w:before="30" w:after="30"/>
              <w:jc w:val="center"/>
            </w:pPr>
            <w:r>
              <w:rPr>
                <w:b w:val="0"/>
                <w:i w:val="0"/>
                <w:sz w:val="16"/>
              </w:rPr>
              <w:t>0.005</w:t>
            </w:r>
          </w:p>
        </w:tc>
      </w:tr>
      <w:tr>
        <w:trPr>
          <w:cantSplit/>
        </w:trPr>
        <w:tc>
          <w:tcPr>
            <w:tcW w:type="dxa" w:w="2302"/>
          </w:tcPr>
          <w:p>
            <w:pPr>
              <w:pStyle w:val="MDPI42tablebody"/>
              <w:keepNext/>
              <w:spacing w:line="240" w:lineRule="auto" w:before="30" w:after="30"/>
              <w:jc w:val="left"/>
            </w:pPr>
          </w:p>
        </w:tc>
        <w:tc>
          <w:tcPr>
            <w:tcW w:type="dxa" w:w="1360"/>
          </w:tcPr>
          <w:p>
            <w:pPr>
              <w:pStyle w:val="MDPI42tablebody"/>
              <w:keepNext/>
              <w:spacing w:line="240" w:lineRule="auto" w:before="30" w:after="30"/>
              <w:jc w:val="center"/>
            </w:pPr>
          </w:p>
        </w:tc>
        <w:tc>
          <w:tcPr>
            <w:tcW w:type="dxa" w:w="1360"/>
          </w:tcPr>
          <w:p>
            <w:pPr>
              <w:pStyle w:val="MDPI42tablebody"/>
              <w:keepNext/>
              <w:spacing w:line="240" w:lineRule="auto" w:before="30" w:after="30"/>
              <w:jc w:val="center"/>
            </w:pPr>
            <w:r>
              <w:rPr>
                <w:b w:val="0"/>
                <w:i w:val="0"/>
                <w:sz w:val="16"/>
              </w:rPr>
              <w:t>(0.034)</w:t>
            </w:r>
          </w:p>
        </w:tc>
        <w:tc>
          <w:tcPr>
            <w:tcW w:type="dxa" w:w="1360"/>
          </w:tcPr>
          <w:p>
            <w:pPr>
              <w:pStyle w:val="MDPI42tablebody"/>
              <w:keepNext/>
              <w:spacing w:line="240" w:lineRule="auto" w:before="30" w:after="30"/>
              <w:jc w:val="center"/>
            </w:pPr>
          </w:p>
        </w:tc>
        <w:tc>
          <w:tcPr>
            <w:tcW w:type="dxa" w:w="1360"/>
          </w:tcPr>
          <w:p>
            <w:pPr>
              <w:pStyle w:val="MDPI42tablebody"/>
              <w:keepNext/>
              <w:spacing w:line="240" w:lineRule="auto" w:before="30" w:after="30"/>
              <w:jc w:val="center"/>
            </w:pPr>
            <w:r>
              <w:rPr>
                <w:b w:val="0"/>
                <w:i w:val="0"/>
                <w:sz w:val="16"/>
              </w:rPr>
              <w:t>(0.034)</w:t>
            </w:r>
          </w:p>
        </w:tc>
        <w:tc>
          <w:tcPr>
            <w:tcW w:type="dxa" w:w="1360"/>
          </w:tcPr>
          <w:p>
            <w:pPr>
              <w:pStyle w:val="MDPI42tablebody"/>
              <w:keepNext/>
              <w:spacing w:line="240" w:lineRule="auto" w:before="30" w:after="30"/>
              <w:jc w:val="center"/>
            </w:pPr>
            <w:r>
              <w:rPr>
                <w:b w:val="0"/>
                <w:i w:val="0"/>
                <w:sz w:val="16"/>
              </w:rPr>
              <w:t>(0.034)</w:t>
            </w:r>
          </w:p>
        </w:tc>
        <w:tc>
          <w:tcPr>
            <w:tcW w:type="dxa" w:w="1360"/>
          </w:tcPr>
          <w:p>
            <w:pPr>
              <w:pStyle w:val="MDPI42tablebody"/>
              <w:keepNext/>
              <w:spacing w:line="240" w:lineRule="auto" w:before="30" w:after="30"/>
              <w:jc w:val="center"/>
            </w:pPr>
            <w:r>
              <w:rPr>
                <w:b w:val="0"/>
                <w:i w:val="0"/>
                <w:sz w:val="16"/>
              </w:rPr>
              <w:t>(0.034)</w:t>
            </w:r>
          </w:p>
        </w:tc>
      </w:tr>
      <w:tr>
        <w:trPr>
          <w:cantSplit/>
        </w:trPr>
        <w:tc>
          <w:tcPr>
            <w:tcW w:type="dxa" w:w="2302"/>
          </w:tcPr>
          <w:p>
            <w:pPr>
              <w:pStyle w:val="MDPI42tablebody"/>
              <w:keepNext/>
              <w:spacing w:line="240" w:lineRule="auto" w:before="30" w:after="30"/>
              <w:jc w:val="left"/>
            </w:pPr>
            <w:r>
              <w:rPr>
                <w:b w:val="0"/>
                <w:i/>
                <w:sz w:val="16"/>
              </w:rPr>
              <w:t>Fixed</w:t>
            </w:r>
          </w:p>
        </w:tc>
        <w:tc>
          <w:tcPr>
            <w:tcW w:type="dxa" w:w="1360"/>
          </w:tcPr>
          <w:p>
            <w:pPr>
              <w:pStyle w:val="MDPI42tablebody"/>
              <w:keepNext/>
              <w:spacing w:line="240" w:lineRule="auto" w:before="30" w:after="30"/>
              <w:jc w:val="center"/>
            </w:pPr>
          </w:p>
        </w:tc>
        <w:tc>
          <w:tcPr>
            <w:tcW w:type="dxa" w:w="1360"/>
          </w:tcPr>
          <w:p>
            <w:pPr>
              <w:pStyle w:val="MDPI42tablebody"/>
              <w:keepNext/>
              <w:spacing w:line="240" w:lineRule="auto" w:before="30" w:after="30"/>
              <w:jc w:val="center"/>
            </w:pPr>
            <w:r>
              <w:rPr>
                <w:b w:val="0"/>
                <w:i w:val="0"/>
                <w:sz w:val="16"/>
              </w:rPr>
              <w:t>−0.036</w:t>
            </w:r>
          </w:p>
        </w:tc>
        <w:tc>
          <w:tcPr>
            <w:tcW w:type="dxa" w:w="1360"/>
          </w:tcPr>
          <w:p>
            <w:pPr>
              <w:pStyle w:val="MDPI42tablebody"/>
              <w:keepNext/>
              <w:spacing w:line="240" w:lineRule="auto" w:before="30" w:after="30"/>
              <w:jc w:val="center"/>
            </w:pPr>
          </w:p>
        </w:tc>
        <w:tc>
          <w:tcPr>
            <w:tcW w:type="dxa" w:w="1360"/>
          </w:tcPr>
          <w:p>
            <w:pPr>
              <w:pStyle w:val="MDPI42tablebody"/>
              <w:keepNext/>
              <w:spacing w:line="240" w:lineRule="auto" w:before="30" w:after="30"/>
              <w:jc w:val="center"/>
            </w:pPr>
            <w:r>
              <w:rPr>
                <w:b w:val="0"/>
                <w:i w:val="0"/>
                <w:sz w:val="16"/>
              </w:rPr>
              <w:t>−0.059</w:t>
            </w:r>
          </w:p>
        </w:tc>
        <w:tc>
          <w:tcPr>
            <w:tcW w:type="dxa" w:w="1360"/>
          </w:tcPr>
          <w:p>
            <w:pPr>
              <w:pStyle w:val="MDPI42tablebody"/>
              <w:keepNext/>
              <w:spacing w:line="240" w:lineRule="auto" w:before="30" w:after="30"/>
              <w:jc w:val="center"/>
            </w:pPr>
            <w:r>
              <w:rPr>
                <w:b w:val="0"/>
                <w:i w:val="0"/>
                <w:sz w:val="16"/>
              </w:rPr>
              <w:t>−0.058</w:t>
            </w:r>
          </w:p>
        </w:tc>
        <w:tc>
          <w:tcPr>
            <w:tcW w:type="dxa" w:w="1360"/>
          </w:tcPr>
          <w:p>
            <w:pPr>
              <w:pStyle w:val="MDPI42tablebody"/>
              <w:keepNext/>
              <w:spacing w:line="240" w:lineRule="auto" w:before="30" w:after="30"/>
              <w:jc w:val="center"/>
            </w:pPr>
            <w:r>
              <w:rPr>
                <w:b w:val="0"/>
                <w:i w:val="0"/>
                <w:sz w:val="16"/>
              </w:rPr>
              <w:t>−0.057</w:t>
            </w:r>
          </w:p>
        </w:tc>
      </w:tr>
      <w:tr>
        <w:trPr>
          <w:cantSplit/>
        </w:trPr>
        <w:tc>
          <w:tcPr>
            <w:tcW w:type="dxa" w:w="2302"/>
          </w:tcPr>
          <w:p>
            <w:pPr>
              <w:pStyle w:val="MDPI42tablebody"/>
              <w:keepNext/>
              <w:spacing w:line="240" w:lineRule="auto" w:before="30" w:after="30"/>
              <w:jc w:val="left"/>
            </w:pPr>
          </w:p>
        </w:tc>
        <w:tc>
          <w:tcPr>
            <w:tcW w:type="dxa" w:w="1360"/>
          </w:tcPr>
          <w:p>
            <w:pPr>
              <w:pStyle w:val="MDPI42tablebody"/>
              <w:keepNext/>
              <w:spacing w:line="240" w:lineRule="auto" w:before="30" w:after="30"/>
              <w:jc w:val="center"/>
            </w:pPr>
          </w:p>
        </w:tc>
        <w:tc>
          <w:tcPr>
            <w:tcW w:type="dxa" w:w="1360"/>
          </w:tcPr>
          <w:p>
            <w:pPr>
              <w:pStyle w:val="MDPI42tablebody"/>
              <w:keepNext/>
              <w:spacing w:line="240" w:lineRule="auto" w:before="30" w:after="30"/>
              <w:jc w:val="center"/>
            </w:pPr>
            <w:r>
              <w:rPr>
                <w:b w:val="0"/>
                <w:i w:val="0"/>
                <w:sz w:val="16"/>
              </w:rPr>
              <w:t>(0.295)</w:t>
            </w:r>
          </w:p>
        </w:tc>
        <w:tc>
          <w:tcPr>
            <w:tcW w:type="dxa" w:w="1360"/>
          </w:tcPr>
          <w:p>
            <w:pPr>
              <w:pStyle w:val="MDPI42tablebody"/>
              <w:keepNext/>
              <w:spacing w:line="240" w:lineRule="auto" w:before="30" w:after="30"/>
              <w:jc w:val="center"/>
            </w:pPr>
          </w:p>
        </w:tc>
        <w:tc>
          <w:tcPr>
            <w:tcW w:type="dxa" w:w="1360"/>
          </w:tcPr>
          <w:p>
            <w:pPr>
              <w:pStyle w:val="MDPI42tablebody"/>
              <w:keepNext/>
              <w:spacing w:line="240" w:lineRule="auto" w:before="30" w:after="30"/>
              <w:jc w:val="center"/>
            </w:pPr>
            <w:r>
              <w:rPr>
                <w:b w:val="0"/>
                <w:i w:val="0"/>
                <w:sz w:val="16"/>
              </w:rPr>
              <w:t>(0.294)</w:t>
            </w:r>
          </w:p>
        </w:tc>
        <w:tc>
          <w:tcPr>
            <w:tcW w:type="dxa" w:w="1360"/>
          </w:tcPr>
          <w:p>
            <w:pPr>
              <w:pStyle w:val="MDPI42tablebody"/>
              <w:keepNext/>
              <w:spacing w:line="240" w:lineRule="auto" w:before="30" w:after="30"/>
              <w:jc w:val="center"/>
            </w:pPr>
            <w:r>
              <w:rPr>
                <w:b w:val="0"/>
                <w:i w:val="0"/>
                <w:sz w:val="16"/>
              </w:rPr>
              <w:t>(0.295)</w:t>
            </w:r>
          </w:p>
        </w:tc>
        <w:tc>
          <w:tcPr>
            <w:tcW w:type="dxa" w:w="1360"/>
          </w:tcPr>
          <w:p>
            <w:pPr>
              <w:pStyle w:val="MDPI42tablebody"/>
              <w:keepNext/>
              <w:spacing w:line="240" w:lineRule="auto" w:before="30" w:after="30"/>
              <w:jc w:val="center"/>
            </w:pPr>
            <w:r>
              <w:rPr>
                <w:b w:val="0"/>
                <w:i w:val="0"/>
                <w:sz w:val="16"/>
              </w:rPr>
              <w:t>(0.297)</w:t>
            </w:r>
          </w:p>
        </w:tc>
      </w:tr>
      <w:tr>
        <w:trPr>
          <w:cantSplit/>
        </w:trPr>
        <w:tc>
          <w:tcPr>
            <w:tcW w:type="dxa" w:w="2302"/>
          </w:tcPr>
          <w:p>
            <w:pPr>
              <w:pStyle w:val="MDPI42tablebody"/>
              <w:keepNext/>
              <w:spacing w:line="240" w:lineRule="auto" w:before="30" w:after="30"/>
              <w:jc w:val="left"/>
            </w:pPr>
            <w:r>
              <w:rPr>
                <w:b w:val="0"/>
                <w:i/>
                <w:sz w:val="16"/>
              </w:rPr>
              <w:t>Controls</w:t>
            </w:r>
          </w:p>
        </w:tc>
        <w:tc>
          <w:tcPr>
            <w:tcW w:type="dxa" w:w="1360"/>
          </w:tcPr>
          <w:p>
            <w:pPr>
              <w:pStyle w:val="MDPI42tablebody"/>
              <w:keepNext/>
              <w:spacing w:line="240" w:lineRule="auto" w:before="30" w:after="30"/>
              <w:jc w:val="center"/>
            </w:pPr>
            <w:r>
              <w:rPr>
                <w:b w:val="0"/>
                <w:i w:val="0"/>
                <w:sz w:val="16"/>
              </w:rPr>
              <w:t>No</w:t>
            </w:r>
          </w:p>
        </w:tc>
        <w:tc>
          <w:tcPr>
            <w:tcW w:type="dxa" w:w="1360"/>
          </w:tcPr>
          <w:p>
            <w:pPr>
              <w:pStyle w:val="MDPI42tablebody"/>
              <w:keepNext/>
              <w:spacing w:line="240" w:lineRule="auto" w:before="30" w:after="30"/>
              <w:jc w:val="center"/>
            </w:pPr>
            <w:r>
              <w:rPr>
                <w:b w:val="0"/>
                <w:i w:val="0"/>
                <w:sz w:val="16"/>
              </w:rPr>
              <w:t>Yes</w:t>
            </w:r>
          </w:p>
        </w:tc>
        <w:tc>
          <w:tcPr>
            <w:tcW w:type="dxa" w:w="1360"/>
          </w:tcPr>
          <w:p>
            <w:pPr>
              <w:pStyle w:val="MDPI42tablebody"/>
              <w:keepNext/>
              <w:spacing w:line="240" w:lineRule="auto" w:before="30" w:after="30"/>
              <w:jc w:val="center"/>
            </w:pPr>
            <w:r>
              <w:rPr>
                <w:b w:val="0"/>
                <w:i w:val="0"/>
                <w:sz w:val="16"/>
              </w:rPr>
              <w:t>No</w:t>
            </w:r>
          </w:p>
        </w:tc>
        <w:tc>
          <w:tcPr>
            <w:tcW w:type="dxa" w:w="1360"/>
          </w:tcPr>
          <w:p>
            <w:pPr>
              <w:pStyle w:val="MDPI42tablebody"/>
              <w:keepNext/>
              <w:spacing w:line="240" w:lineRule="auto" w:before="30" w:after="30"/>
              <w:jc w:val="center"/>
            </w:pPr>
            <w:r>
              <w:rPr>
                <w:b w:val="0"/>
                <w:i w:val="0"/>
                <w:sz w:val="16"/>
              </w:rPr>
              <w:t>Yes</w:t>
            </w:r>
          </w:p>
        </w:tc>
        <w:tc>
          <w:tcPr>
            <w:tcW w:type="dxa" w:w="1360"/>
          </w:tcPr>
          <w:p>
            <w:pPr>
              <w:pStyle w:val="MDPI42tablebody"/>
              <w:keepNext/>
              <w:spacing w:line="240" w:lineRule="auto" w:before="30" w:after="30"/>
              <w:jc w:val="center"/>
            </w:pPr>
            <w:r>
              <w:rPr>
                <w:b w:val="0"/>
                <w:i w:val="0"/>
                <w:sz w:val="16"/>
              </w:rPr>
              <w:t>Yes</w:t>
            </w:r>
          </w:p>
        </w:tc>
        <w:tc>
          <w:tcPr>
            <w:tcW w:type="dxa" w:w="1360"/>
          </w:tcPr>
          <w:p>
            <w:pPr>
              <w:pStyle w:val="MDPI42tablebody"/>
              <w:keepNext/>
              <w:spacing w:line="240" w:lineRule="auto" w:before="30" w:after="30"/>
              <w:jc w:val="center"/>
            </w:pPr>
            <w:r>
              <w:rPr>
                <w:b w:val="0"/>
                <w:i w:val="0"/>
                <w:sz w:val="16"/>
              </w:rPr>
              <w:t>Yes</w:t>
            </w:r>
          </w:p>
        </w:tc>
      </w:tr>
      <w:tr>
        <w:trPr>
          <w:cantSplit/>
        </w:trPr>
        <w:tc>
          <w:tcPr>
            <w:tcW w:type="dxa" w:w="2302"/>
          </w:tcPr>
          <w:p>
            <w:pPr>
              <w:pStyle w:val="MDPI42tablebody"/>
              <w:keepNext/>
              <w:spacing w:line="240" w:lineRule="auto" w:before="30" w:after="30"/>
              <w:jc w:val="left"/>
            </w:pPr>
            <w:r>
              <w:rPr>
                <w:b w:val="0"/>
                <w:i/>
                <w:sz w:val="16"/>
              </w:rPr>
              <w:t>Firm FE</w:t>
            </w:r>
          </w:p>
        </w:tc>
        <w:tc>
          <w:tcPr>
            <w:tcW w:type="dxa" w:w="1360"/>
          </w:tcPr>
          <w:p>
            <w:pPr>
              <w:pStyle w:val="MDPI42tablebody"/>
              <w:keepNext/>
              <w:spacing w:line="240" w:lineRule="auto" w:before="30" w:after="30"/>
              <w:jc w:val="center"/>
            </w:pPr>
            <w:r>
              <w:rPr>
                <w:b w:val="0"/>
                <w:i w:val="0"/>
                <w:sz w:val="16"/>
              </w:rPr>
              <w:t>Yes</w:t>
            </w:r>
          </w:p>
        </w:tc>
        <w:tc>
          <w:tcPr>
            <w:tcW w:type="dxa" w:w="1360"/>
          </w:tcPr>
          <w:p>
            <w:pPr>
              <w:pStyle w:val="MDPI42tablebody"/>
              <w:keepNext/>
              <w:spacing w:line="240" w:lineRule="auto" w:before="30" w:after="30"/>
              <w:jc w:val="center"/>
            </w:pPr>
            <w:r>
              <w:rPr>
                <w:b w:val="0"/>
                <w:i w:val="0"/>
                <w:sz w:val="16"/>
              </w:rPr>
              <w:t>Yes</w:t>
            </w:r>
          </w:p>
        </w:tc>
        <w:tc>
          <w:tcPr>
            <w:tcW w:type="dxa" w:w="1360"/>
          </w:tcPr>
          <w:p>
            <w:pPr>
              <w:pStyle w:val="MDPI42tablebody"/>
              <w:keepNext/>
              <w:spacing w:line="240" w:lineRule="auto" w:before="30" w:after="30"/>
              <w:jc w:val="center"/>
            </w:pPr>
            <w:r>
              <w:rPr>
                <w:b w:val="0"/>
                <w:i w:val="0"/>
                <w:sz w:val="16"/>
              </w:rPr>
              <w:t>Yes</w:t>
            </w:r>
          </w:p>
        </w:tc>
        <w:tc>
          <w:tcPr>
            <w:tcW w:type="dxa" w:w="1360"/>
          </w:tcPr>
          <w:p>
            <w:pPr>
              <w:pStyle w:val="MDPI42tablebody"/>
              <w:keepNext/>
              <w:spacing w:line="240" w:lineRule="auto" w:before="30" w:after="30"/>
              <w:jc w:val="center"/>
            </w:pPr>
            <w:r>
              <w:rPr>
                <w:b w:val="0"/>
                <w:i w:val="0"/>
                <w:sz w:val="16"/>
              </w:rPr>
              <w:t>Yes</w:t>
            </w:r>
          </w:p>
        </w:tc>
        <w:tc>
          <w:tcPr>
            <w:tcW w:type="dxa" w:w="1360"/>
          </w:tcPr>
          <w:p>
            <w:pPr>
              <w:pStyle w:val="MDPI42tablebody"/>
              <w:keepNext/>
              <w:spacing w:line="240" w:lineRule="auto" w:before="30" w:after="30"/>
              <w:jc w:val="center"/>
            </w:pPr>
            <w:r>
              <w:rPr>
                <w:b w:val="0"/>
                <w:i w:val="0"/>
                <w:sz w:val="16"/>
              </w:rPr>
              <w:t>Yes</w:t>
            </w:r>
          </w:p>
        </w:tc>
        <w:tc>
          <w:tcPr>
            <w:tcW w:type="dxa" w:w="1360"/>
          </w:tcPr>
          <w:p>
            <w:pPr>
              <w:pStyle w:val="MDPI42tablebody"/>
              <w:keepNext/>
              <w:spacing w:line="240" w:lineRule="auto" w:before="30" w:after="30"/>
              <w:jc w:val="center"/>
            </w:pPr>
            <w:r>
              <w:rPr>
                <w:b w:val="0"/>
                <w:i w:val="0"/>
                <w:sz w:val="16"/>
              </w:rPr>
              <w:t>Yes</w:t>
            </w:r>
          </w:p>
        </w:tc>
      </w:tr>
      <w:tr>
        <w:trPr>
          <w:cantSplit/>
        </w:trPr>
        <w:tc>
          <w:tcPr>
            <w:tcW w:type="dxa" w:w="2302"/>
          </w:tcPr>
          <w:p>
            <w:pPr>
              <w:pStyle w:val="MDPI42tablebody"/>
              <w:keepNext/>
              <w:spacing w:line="240" w:lineRule="auto" w:before="30" w:after="30"/>
              <w:jc w:val="left"/>
            </w:pPr>
            <w:r>
              <w:rPr>
                <w:b w:val="0"/>
                <w:i/>
                <w:sz w:val="16"/>
              </w:rPr>
              <w:t>Year FE</w:t>
            </w:r>
          </w:p>
        </w:tc>
        <w:tc>
          <w:tcPr>
            <w:tcW w:type="dxa" w:w="1360"/>
          </w:tcPr>
          <w:p>
            <w:pPr>
              <w:pStyle w:val="MDPI42tablebody"/>
              <w:keepNext/>
              <w:spacing w:line="240" w:lineRule="auto" w:before="30" w:after="30"/>
              <w:jc w:val="center"/>
            </w:pPr>
            <w:r>
              <w:rPr>
                <w:b w:val="0"/>
                <w:i w:val="0"/>
                <w:sz w:val="16"/>
              </w:rPr>
              <w:t>Yes</w:t>
            </w:r>
          </w:p>
        </w:tc>
        <w:tc>
          <w:tcPr>
            <w:tcW w:type="dxa" w:w="1360"/>
          </w:tcPr>
          <w:p>
            <w:pPr>
              <w:pStyle w:val="MDPI42tablebody"/>
              <w:keepNext/>
              <w:spacing w:line="240" w:lineRule="auto" w:before="30" w:after="30"/>
              <w:jc w:val="center"/>
            </w:pPr>
            <w:r>
              <w:rPr>
                <w:b w:val="0"/>
                <w:i w:val="0"/>
                <w:sz w:val="16"/>
              </w:rPr>
              <w:t>Yes</w:t>
            </w:r>
          </w:p>
        </w:tc>
        <w:tc>
          <w:tcPr>
            <w:tcW w:type="dxa" w:w="1360"/>
          </w:tcPr>
          <w:p>
            <w:pPr>
              <w:pStyle w:val="MDPI42tablebody"/>
              <w:keepNext/>
              <w:spacing w:line="240" w:lineRule="auto" w:before="30" w:after="30"/>
              <w:jc w:val="center"/>
            </w:pPr>
            <w:r>
              <w:rPr>
                <w:b w:val="0"/>
                <w:i w:val="0"/>
                <w:sz w:val="16"/>
              </w:rPr>
              <w:t>Yes</w:t>
            </w:r>
          </w:p>
        </w:tc>
        <w:tc>
          <w:tcPr>
            <w:tcW w:type="dxa" w:w="1360"/>
          </w:tcPr>
          <w:p>
            <w:pPr>
              <w:pStyle w:val="MDPI42tablebody"/>
              <w:keepNext/>
              <w:spacing w:line="240" w:lineRule="auto" w:before="30" w:after="30"/>
              <w:jc w:val="center"/>
            </w:pPr>
            <w:r>
              <w:rPr>
                <w:b w:val="0"/>
                <w:i w:val="0"/>
                <w:sz w:val="16"/>
              </w:rPr>
              <w:t>Yes</w:t>
            </w:r>
          </w:p>
        </w:tc>
        <w:tc>
          <w:tcPr>
            <w:tcW w:type="dxa" w:w="1360"/>
          </w:tcPr>
          <w:p>
            <w:pPr>
              <w:pStyle w:val="MDPI42tablebody"/>
              <w:keepNext/>
              <w:spacing w:line="240" w:lineRule="auto" w:before="30" w:after="30"/>
              <w:jc w:val="center"/>
            </w:pPr>
            <w:r>
              <w:rPr>
                <w:b w:val="0"/>
                <w:i w:val="0"/>
                <w:sz w:val="16"/>
              </w:rPr>
              <w:t>No</w:t>
            </w:r>
          </w:p>
        </w:tc>
        <w:tc>
          <w:tcPr>
            <w:tcW w:type="dxa" w:w="1360"/>
          </w:tcPr>
          <w:p>
            <w:pPr>
              <w:pStyle w:val="MDPI42tablebody"/>
              <w:keepNext/>
              <w:spacing w:line="240" w:lineRule="auto" w:before="30" w:after="30"/>
              <w:jc w:val="center"/>
            </w:pPr>
            <w:r>
              <w:rPr>
                <w:b w:val="0"/>
                <w:i w:val="0"/>
                <w:sz w:val="16"/>
              </w:rPr>
              <w:t>No</w:t>
            </w:r>
          </w:p>
        </w:tc>
      </w:tr>
      <w:tr>
        <w:trPr>
          <w:cantSplit/>
        </w:trPr>
        <w:tc>
          <w:tcPr>
            <w:tcW w:type="dxa" w:w="2302"/>
          </w:tcPr>
          <w:p>
            <w:pPr>
              <w:pStyle w:val="MDPI42tablebody"/>
              <w:keepNext/>
              <w:spacing w:line="240" w:lineRule="auto" w:before="30" w:after="30"/>
              <w:jc w:val="left"/>
            </w:pPr>
            <w:r>
              <w:rPr>
                <w:b w:val="0"/>
                <w:i/>
                <w:sz w:val="16"/>
              </w:rPr>
              <w:t>Industry × year FE</w:t>
            </w:r>
          </w:p>
        </w:tc>
        <w:tc>
          <w:tcPr>
            <w:tcW w:type="dxa" w:w="1360"/>
          </w:tcPr>
          <w:p>
            <w:pPr>
              <w:pStyle w:val="MDPI42tablebody"/>
              <w:keepNext/>
              <w:spacing w:line="240" w:lineRule="auto" w:before="30" w:after="30"/>
              <w:jc w:val="center"/>
            </w:pPr>
            <w:r>
              <w:rPr>
                <w:b w:val="0"/>
                <w:i w:val="0"/>
                <w:sz w:val="16"/>
              </w:rPr>
              <w:t>No</w:t>
            </w:r>
          </w:p>
        </w:tc>
        <w:tc>
          <w:tcPr>
            <w:tcW w:type="dxa" w:w="1360"/>
          </w:tcPr>
          <w:p>
            <w:pPr>
              <w:pStyle w:val="MDPI42tablebody"/>
              <w:keepNext/>
              <w:spacing w:line="240" w:lineRule="auto" w:before="30" w:after="30"/>
              <w:jc w:val="center"/>
            </w:pPr>
            <w:r>
              <w:rPr>
                <w:b w:val="0"/>
                <w:i w:val="0"/>
                <w:sz w:val="16"/>
              </w:rPr>
              <w:t>No</w:t>
            </w:r>
          </w:p>
        </w:tc>
        <w:tc>
          <w:tcPr>
            <w:tcW w:type="dxa" w:w="1360"/>
          </w:tcPr>
          <w:p>
            <w:pPr>
              <w:pStyle w:val="MDPI42tablebody"/>
              <w:keepNext/>
              <w:spacing w:line="240" w:lineRule="auto" w:before="30" w:after="30"/>
              <w:jc w:val="center"/>
            </w:pPr>
            <w:r>
              <w:rPr>
                <w:b w:val="0"/>
                <w:i w:val="0"/>
                <w:sz w:val="16"/>
              </w:rPr>
              <w:t>No</w:t>
            </w:r>
          </w:p>
        </w:tc>
        <w:tc>
          <w:tcPr>
            <w:tcW w:type="dxa" w:w="1360"/>
          </w:tcPr>
          <w:p>
            <w:pPr>
              <w:pStyle w:val="MDPI42tablebody"/>
              <w:keepNext/>
              <w:spacing w:line="240" w:lineRule="auto" w:before="30" w:after="30"/>
              <w:jc w:val="center"/>
            </w:pPr>
            <w:r>
              <w:rPr>
                <w:b w:val="0"/>
                <w:i w:val="0"/>
                <w:sz w:val="16"/>
              </w:rPr>
              <w:t>No</w:t>
            </w:r>
          </w:p>
        </w:tc>
        <w:tc>
          <w:tcPr>
            <w:tcW w:type="dxa" w:w="1360"/>
          </w:tcPr>
          <w:p>
            <w:pPr>
              <w:pStyle w:val="MDPI42tablebody"/>
              <w:keepNext/>
              <w:spacing w:line="240" w:lineRule="auto" w:before="30" w:after="30"/>
              <w:jc w:val="center"/>
            </w:pPr>
            <w:r>
              <w:rPr>
                <w:b w:val="0"/>
                <w:i w:val="0"/>
                <w:sz w:val="16"/>
              </w:rPr>
              <w:t>Yes</w:t>
            </w:r>
          </w:p>
        </w:tc>
        <w:tc>
          <w:tcPr>
            <w:tcW w:type="dxa" w:w="1360"/>
          </w:tcPr>
          <w:p>
            <w:pPr>
              <w:pStyle w:val="MDPI42tablebody"/>
              <w:keepNext/>
              <w:spacing w:line="240" w:lineRule="auto" w:before="30" w:after="30"/>
              <w:jc w:val="center"/>
            </w:pPr>
            <w:r>
              <w:rPr>
                <w:b w:val="0"/>
                <w:i w:val="0"/>
                <w:sz w:val="16"/>
              </w:rPr>
              <w:t>No</w:t>
            </w:r>
          </w:p>
        </w:tc>
      </w:tr>
      <w:tr>
        <w:trPr>
          <w:cantSplit/>
        </w:trPr>
        <w:tc>
          <w:tcPr>
            <w:tcW w:type="dxa" w:w="2302"/>
          </w:tcPr>
          <w:p>
            <w:pPr>
              <w:pStyle w:val="MDPI42tablebody"/>
              <w:keepNext/>
              <w:spacing w:line="240" w:lineRule="auto" w:before="30" w:after="30"/>
              <w:jc w:val="left"/>
            </w:pPr>
            <w:r>
              <w:rPr>
                <w:b w:val="0"/>
                <w:i/>
                <w:sz w:val="16"/>
              </w:rPr>
              <w:t>Province × year FE</w:t>
            </w:r>
          </w:p>
        </w:tc>
        <w:tc>
          <w:tcPr>
            <w:tcW w:type="dxa" w:w="1360"/>
          </w:tcPr>
          <w:p>
            <w:pPr>
              <w:pStyle w:val="MDPI42tablebody"/>
              <w:keepNext/>
              <w:spacing w:line="240" w:lineRule="auto" w:before="30" w:after="30"/>
              <w:jc w:val="center"/>
            </w:pPr>
            <w:r>
              <w:rPr>
                <w:b w:val="0"/>
                <w:i w:val="0"/>
                <w:sz w:val="16"/>
              </w:rPr>
              <w:t>No</w:t>
            </w:r>
          </w:p>
        </w:tc>
        <w:tc>
          <w:tcPr>
            <w:tcW w:type="dxa" w:w="1360"/>
          </w:tcPr>
          <w:p>
            <w:pPr>
              <w:pStyle w:val="MDPI42tablebody"/>
              <w:keepNext/>
              <w:spacing w:line="240" w:lineRule="auto" w:before="30" w:after="30"/>
              <w:jc w:val="center"/>
            </w:pPr>
            <w:r>
              <w:rPr>
                <w:b w:val="0"/>
                <w:i w:val="0"/>
                <w:sz w:val="16"/>
              </w:rPr>
              <w:t>No</w:t>
            </w:r>
          </w:p>
        </w:tc>
        <w:tc>
          <w:tcPr>
            <w:tcW w:type="dxa" w:w="1360"/>
          </w:tcPr>
          <w:p>
            <w:pPr>
              <w:pStyle w:val="MDPI42tablebody"/>
              <w:keepNext/>
              <w:spacing w:line="240" w:lineRule="auto" w:before="30" w:after="30"/>
              <w:jc w:val="center"/>
            </w:pPr>
            <w:r>
              <w:rPr>
                <w:b w:val="0"/>
                <w:i w:val="0"/>
                <w:sz w:val="16"/>
              </w:rPr>
              <w:t>No</w:t>
            </w:r>
          </w:p>
        </w:tc>
        <w:tc>
          <w:tcPr>
            <w:tcW w:type="dxa" w:w="1360"/>
          </w:tcPr>
          <w:p>
            <w:pPr>
              <w:pStyle w:val="MDPI42tablebody"/>
              <w:keepNext/>
              <w:spacing w:line="240" w:lineRule="auto" w:before="30" w:after="30"/>
              <w:jc w:val="center"/>
            </w:pPr>
            <w:r>
              <w:rPr>
                <w:b w:val="0"/>
                <w:i w:val="0"/>
                <w:sz w:val="16"/>
              </w:rPr>
              <w:t>No</w:t>
            </w:r>
          </w:p>
        </w:tc>
        <w:tc>
          <w:tcPr>
            <w:tcW w:type="dxa" w:w="1360"/>
          </w:tcPr>
          <w:p>
            <w:pPr>
              <w:pStyle w:val="MDPI42tablebody"/>
              <w:keepNext/>
              <w:spacing w:line="240" w:lineRule="auto" w:before="30" w:after="30"/>
              <w:jc w:val="center"/>
            </w:pPr>
            <w:r>
              <w:rPr>
                <w:b w:val="0"/>
                <w:i w:val="0"/>
                <w:sz w:val="16"/>
              </w:rPr>
              <w:t>No</w:t>
            </w:r>
          </w:p>
        </w:tc>
        <w:tc>
          <w:tcPr>
            <w:tcW w:type="dxa" w:w="1360"/>
          </w:tcPr>
          <w:p>
            <w:pPr>
              <w:pStyle w:val="MDPI42tablebody"/>
              <w:keepNext/>
              <w:spacing w:line="240" w:lineRule="auto" w:before="30" w:after="30"/>
              <w:jc w:val="center"/>
            </w:pPr>
            <w:r>
              <w:rPr>
                <w:b w:val="0"/>
                <w:i w:val="0"/>
                <w:sz w:val="16"/>
              </w:rPr>
              <w:t>Yes</w:t>
            </w:r>
          </w:p>
        </w:tc>
      </w:tr>
      <w:tr>
        <w:trPr>
          <w:cantSplit/>
        </w:trPr>
        <w:tc>
          <w:tcPr>
            <w:tcW w:type="dxa" w:w="2302"/>
          </w:tcPr>
          <w:p>
            <w:pPr>
              <w:pStyle w:val="MDPI42tablebody"/>
              <w:keepNext/>
              <w:spacing w:line="240" w:lineRule="auto" w:before="30" w:after="30"/>
              <w:jc w:val="left"/>
            </w:pPr>
            <w:r>
              <w:rPr>
                <w:b w:val="0"/>
                <w:i/>
                <w:sz w:val="16"/>
              </w:rPr>
              <w:t>Observations</w:t>
            </w:r>
          </w:p>
        </w:tc>
        <w:tc>
          <w:tcPr>
            <w:tcW w:type="dxa" w:w="1360"/>
          </w:tcPr>
          <w:p>
            <w:pPr>
              <w:pStyle w:val="MDPI42tablebody"/>
              <w:keepNext/>
              <w:spacing w:line="240" w:lineRule="auto" w:before="30" w:after="30"/>
              <w:jc w:val="center"/>
            </w:pPr>
            <w:r>
              <w:rPr>
                <w:b w:val="0"/>
                <w:i w:val="0"/>
                <w:sz w:val="16"/>
              </w:rPr>
              <w:t>27,320</w:t>
            </w:r>
          </w:p>
        </w:tc>
        <w:tc>
          <w:tcPr>
            <w:tcW w:type="dxa" w:w="1360"/>
          </w:tcPr>
          <w:p>
            <w:pPr>
              <w:pStyle w:val="MDPI42tablebody"/>
              <w:keepNext/>
              <w:spacing w:line="240" w:lineRule="auto" w:before="30" w:after="30"/>
              <w:jc w:val="center"/>
            </w:pPr>
            <w:r>
              <w:rPr>
                <w:b w:val="0"/>
                <w:i w:val="0"/>
                <w:sz w:val="16"/>
              </w:rPr>
              <w:t>27,320</w:t>
            </w:r>
          </w:p>
        </w:tc>
        <w:tc>
          <w:tcPr>
            <w:tcW w:type="dxa" w:w="1360"/>
          </w:tcPr>
          <w:p>
            <w:pPr>
              <w:pStyle w:val="MDPI42tablebody"/>
              <w:keepNext/>
              <w:spacing w:line="240" w:lineRule="auto" w:before="30" w:after="30"/>
              <w:jc w:val="center"/>
            </w:pPr>
            <w:r>
              <w:rPr>
                <w:b w:val="0"/>
                <w:i w:val="0"/>
                <w:sz w:val="16"/>
              </w:rPr>
              <w:t>27,320</w:t>
            </w:r>
          </w:p>
        </w:tc>
        <w:tc>
          <w:tcPr>
            <w:tcW w:type="dxa" w:w="1360"/>
          </w:tcPr>
          <w:p>
            <w:pPr>
              <w:pStyle w:val="MDPI42tablebody"/>
              <w:keepNext/>
              <w:spacing w:line="240" w:lineRule="auto" w:before="30" w:after="30"/>
              <w:jc w:val="center"/>
            </w:pPr>
            <w:r>
              <w:rPr>
                <w:b w:val="0"/>
                <w:i w:val="0"/>
                <w:sz w:val="16"/>
              </w:rPr>
              <w:t>27,320</w:t>
            </w:r>
          </w:p>
        </w:tc>
        <w:tc>
          <w:tcPr>
            <w:tcW w:type="dxa" w:w="1360"/>
          </w:tcPr>
          <w:p>
            <w:pPr>
              <w:pStyle w:val="MDPI42tablebody"/>
              <w:keepNext/>
              <w:spacing w:line="240" w:lineRule="auto" w:before="30" w:after="30"/>
              <w:jc w:val="center"/>
            </w:pPr>
            <w:r>
              <w:rPr>
                <w:b w:val="0"/>
                <w:i w:val="0"/>
                <w:sz w:val="16"/>
              </w:rPr>
              <w:t>27,320</w:t>
            </w:r>
          </w:p>
        </w:tc>
        <w:tc>
          <w:tcPr>
            <w:tcW w:type="dxa" w:w="1360"/>
          </w:tcPr>
          <w:p>
            <w:pPr>
              <w:pStyle w:val="MDPI42tablebody"/>
              <w:keepNext/>
              <w:spacing w:line="240" w:lineRule="auto" w:before="30" w:after="30"/>
              <w:jc w:val="center"/>
            </w:pPr>
            <w:r>
              <w:rPr>
                <w:b w:val="0"/>
                <w:i w:val="0"/>
                <w:sz w:val="16"/>
              </w:rPr>
              <w:t>27,320</w:t>
            </w:r>
          </w:p>
        </w:tc>
      </w:tr>
      <w:tr>
        <w:trPr>
          <w:cantSplit/>
        </w:trPr>
        <w:tc>
          <w:tcPr>
            <w:tcW w:type="dxa" w:w="2302"/>
          </w:tcPr>
          <w:p>
            <w:pPr>
              <w:pStyle w:val="MDPI42tablebody"/>
              <w:spacing w:line="240" w:lineRule="auto" w:before="30" w:after="30"/>
              <w:jc w:val="left"/>
            </w:pPr>
            <w:r>
              <w:rPr>
                <w:b w:val="0"/>
                <w:i/>
                <w:sz w:val="16"/>
              </w:rPr>
              <w:t>Within R²</w:t>
            </w:r>
          </w:p>
        </w:tc>
        <w:tc>
          <w:tcPr>
            <w:tcW w:type="dxa" w:w="1360"/>
          </w:tcPr>
          <w:p>
            <w:pPr>
              <w:pStyle w:val="MDPI42tablebody"/>
              <w:spacing w:line="240" w:lineRule="auto" w:before="30" w:after="30"/>
              <w:jc w:val="center"/>
            </w:pPr>
            <w:r>
              <w:rPr>
                <w:b w:val="0"/>
                <w:i w:val="0"/>
                <w:sz w:val="16"/>
              </w:rPr>
              <w:t>0.000</w:t>
            </w:r>
          </w:p>
        </w:tc>
        <w:tc>
          <w:tcPr>
            <w:tcW w:type="dxa" w:w="1360"/>
          </w:tcPr>
          <w:p>
            <w:pPr>
              <w:pStyle w:val="MDPI42tablebody"/>
              <w:spacing w:line="240" w:lineRule="auto" w:before="30" w:after="30"/>
              <w:jc w:val="center"/>
            </w:pPr>
            <w:r>
              <w:rPr>
                <w:b w:val="0"/>
                <w:i w:val="0"/>
                <w:sz w:val="16"/>
              </w:rPr>
              <w:t>0.016</w:t>
            </w:r>
          </w:p>
        </w:tc>
        <w:tc>
          <w:tcPr>
            <w:tcW w:type="dxa" w:w="1360"/>
          </w:tcPr>
          <w:p>
            <w:pPr>
              <w:pStyle w:val="MDPI42tablebody"/>
              <w:spacing w:line="240" w:lineRule="auto" w:before="30" w:after="30"/>
              <w:jc w:val="center"/>
            </w:pPr>
            <w:r>
              <w:rPr>
                <w:b w:val="0"/>
                <w:i w:val="0"/>
                <w:sz w:val="16"/>
              </w:rPr>
              <w:t>0.014</w:t>
            </w:r>
          </w:p>
        </w:tc>
        <w:tc>
          <w:tcPr>
            <w:tcW w:type="dxa" w:w="1360"/>
          </w:tcPr>
          <w:p>
            <w:pPr>
              <w:pStyle w:val="MDPI42tablebody"/>
              <w:spacing w:line="240" w:lineRule="auto" w:before="30" w:after="30"/>
              <w:jc w:val="center"/>
            </w:pPr>
            <w:r>
              <w:rPr>
                <w:b w:val="0"/>
                <w:i w:val="0"/>
                <w:sz w:val="16"/>
              </w:rPr>
              <w:t>0.030</w:t>
            </w:r>
          </w:p>
        </w:tc>
        <w:tc>
          <w:tcPr>
            <w:tcW w:type="dxa" w:w="1360"/>
          </w:tcPr>
          <w:p>
            <w:pPr>
              <w:pStyle w:val="MDPI42tablebody"/>
              <w:spacing w:line="240" w:lineRule="auto" w:before="30" w:after="30"/>
              <w:jc w:val="center"/>
            </w:pPr>
            <w:r>
              <w:rPr>
                <w:b w:val="0"/>
                <w:i w:val="0"/>
                <w:sz w:val="16"/>
              </w:rPr>
              <w:t>0.030</w:t>
            </w:r>
          </w:p>
        </w:tc>
        <w:tc>
          <w:tcPr>
            <w:tcW w:type="dxa" w:w="1360"/>
          </w:tcPr>
          <w:p>
            <w:pPr>
              <w:pStyle w:val="MDPI42tablebody"/>
              <w:spacing w:line="240" w:lineRule="auto" w:before="30" w:after="30"/>
              <w:jc w:val="center"/>
            </w:pPr>
            <w:r>
              <w:rPr>
                <w:b w:val="0"/>
                <w:i w:val="0"/>
                <w:sz w:val="16"/>
              </w:rPr>
              <w:t>0.030</w:t>
            </w:r>
          </w:p>
        </w:tc>
      </w:tr>
    </w:tbl>
    <w:p>
      <w:pPr>
        <w:pStyle w:val="MDPI43tablefooter"/>
        <w:spacing w:line="240" w:lineRule="auto" w:before="40" w:after="200"/>
        <w:ind w:left="2608" w:firstLine="0"/>
      </w:pPr>
      <w:r>
        <w:rPr>
          <w:sz w:val="16"/>
        </w:rPr>
        <w:t xml:space="preserve">Note: </w:t>
      </w:r>
      <w:r>
        <w:rPr>
          <w:b w:val="0"/>
          <w:i w:val="0"/>
          <w:sz w:val="16"/>
        </w:rPr>
        <w:t>The dependent variable is the share of employees aged 30 or below. Columns (1) and (2) estimate the linear specification of Equation (2) and columns (3) to (6) the quadratic specification of Equation (3). Standard errors clustered at the firm level are in parentheses. ***, ** and * denote significance at the 1%, 5% and 10% levels.</w:t>
      </w:r>
    </w:p>
    <w:p>
      <w:pPr>
        <w:pStyle w:val="MDPI22heading2"/>
      </w:pPr>
      <w:r>
        <w:t>4.4. Testing the Shape of the Relationship</w:t>
      </w:r>
    </w:p>
    <w:p>
      <w:pPr>
        <w:pStyle w:val="MDPI32textnoindent"/>
      </w:pPr>
      <w:r>
        <w:rPr>
          <w:b w:val="0"/>
          <w:i w:val="0"/>
        </w:rPr>
        <w:t>A negative squared term is necessary but not sufficient for an inverted U. Table 5 reports the full battery. The fitted slope at the lower extreme of the data is 2.952 with a standard error of 0.190, and at the upper extreme −3.716 with a standard error of 0.267: positive and negative respectively, each significantly so. The Lind–Mehlum statistic, the smaller of the two one-sided statistics, is 13.91 with a p-value below 0.001, so the composite null of a monotone relationship over the observed range is rejected.</w:t>
      </w:r>
    </w:p>
    <w:p>
      <w:pPr>
        <w:pStyle w:val="MDPI31text"/>
      </w:pPr>
      <w:r>
        <w:rPr>
          <w:b w:val="0"/>
          <w:i w:val="0"/>
        </w:rPr>
        <w:t>The extreme point is 2.132, with a Fieller 95% interval of [2.033, 2.237]. Both the point estimate and the whole interval lie inside the observed range of depth, [0, 4.816], which is the condition that distinguishes a genuine interior maximum from an extrapolated one. 42.9% of post-shock observations lie beyond the extreme point, so the descending arm is estimated on a substantial body of data rather than on a handful of outliers, and 4.3% lie beyond 4.26, the depth at which the fitted curve returns to its value at zero adoption. The two-lines test agrees: the slope below the break is 1.622 and the slope above it −1.754, both significant at the 1% level and of opposite sign.</w:t>
      </w:r>
    </w:p>
    <w:p>
      <w:pPr>
        <w:pStyle w:val="MDPI41tablecaption"/>
        <w:keepNext/>
        <w:spacing w:after="60"/>
      </w:pPr>
      <w:r>
        <w:rPr>
          <w:b/>
          <w:sz w:val="18"/>
        </w:rPr>
        <w:t xml:space="preserve">Table 5. </w:t>
      </w:r>
      <w:r>
        <w:rPr>
          <w:b w:val="0"/>
          <w:i w:val="0"/>
          <w:sz w:val="18"/>
        </w:rPr>
        <w:t>Testing the shape of the relationship.</w:t>
      </w:r>
    </w:p>
    <w:tbl>
      <w:tblPr>
        <w:tblStyle w:val="MDPI41threelinetable"/>
        <w:tblW w:w="7858" w:type="dxa"/>
        <w:tblInd w:w="2608" w:type="dxa"/>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CellMar>
          <w:top w:w="0" w:type="dxa"/>
          <w:left w:w="57" w:type="dxa"/>
          <w:bottom w:w="0" w:type="dxa"/>
          <w:right w:w="57" w:type="dxa"/>
        </w:tblCellMar>
        <w:tblLook w:firstColumn="1" w:firstRow="1" w:lastColumn="0" w:lastRow="0" w:noHBand="0" w:noVBand="1" w:val="04A0"/>
      </w:tblPr>
      <w:tblGrid>
        <w:gridCol w:w="4871"/>
        <w:gridCol w:w="2986"/>
      </w:tblGrid>
      <w:tr>
        <w:trPr>
          <w:cantSplit/>
          <w:tblHeader/>
        </w:trPr>
        <w:tc>
          <w:tcPr>
            <w:tcW w:type="dxa" w:w="4871"/>
            <w:tcBorders>
              <w:bottom w:val="single" w:sz="8" w:space="0" w:color="auto"/>
            </w:tcBorders>
          </w:tcPr>
          <w:p>
            <w:pPr>
              <w:pStyle w:val="MDPI42tablebody"/>
              <w:keepNext/>
              <w:spacing w:line="240" w:lineRule="auto" w:before="30" w:after="30"/>
              <w:jc w:val="center"/>
            </w:pPr>
            <w:r>
              <w:rPr>
                <w:b/>
                <w:i w:val="0"/>
                <w:sz w:val="18"/>
              </w:rPr>
              <w:t>Quantity</w:t>
            </w:r>
          </w:p>
        </w:tc>
        <w:tc>
          <w:tcPr>
            <w:tcW w:type="dxa" w:w="2986"/>
            <w:tcBorders>
              <w:bottom w:val="single" w:sz="8" w:space="0" w:color="auto"/>
            </w:tcBorders>
          </w:tcPr>
          <w:p>
            <w:pPr>
              <w:pStyle w:val="MDPI42tablebody"/>
              <w:keepNext/>
              <w:spacing w:line="240" w:lineRule="auto" w:before="30" w:after="30"/>
              <w:jc w:val="center"/>
            </w:pPr>
            <w:r>
              <w:rPr>
                <w:b/>
                <w:i w:val="0"/>
                <w:sz w:val="18"/>
              </w:rPr>
              <w:t>Value</w:t>
            </w:r>
          </w:p>
        </w:tc>
      </w:tr>
      <w:tr>
        <w:trPr>
          <w:cantSplit/>
        </w:trPr>
        <w:tc>
          <w:tcPr>
            <w:tcW w:type="dxa" w:w="4871"/>
          </w:tcPr>
          <w:p>
            <w:pPr>
              <w:pStyle w:val="MDPI42tablebody"/>
              <w:keepNext/>
              <w:spacing w:line="240" w:lineRule="auto" w:before="30" w:after="30"/>
              <w:jc w:val="left"/>
            </w:pPr>
            <w:r>
              <w:rPr>
                <w:b w:val="0"/>
                <w:i w:val="0"/>
                <w:sz w:val="18"/>
              </w:rPr>
              <w:t>Data range of AI</w:t>
            </w:r>
          </w:p>
        </w:tc>
        <w:tc>
          <w:tcPr>
            <w:tcW w:type="dxa" w:w="2986"/>
          </w:tcPr>
          <w:p>
            <w:pPr>
              <w:pStyle w:val="MDPI42tablebody"/>
              <w:keepNext/>
              <w:spacing w:line="240" w:lineRule="auto" w:before="30" w:after="30"/>
              <w:jc w:val="center"/>
            </w:pPr>
            <w:r>
              <w:rPr>
                <w:b w:val="0"/>
                <w:i w:val="0"/>
                <w:sz w:val="18"/>
              </w:rPr>
              <w:t>[0.000, 4.816]</w:t>
            </w:r>
          </w:p>
        </w:tc>
      </w:tr>
      <w:tr>
        <w:trPr>
          <w:cantSplit/>
        </w:trPr>
        <w:tc>
          <w:tcPr>
            <w:tcW w:type="dxa" w:w="4871"/>
          </w:tcPr>
          <w:p>
            <w:pPr>
              <w:pStyle w:val="MDPI42tablebody"/>
              <w:keepNext/>
              <w:spacing w:line="240" w:lineRule="auto" w:before="30" w:after="30"/>
              <w:jc w:val="left"/>
            </w:pPr>
            <w:r>
              <w:rPr>
                <w:b w:val="0"/>
                <w:i w:val="0"/>
                <w:sz w:val="18"/>
              </w:rPr>
              <w:t>Slope at the lower extreme</w:t>
            </w:r>
          </w:p>
        </w:tc>
        <w:tc>
          <w:tcPr>
            <w:tcW w:type="dxa" w:w="2986"/>
          </w:tcPr>
          <w:p>
            <w:pPr>
              <w:pStyle w:val="MDPI42tablebody"/>
              <w:keepNext/>
              <w:spacing w:line="240" w:lineRule="auto" w:before="30" w:after="30"/>
              <w:jc w:val="center"/>
            </w:pPr>
            <w:r>
              <w:rPr>
                <w:b w:val="0"/>
                <w:i w:val="0"/>
                <w:sz w:val="18"/>
              </w:rPr>
              <w:t>2.952 (0.190)</w:t>
            </w:r>
          </w:p>
        </w:tc>
      </w:tr>
      <w:tr>
        <w:trPr>
          <w:cantSplit/>
        </w:trPr>
        <w:tc>
          <w:tcPr>
            <w:tcW w:type="dxa" w:w="4871"/>
          </w:tcPr>
          <w:p>
            <w:pPr>
              <w:pStyle w:val="MDPI42tablebody"/>
              <w:keepNext/>
              <w:spacing w:line="240" w:lineRule="auto" w:before="30" w:after="30"/>
              <w:jc w:val="left"/>
            </w:pPr>
            <w:r>
              <w:rPr>
                <w:b w:val="0"/>
                <w:i w:val="0"/>
                <w:sz w:val="18"/>
              </w:rPr>
              <w:t>Slope at the upper extreme</w:t>
            </w:r>
          </w:p>
        </w:tc>
        <w:tc>
          <w:tcPr>
            <w:tcW w:type="dxa" w:w="2986"/>
          </w:tcPr>
          <w:p>
            <w:pPr>
              <w:pStyle w:val="MDPI42tablebody"/>
              <w:keepNext/>
              <w:spacing w:line="240" w:lineRule="auto" w:before="30" w:after="30"/>
              <w:jc w:val="center"/>
            </w:pPr>
            <w:r>
              <w:rPr>
                <w:b w:val="0"/>
                <w:i w:val="0"/>
                <w:sz w:val="18"/>
              </w:rPr>
              <w:t>−3.716 (0.267)</w:t>
            </w:r>
          </w:p>
        </w:tc>
      </w:tr>
      <w:tr>
        <w:trPr>
          <w:cantSplit/>
        </w:trPr>
        <w:tc>
          <w:tcPr>
            <w:tcW w:type="dxa" w:w="4871"/>
          </w:tcPr>
          <w:p>
            <w:pPr>
              <w:pStyle w:val="MDPI42tablebody"/>
              <w:keepNext/>
              <w:spacing w:line="240" w:lineRule="auto" w:before="30" w:after="30"/>
              <w:jc w:val="left"/>
            </w:pPr>
            <w:r>
              <w:rPr>
                <w:b w:val="0"/>
                <w:i w:val="0"/>
                <w:sz w:val="18"/>
              </w:rPr>
              <w:t>Lind–Mehlum test for an inverted U shape</w:t>
            </w:r>
          </w:p>
        </w:tc>
        <w:tc>
          <w:tcPr>
            <w:tcW w:type="dxa" w:w="2986"/>
          </w:tcPr>
          <w:p>
            <w:pPr>
              <w:pStyle w:val="MDPI42tablebody"/>
              <w:keepNext/>
              <w:spacing w:line="240" w:lineRule="auto" w:before="30" w:after="30"/>
              <w:jc w:val="center"/>
            </w:pPr>
            <w:r>
              <w:rPr>
                <w:b w:val="0"/>
                <w:i w:val="0"/>
                <w:sz w:val="18"/>
              </w:rPr>
              <w:t>t = 13.91, p &lt; 0.001</w:t>
            </w:r>
          </w:p>
        </w:tc>
      </w:tr>
      <w:tr>
        <w:trPr>
          <w:cantSplit/>
        </w:trPr>
        <w:tc>
          <w:tcPr>
            <w:tcW w:type="dxa" w:w="4871"/>
          </w:tcPr>
          <w:p>
            <w:pPr>
              <w:pStyle w:val="MDPI42tablebody"/>
              <w:keepNext/>
              <w:spacing w:line="240" w:lineRule="auto" w:before="30" w:after="30"/>
              <w:jc w:val="left"/>
            </w:pPr>
            <w:r>
              <w:rPr>
                <w:b w:val="0"/>
                <w:i w:val="0"/>
                <w:sz w:val="18"/>
              </w:rPr>
              <w:t>Extreme point</w:t>
            </w:r>
          </w:p>
        </w:tc>
        <w:tc>
          <w:tcPr>
            <w:tcW w:type="dxa" w:w="2986"/>
          </w:tcPr>
          <w:p>
            <w:pPr>
              <w:pStyle w:val="MDPI42tablebody"/>
              <w:keepNext/>
              <w:spacing w:line="240" w:lineRule="auto" w:before="30" w:after="30"/>
              <w:jc w:val="center"/>
            </w:pPr>
            <w:r>
              <w:rPr>
                <w:b w:val="0"/>
                <w:i w:val="0"/>
                <w:sz w:val="18"/>
              </w:rPr>
              <w:t>2.132</w:t>
            </w:r>
          </w:p>
        </w:tc>
      </w:tr>
      <w:tr>
        <w:trPr>
          <w:cantSplit/>
        </w:trPr>
        <w:tc>
          <w:tcPr>
            <w:tcW w:type="dxa" w:w="4871"/>
          </w:tcPr>
          <w:p>
            <w:pPr>
              <w:pStyle w:val="MDPI42tablebody"/>
              <w:keepNext/>
              <w:spacing w:line="240" w:lineRule="auto" w:before="30" w:after="30"/>
              <w:jc w:val="left"/>
            </w:pPr>
            <w:r>
              <w:rPr>
                <w:b w:val="0"/>
                <w:i w:val="0"/>
                <w:sz w:val="18"/>
              </w:rPr>
              <w:t>Fieller 95% interval for the extreme point</w:t>
            </w:r>
          </w:p>
        </w:tc>
        <w:tc>
          <w:tcPr>
            <w:tcW w:type="dxa" w:w="2986"/>
          </w:tcPr>
          <w:p>
            <w:pPr>
              <w:pStyle w:val="MDPI42tablebody"/>
              <w:keepNext/>
              <w:spacing w:line="240" w:lineRule="auto" w:before="30" w:after="30"/>
              <w:jc w:val="center"/>
            </w:pPr>
            <w:r>
              <w:rPr>
                <w:b w:val="0"/>
                <w:i w:val="0"/>
                <w:sz w:val="18"/>
              </w:rPr>
              <w:t>[2.033, 2.237]</w:t>
            </w:r>
          </w:p>
        </w:tc>
      </w:tr>
      <w:tr>
        <w:trPr>
          <w:cantSplit/>
        </w:trPr>
        <w:tc>
          <w:tcPr>
            <w:tcW w:type="dxa" w:w="4871"/>
          </w:tcPr>
          <w:p>
            <w:pPr>
              <w:pStyle w:val="MDPI42tablebody"/>
              <w:keepNext/>
              <w:spacing w:line="240" w:lineRule="auto" w:before="30" w:after="30"/>
              <w:jc w:val="left"/>
            </w:pPr>
            <w:r>
              <w:rPr>
                <w:b w:val="0"/>
                <w:i w:val="0"/>
                <w:sz w:val="18"/>
              </w:rPr>
              <w:t>Share of post-shock observations beyond the extreme point</w:t>
            </w:r>
          </w:p>
        </w:tc>
        <w:tc>
          <w:tcPr>
            <w:tcW w:type="dxa" w:w="2986"/>
          </w:tcPr>
          <w:p>
            <w:pPr>
              <w:pStyle w:val="MDPI42tablebody"/>
              <w:keepNext/>
              <w:spacing w:line="240" w:lineRule="auto" w:before="30" w:after="30"/>
              <w:jc w:val="center"/>
            </w:pPr>
            <w:r>
              <w:rPr>
                <w:b w:val="0"/>
                <w:i w:val="0"/>
                <w:sz w:val="18"/>
              </w:rPr>
              <w:t>42.9%</w:t>
            </w:r>
          </w:p>
        </w:tc>
      </w:tr>
      <w:tr>
        <w:trPr>
          <w:cantSplit/>
        </w:trPr>
        <w:tc>
          <w:tcPr>
            <w:tcW w:type="dxa" w:w="4871"/>
          </w:tcPr>
          <w:p>
            <w:pPr>
              <w:pStyle w:val="MDPI42tablebody"/>
              <w:keepNext/>
              <w:spacing w:line="240" w:lineRule="auto" w:before="30" w:after="30"/>
              <w:jc w:val="left"/>
            </w:pPr>
            <w:r>
              <w:rPr>
                <w:b w:val="0"/>
                <w:i w:val="0"/>
                <w:sz w:val="18"/>
              </w:rPr>
              <w:t>Two-lines test, slope below the break</w:t>
            </w:r>
          </w:p>
        </w:tc>
        <w:tc>
          <w:tcPr>
            <w:tcW w:type="dxa" w:w="2986"/>
          </w:tcPr>
          <w:p>
            <w:pPr>
              <w:pStyle w:val="MDPI42tablebody"/>
              <w:keepNext/>
              <w:spacing w:line="240" w:lineRule="auto" w:before="30" w:after="30"/>
              <w:jc w:val="center"/>
            </w:pPr>
            <w:r>
              <w:rPr>
                <w:b w:val="0"/>
                <w:i w:val="0"/>
                <w:sz w:val="18"/>
              </w:rPr>
              <w:t>1.622 (p &lt; 0.001)</w:t>
            </w:r>
          </w:p>
        </w:tc>
      </w:tr>
      <w:tr>
        <w:trPr>
          <w:cantSplit/>
        </w:trPr>
        <w:tc>
          <w:tcPr>
            <w:tcW w:type="dxa" w:w="4871"/>
          </w:tcPr>
          <w:p>
            <w:pPr>
              <w:pStyle w:val="MDPI42tablebody"/>
              <w:spacing w:line="240" w:lineRule="auto" w:before="30" w:after="30"/>
              <w:jc w:val="left"/>
            </w:pPr>
            <w:r>
              <w:rPr>
                <w:b w:val="0"/>
                <w:i w:val="0"/>
                <w:sz w:val="18"/>
              </w:rPr>
              <w:t>Two-lines test, slope above the break</w:t>
            </w:r>
          </w:p>
        </w:tc>
        <w:tc>
          <w:tcPr>
            <w:tcW w:type="dxa" w:w="2986"/>
          </w:tcPr>
          <w:p>
            <w:pPr>
              <w:pStyle w:val="MDPI42tablebody"/>
              <w:spacing w:line="240" w:lineRule="auto" w:before="30" w:after="30"/>
              <w:jc w:val="center"/>
            </w:pPr>
            <w:r>
              <w:rPr>
                <w:b w:val="0"/>
                <w:i w:val="0"/>
                <w:sz w:val="18"/>
              </w:rPr>
              <w:t>−1.754 (p &lt; 0.001)</w:t>
            </w:r>
          </w:p>
        </w:tc>
      </w:tr>
    </w:tbl>
    <w:p>
      <w:pPr>
        <w:pStyle w:val="MDPI43tablefooter"/>
        <w:spacing w:line="240" w:lineRule="auto" w:before="40" w:after="200"/>
        <w:ind w:left="2608" w:firstLine="0"/>
      </w:pPr>
      <w:r>
        <w:rPr>
          <w:sz w:val="16"/>
        </w:rPr>
        <w:t xml:space="preserve">Note: </w:t>
      </w:r>
      <w:r>
        <w:rPr>
          <w:b w:val="0"/>
          <w:i w:val="0"/>
          <w:sz w:val="16"/>
        </w:rPr>
        <w:t>The Lind–Mehlum test is the exact test of a U or inverted-U shape over a specified interval; its composite null is that the relationship is monotone. The Fieller interval for the extreme point does not require the squared term to be far from zero. The two-lines test fits a separate slope on each side of the extreme point.</w:t>
      </w:r>
    </w:p>
    <w:p>
      <w:pPr>
        <w:pStyle w:val="MDPI31text"/>
      </w:pPr>
      <w:r>
        <w:rPr>
          <w:b w:val="0"/>
          <w:i w:val="0"/>
        </w:rPr>
        <w:t>Figure 2 plots the fitted curve of Equation (3) relative to its value at zero adoption, with its 95% confidence band, the extreme point and the shaded Fieller interval around it, and residualised binned means. The binned means are purged of the controls and of the firm and year effects, grouped into twenty equal-count bins of positive adoption depth and re-based on the lowest bin, so they impose no functional form at all. They track the quadratic closely over the whole range, rising to the peak and falling away from it, which is the strongest available evidence that the curvature is a property of the data rather than of the polynomial. In economic terms, moving from no adoption to the peak raises the youth employment share by 3.15 percentage points, 14.6% of the sample mean; moving from the peak to the deepest observed adoption removes 4.99 points, leaving the firm 1.84 points below where it began. H1 is supported.</w:t>
      </w:r>
    </w:p>
    <w:p>
      <w:pPr>
        <w:pStyle w:val="MDPI52figure"/>
        <w:keepNext/>
        <w:ind w:left="2608" w:firstLine="0"/>
        <w:jc w:val="center"/>
      </w:pPr>
      <w:r>
        <w:drawing>
          <wp:inline xmlns:a="http://schemas.openxmlformats.org/drawingml/2006/main" xmlns:pic="http://schemas.openxmlformats.org/drawingml/2006/picture">
            <wp:extent cx="4968000" cy="3065688"/>
            <wp:docPr id="2" name="Picture 2"/>
            <wp:cNvGraphicFramePr>
              <a:graphicFrameLocks noChangeAspect="1"/>
            </wp:cNvGraphicFramePr>
            <a:graphic>
              <a:graphicData uri="http://schemas.openxmlformats.org/drawingml/2006/picture">
                <pic:pic>
                  <pic:nvPicPr>
                    <pic:cNvPr id="0" name="figure2_curve.png"/>
                    <pic:cNvPicPr/>
                  </pic:nvPicPr>
                  <pic:blipFill>
                    <a:blip r:embed="rId18"/>
                    <a:stretch>
                      <a:fillRect/>
                    </a:stretch>
                  </pic:blipFill>
                  <pic:spPr>
                    <a:xfrm>
                      <a:off x="0" y="0"/>
                      <a:ext cx="4968000" cy="3065688"/>
                    </a:xfrm>
                    <a:prstGeom prst="rect"/>
                  </pic:spPr>
                </pic:pic>
              </a:graphicData>
            </a:graphic>
          </wp:inline>
        </w:drawing>
      </w:r>
    </w:p>
    <w:p>
      <w:pPr>
        <w:pStyle w:val="MDPI51figurecaption"/>
        <w:spacing w:after="200"/>
      </w:pPr>
      <w:r>
        <w:rPr>
          <w:b/>
          <w:sz w:val="18"/>
        </w:rPr>
        <w:t xml:space="preserve">Figure 2. </w:t>
      </w:r>
      <w:r>
        <w:rPr>
          <w:b w:val="0"/>
          <w:i w:val="0"/>
          <w:sz w:val="18"/>
        </w:rPr>
        <w:t>The inverted U-shaped relationship between adoption depth and the youth employment share.</w:t>
      </w:r>
    </w:p>
    <w:p>
      <w:pPr>
        <w:pStyle w:val="MDPI22heading2"/>
      </w:pPr>
      <w:r>
        <w:t>4.5. Why the Curve Bends: Augmentation and Automation</w:t>
      </w:r>
    </w:p>
    <w:p>
      <w:pPr>
        <w:pStyle w:val="MDPI32textnoindent"/>
      </w:pPr>
      <w:r>
        <w:rPr>
          <w:b w:val="0"/>
          <w:i w:val="0"/>
        </w:rPr>
        <w:t>Table 6 opens the mechanism. Column (1) regresses the augmentation channel on depth and its square: the linear term is 9.110 and the squared term −0.628, so augmentation is increasing and concave, with an extreme point at 7.25 that lies outside the observed range of depth. Within the data, in other words, augmentation never stops rising; it merely rises more and more slowly. Column (2) does the same for automation: the linear term is 1.932 and the squared term 0.731, positive and significant, so automation is increasing and convex. This is the asymmetry the theory requires, and it is measured rather than assumed.</w:t>
      </w:r>
    </w:p>
    <w:p>
      <w:pPr>
        <w:pStyle w:val="MDPI31text"/>
      </w:pPr>
      <w:r>
        <w:rPr>
          <w:b w:val="0"/>
          <w:i w:val="0"/>
        </w:rPr>
        <w:t>Column (3) puts both channels in the outcome equation. The youth share loads positively on augmentation (0.324) and negatively on automation (−0.577), both at the 1% level, and once the two channels are controlled for, the squared term on depth is no longer statistically significant (p = 0.107). The curvature of the reduced-form relationship is therefore fully accounted for by the differing curvature of the two channels: there is no residual non-linearity left to explain.</w:t>
      </w:r>
    </w:p>
    <w:p>
      <w:pPr>
        <w:pStyle w:val="MDPI41tablecaption"/>
        <w:keepNext/>
        <w:spacing w:after="60"/>
      </w:pPr>
      <w:r>
        <w:rPr>
          <w:b/>
          <w:sz w:val="18"/>
        </w:rPr>
        <w:t xml:space="preserve">Table 6. </w:t>
      </w:r>
      <w:r>
        <w:rPr>
          <w:b w:val="0"/>
          <w:i w:val="0"/>
          <w:sz w:val="18"/>
        </w:rPr>
        <w:t>Mechanism: augmentation is concave, automation is convex.</w:t>
      </w:r>
    </w:p>
    <w:tbl>
      <w:tblPr>
        <w:tblStyle w:val="MDPI41threelinetable"/>
        <w:tblW w:w="10466"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CellMar>
          <w:top w:w="0" w:type="dxa"/>
          <w:left w:w="57" w:type="dxa"/>
          <w:bottom w:w="0" w:type="dxa"/>
          <w:right w:w="57" w:type="dxa"/>
        </w:tblCellMar>
        <w:tblLook w:firstColumn="1" w:firstRow="1" w:lastColumn="0" w:lastRow="0" w:noHBand="0" w:noVBand="1" w:val="04A0"/>
      </w:tblPr>
      <w:tblGrid>
        <w:gridCol w:w="3558"/>
        <w:gridCol w:w="2302"/>
        <w:gridCol w:w="2302"/>
        <w:gridCol w:w="2302"/>
      </w:tblGrid>
      <w:tr>
        <w:trPr>
          <w:cantSplit/>
          <w:tblHeader/>
        </w:trPr>
        <w:tc>
          <w:tcPr>
            <w:tcW w:type="dxa" w:w="3558"/>
            <w:tcBorders>
              <w:bottom w:val="single" w:sz="8" w:space="0" w:color="auto"/>
            </w:tcBorders>
          </w:tcPr>
          <w:p>
            <w:pPr>
              <w:pStyle w:val="MDPI42tablebody"/>
              <w:keepNext/>
              <w:spacing w:line="240" w:lineRule="auto" w:before="30" w:after="30"/>
              <w:jc w:val="center"/>
            </w:pPr>
            <w:r>
              <w:rPr>
                <w:b/>
                <w:i w:val="0"/>
                <w:sz w:val="18"/>
              </w:rPr>
              <w:t>Variable</w:t>
            </w:r>
          </w:p>
        </w:tc>
        <w:tc>
          <w:tcPr>
            <w:tcW w:type="dxa" w:w="2302"/>
            <w:tcBorders>
              <w:bottom w:val="single" w:sz="8" w:space="0" w:color="auto"/>
            </w:tcBorders>
          </w:tcPr>
          <w:p>
            <w:pPr>
              <w:pStyle w:val="MDPI42tablebody"/>
              <w:keepNext/>
              <w:spacing w:line="240" w:lineRule="auto" w:before="30" w:after="30"/>
              <w:jc w:val="center"/>
            </w:pPr>
            <w:r>
              <w:rPr>
                <w:b/>
                <w:i w:val="0"/>
                <w:sz w:val="18"/>
              </w:rPr>
              <w:t>(1)</w:t>
            </w:r>
          </w:p>
        </w:tc>
        <w:tc>
          <w:tcPr>
            <w:tcW w:type="dxa" w:w="2302"/>
            <w:tcBorders>
              <w:bottom w:val="single" w:sz="8" w:space="0" w:color="auto"/>
            </w:tcBorders>
          </w:tcPr>
          <w:p>
            <w:pPr>
              <w:pStyle w:val="MDPI42tablebody"/>
              <w:keepNext/>
              <w:spacing w:line="240" w:lineRule="auto" w:before="30" w:after="30"/>
              <w:jc w:val="center"/>
            </w:pPr>
            <w:r>
              <w:rPr>
                <w:b/>
                <w:i w:val="0"/>
                <w:sz w:val="18"/>
              </w:rPr>
              <w:t>(2)</w:t>
            </w:r>
          </w:p>
        </w:tc>
        <w:tc>
          <w:tcPr>
            <w:tcW w:type="dxa" w:w="2302"/>
            <w:tcBorders>
              <w:bottom w:val="single" w:sz="8" w:space="0" w:color="auto"/>
            </w:tcBorders>
          </w:tcPr>
          <w:p>
            <w:pPr>
              <w:pStyle w:val="MDPI42tablebody"/>
              <w:keepNext/>
              <w:spacing w:line="240" w:lineRule="auto" w:before="30" w:after="30"/>
              <w:jc w:val="center"/>
            </w:pPr>
            <w:r>
              <w:rPr>
                <w:b/>
                <w:i w:val="0"/>
                <w:sz w:val="18"/>
              </w:rPr>
              <w:t>(3)</w:t>
            </w:r>
          </w:p>
        </w:tc>
      </w:tr>
      <w:tr>
        <w:trPr>
          <w:cantSplit/>
        </w:trPr>
        <w:tc>
          <w:tcPr>
            <w:tcW w:type="dxa" w:w="3558"/>
          </w:tcPr>
          <w:p>
            <w:pPr>
              <w:pStyle w:val="MDPI42tablebody"/>
              <w:keepNext/>
              <w:spacing w:line="240" w:lineRule="auto" w:before="30" w:after="30"/>
              <w:jc w:val="left"/>
            </w:pPr>
            <w:r>
              <w:rPr>
                <w:b w:val="0"/>
                <w:i/>
                <w:sz w:val="18"/>
              </w:rPr>
              <w:t>Dependent variable</w:t>
            </w:r>
          </w:p>
        </w:tc>
        <w:tc>
          <w:tcPr>
            <w:tcW w:type="dxa" w:w="2302"/>
          </w:tcPr>
          <w:p>
            <w:pPr>
              <w:pStyle w:val="MDPI42tablebody"/>
              <w:keepNext/>
              <w:spacing w:line="240" w:lineRule="auto" w:before="30" w:after="30"/>
              <w:jc w:val="center"/>
            </w:pPr>
            <w:r>
              <w:rPr>
                <w:b w:val="0"/>
                <w:i w:val="0"/>
                <w:sz w:val="18"/>
              </w:rPr>
              <w:t>AUG</w:t>
            </w:r>
          </w:p>
        </w:tc>
        <w:tc>
          <w:tcPr>
            <w:tcW w:type="dxa" w:w="2302"/>
          </w:tcPr>
          <w:p>
            <w:pPr>
              <w:pStyle w:val="MDPI42tablebody"/>
              <w:keepNext/>
              <w:spacing w:line="240" w:lineRule="auto" w:before="30" w:after="30"/>
              <w:jc w:val="center"/>
            </w:pPr>
            <w:r>
              <w:rPr>
                <w:b w:val="0"/>
                <w:i w:val="0"/>
                <w:sz w:val="18"/>
              </w:rPr>
              <w:t>AUT</w:t>
            </w:r>
          </w:p>
        </w:tc>
        <w:tc>
          <w:tcPr>
            <w:tcW w:type="dxa" w:w="2302"/>
          </w:tcPr>
          <w:p>
            <w:pPr>
              <w:pStyle w:val="MDPI42tablebody"/>
              <w:keepNext/>
              <w:spacing w:line="240" w:lineRule="auto" w:before="30" w:after="30"/>
              <w:jc w:val="center"/>
            </w:pPr>
            <w:r>
              <w:rPr>
                <w:b w:val="0"/>
                <w:i w:val="0"/>
                <w:sz w:val="18"/>
              </w:rPr>
              <w:t>Youth</w:t>
            </w:r>
          </w:p>
        </w:tc>
      </w:tr>
      <w:tr>
        <w:trPr>
          <w:cantSplit/>
        </w:trPr>
        <w:tc>
          <w:tcPr>
            <w:tcW w:type="dxa" w:w="3558"/>
          </w:tcPr>
          <w:p>
            <w:pPr>
              <w:pStyle w:val="MDPI42tablebody"/>
              <w:keepNext/>
              <w:spacing w:line="240" w:lineRule="auto" w:before="30" w:after="30"/>
              <w:jc w:val="left"/>
            </w:pPr>
            <w:r>
              <w:rPr>
                <w:b w:val="0"/>
                <w:i/>
                <w:sz w:val="18"/>
              </w:rPr>
              <w:t>AI</w:t>
            </w:r>
          </w:p>
        </w:tc>
        <w:tc>
          <w:tcPr>
            <w:tcW w:type="dxa" w:w="2302"/>
          </w:tcPr>
          <w:p>
            <w:pPr>
              <w:pStyle w:val="MDPI42tablebody"/>
              <w:keepNext/>
              <w:spacing w:line="240" w:lineRule="auto" w:before="30" w:after="30"/>
              <w:jc w:val="center"/>
            </w:pPr>
            <w:r>
              <w:rPr>
                <w:b w:val="0"/>
                <w:i w:val="0"/>
                <w:sz w:val="18"/>
              </w:rPr>
              <w:t>9.110***</w:t>
            </w:r>
          </w:p>
        </w:tc>
        <w:tc>
          <w:tcPr>
            <w:tcW w:type="dxa" w:w="2302"/>
          </w:tcPr>
          <w:p>
            <w:pPr>
              <w:pStyle w:val="MDPI42tablebody"/>
              <w:keepNext/>
              <w:spacing w:line="240" w:lineRule="auto" w:before="30" w:after="30"/>
              <w:jc w:val="center"/>
            </w:pPr>
            <w:r>
              <w:rPr>
                <w:b w:val="0"/>
                <w:i w:val="0"/>
                <w:sz w:val="18"/>
              </w:rPr>
              <w:t>1.932***</w:t>
            </w:r>
          </w:p>
        </w:tc>
        <w:tc>
          <w:tcPr>
            <w:tcW w:type="dxa" w:w="2302"/>
          </w:tcPr>
          <w:p>
            <w:pPr>
              <w:pStyle w:val="MDPI42tablebody"/>
              <w:keepNext/>
              <w:spacing w:line="240" w:lineRule="auto" w:before="30" w:after="30"/>
              <w:jc w:val="center"/>
            </w:pPr>
            <w:r>
              <w:rPr>
                <w:b w:val="0"/>
                <w:i w:val="0"/>
                <w:sz w:val="18"/>
              </w:rPr>
              <w:t>1.111***</w:t>
            </w:r>
          </w:p>
        </w:tc>
      </w:tr>
      <w:tr>
        <w:trPr>
          <w:cantSplit/>
        </w:trPr>
        <w:tc>
          <w:tcPr>
            <w:tcW w:type="dxa" w:w="3558"/>
          </w:tcPr>
          <w:p>
            <w:pPr>
              <w:pStyle w:val="MDPI42tablebody"/>
              <w:keepNext/>
              <w:spacing w:line="240" w:lineRule="auto" w:before="30" w:after="30"/>
              <w:jc w:val="left"/>
            </w:pPr>
          </w:p>
        </w:tc>
        <w:tc>
          <w:tcPr>
            <w:tcW w:type="dxa" w:w="2302"/>
          </w:tcPr>
          <w:p>
            <w:pPr>
              <w:pStyle w:val="MDPI42tablebody"/>
              <w:keepNext/>
              <w:spacing w:line="240" w:lineRule="auto" w:before="30" w:after="30"/>
              <w:jc w:val="center"/>
            </w:pPr>
            <w:r>
              <w:rPr>
                <w:b w:val="0"/>
                <w:i w:val="0"/>
                <w:sz w:val="18"/>
              </w:rPr>
              <w:t>(0.170)</w:t>
            </w:r>
          </w:p>
        </w:tc>
        <w:tc>
          <w:tcPr>
            <w:tcW w:type="dxa" w:w="2302"/>
          </w:tcPr>
          <w:p>
            <w:pPr>
              <w:pStyle w:val="MDPI42tablebody"/>
              <w:keepNext/>
              <w:spacing w:line="240" w:lineRule="auto" w:before="30" w:after="30"/>
              <w:jc w:val="center"/>
            </w:pPr>
            <w:r>
              <w:rPr>
                <w:b w:val="0"/>
                <w:i w:val="0"/>
                <w:sz w:val="18"/>
              </w:rPr>
              <w:t>(0.124)</w:t>
            </w:r>
          </w:p>
        </w:tc>
        <w:tc>
          <w:tcPr>
            <w:tcW w:type="dxa" w:w="2302"/>
          </w:tcPr>
          <w:p>
            <w:pPr>
              <w:pStyle w:val="MDPI42tablebody"/>
              <w:keepNext/>
              <w:spacing w:line="240" w:lineRule="auto" w:before="30" w:after="30"/>
              <w:jc w:val="center"/>
            </w:pPr>
            <w:r>
              <w:rPr>
                <w:b w:val="0"/>
                <w:i w:val="0"/>
                <w:sz w:val="18"/>
              </w:rPr>
              <w:t>(0.175)</w:t>
            </w:r>
          </w:p>
        </w:tc>
      </w:tr>
      <w:tr>
        <w:trPr>
          <w:cantSplit/>
        </w:trPr>
        <w:tc>
          <w:tcPr>
            <w:tcW w:type="dxa" w:w="3558"/>
          </w:tcPr>
          <w:p>
            <w:pPr>
              <w:pStyle w:val="MDPI42tablebody"/>
              <w:keepNext/>
              <w:spacing w:line="240" w:lineRule="auto" w:before="30" w:after="30"/>
              <w:jc w:val="left"/>
            </w:pPr>
            <w:r>
              <w:rPr>
                <w:b w:val="0"/>
                <w:i/>
                <w:sz w:val="18"/>
              </w:rPr>
              <w:t>AI</w:t>
            </w:r>
            <w:r>
              <w:rPr>
                <w:b w:val="0"/>
                <w:i/>
                <w:sz w:val="18"/>
                <w:vertAlign w:val="superscript"/>
              </w:rPr>
              <w:t>2</w:t>
            </w:r>
          </w:p>
        </w:tc>
        <w:tc>
          <w:tcPr>
            <w:tcW w:type="dxa" w:w="2302"/>
          </w:tcPr>
          <w:p>
            <w:pPr>
              <w:pStyle w:val="MDPI42tablebody"/>
              <w:keepNext/>
              <w:spacing w:line="240" w:lineRule="auto" w:before="30" w:after="30"/>
              <w:jc w:val="center"/>
            </w:pPr>
            <w:r>
              <w:rPr>
                <w:b w:val="0"/>
                <w:i w:val="0"/>
                <w:sz w:val="18"/>
              </w:rPr>
              <w:t>−0.628***</w:t>
            </w:r>
          </w:p>
        </w:tc>
        <w:tc>
          <w:tcPr>
            <w:tcW w:type="dxa" w:w="2302"/>
          </w:tcPr>
          <w:p>
            <w:pPr>
              <w:pStyle w:val="MDPI42tablebody"/>
              <w:keepNext/>
              <w:spacing w:line="240" w:lineRule="auto" w:before="30" w:after="30"/>
              <w:jc w:val="center"/>
            </w:pPr>
            <w:r>
              <w:rPr>
                <w:b w:val="0"/>
                <w:i w:val="0"/>
                <w:sz w:val="18"/>
              </w:rPr>
              <w:t>0.731***</w:t>
            </w:r>
          </w:p>
        </w:tc>
        <w:tc>
          <w:tcPr>
            <w:tcW w:type="dxa" w:w="2302"/>
          </w:tcPr>
          <w:p>
            <w:pPr>
              <w:pStyle w:val="MDPI42tablebody"/>
              <w:keepNext/>
              <w:spacing w:line="240" w:lineRule="auto" w:before="30" w:after="30"/>
              <w:jc w:val="center"/>
            </w:pPr>
            <w:r>
              <w:rPr>
                <w:b w:val="0"/>
                <w:i w:val="0"/>
                <w:sz w:val="18"/>
              </w:rPr>
              <w:t>−0.067</w:t>
            </w:r>
          </w:p>
        </w:tc>
      </w:tr>
      <w:tr>
        <w:trPr>
          <w:cantSplit/>
        </w:trPr>
        <w:tc>
          <w:tcPr>
            <w:tcW w:type="dxa" w:w="3558"/>
          </w:tcPr>
          <w:p>
            <w:pPr>
              <w:pStyle w:val="MDPI42tablebody"/>
              <w:keepNext/>
              <w:spacing w:line="240" w:lineRule="auto" w:before="30" w:after="30"/>
              <w:jc w:val="left"/>
            </w:pPr>
          </w:p>
        </w:tc>
        <w:tc>
          <w:tcPr>
            <w:tcW w:type="dxa" w:w="2302"/>
          </w:tcPr>
          <w:p>
            <w:pPr>
              <w:pStyle w:val="MDPI42tablebody"/>
              <w:keepNext/>
              <w:spacing w:line="240" w:lineRule="auto" w:before="30" w:after="30"/>
              <w:jc w:val="center"/>
            </w:pPr>
            <w:r>
              <w:rPr>
                <w:b w:val="0"/>
                <w:i w:val="0"/>
                <w:sz w:val="18"/>
              </w:rPr>
              <w:t>(0.038)</w:t>
            </w:r>
          </w:p>
        </w:tc>
        <w:tc>
          <w:tcPr>
            <w:tcW w:type="dxa" w:w="2302"/>
          </w:tcPr>
          <w:p>
            <w:pPr>
              <w:pStyle w:val="MDPI42tablebody"/>
              <w:keepNext/>
              <w:spacing w:line="240" w:lineRule="auto" w:before="30" w:after="30"/>
              <w:jc w:val="center"/>
            </w:pPr>
            <w:r>
              <w:rPr>
                <w:b w:val="0"/>
                <w:i w:val="0"/>
                <w:sz w:val="18"/>
              </w:rPr>
              <w:t>(0.028)</w:t>
            </w:r>
          </w:p>
        </w:tc>
        <w:tc>
          <w:tcPr>
            <w:tcW w:type="dxa" w:w="2302"/>
          </w:tcPr>
          <w:p>
            <w:pPr>
              <w:pStyle w:val="MDPI42tablebody"/>
              <w:keepNext/>
              <w:spacing w:line="240" w:lineRule="auto" w:before="30" w:after="30"/>
              <w:jc w:val="center"/>
            </w:pPr>
            <w:r>
              <w:rPr>
                <w:b w:val="0"/>
                <w:i w:val="0"/>
                <w:sz w:val="18"/>
              </w:rPr>
              <w:t>(0.041)</w:t>
            </w:r>
          </w:p>
        </w:tc>
      </w:tr>
      <w:tr>
        <w:trPr>
          <w:cantSplit/>
        </w:trPr>
        <w:tc>
          <w:tcPr>
            <w:tcW w:type="dxa" w:w="3558"/>
          </w:tcPr>
          <w:p>
            <w:pPr>
              <w:pStyle w:val="MDPI42tablebody"/>
              <w:keepNext/>
              <w:spacing w:line="240" w:lineRule="auto" w:before="30" w:after="30"/>
              <w:jc w:val="left"/>
            </w:pPr>
            <w:r>
              <w:rPr>
                <w:b w:val="0"/>
                <w:i/>
                <w:sz w:val="18"/>
              </w:rPr>
              <w:t>AUG</w:t>
            </w:r>
          </w:p>
        </w:tc>
        <w:tc>
          <w:tcPr>
            <w:tcW w:type="dxa" w:w="2302"/>
          </w:tcPr>
          <w:p>
            <w:pPr>
              <w:pStyle w:val="MDPI42tablebody"/>
              <w:keepNext/>
              <w:spacing w:line="240" w:lineRule="auto" w:before="30" w:after="30"/>
              <w:jc w:val="center"/>
            </w:pPr>
          </w:p>
        </w:tc>
        <w:tc>
          <w:tcPr>
            <w:tcW w:type="dxa" w:w="2302"/>
          </w:tcPr>
          <w:p>
            <w:pPr>
              <w:pStyle w:val="MDPI42tablebody"/>
              <w:keepNext/>
              <w:spacing w:line="240" w:lineRule="auto" w:before="30" w:after="30"/>
              <w:jc w:val="center"/>
            </w:pPr>
          </w:p>
        </w:tc>
        <w:tc>
          <w:tcPr>
            <w:tcW w:type="dxa" w:w="2302"/>
          </w:tcPr>
          <w:p>
            <w:pPr>
              <w:pStyle w:val="MDPI42tablebody"/>
              <w:keepNext/>
              <w:spacing w:line="240" w:lineRule="auto" w:before="30" w:after="30"/>
              <w:jc w:val="center"/>
            </w:pPr>
            <w:r>
              <w:rPr>
                <w:b w:val="0"/>
                <w:i w:val="0"/>
                <w:sz w:val="18"/>
              </w:rPr>
              <w:t>0.324***</w:t>
            </w:r>
          </w:p>
        </w:tc>
      </w:tr>
      <w:tr>
        <w:trPr>
          <w:cantSplit/>
        </w:trPr>
        <w:tc>
          <w:tcPr>
            <w:tcW w:type="dxa" w:w="3558"/>
          </w:tcPr>
          <w:p>
            <w:pPr>
              <w:pStyle w:val="MDPI42tablebody"/>
              <w:keepNext/>
              <w:spacing w:line="240" w:lineRule="auto" w:before="30" w:after="30"/>
              <w:jc w:val="left"/>
            </w:pPr>
          </w:p>
        </w:tc>
        <w:tc>
          <w:tcPr>
            <w:tcW w:type="dxa" w:w="2302"/>
          </w:tcPr>
          <w:p>
            <w:pPr>
              <w:pStyle w:val="MDPI42tablebody"/>
              <w:keepNext/>
              <w:spacing w:line="240" w:lineRule="auto" w:before="30" w:after="30"/>
              <w:jc w:val="center"/>
            </w:pPr>
          </w:p>
        </w:tc>
        <w:tc>
          <w:tcPr>
            <w:tcW w:type="dxa" w:w="2302"/>
          </w:tcPr>
          <w:p>
            <w:pPr>
              <w:pStyle w:val="MDPI42tablebody"/>
              <w:keepNext/>
              <w:spacing w:line="240" w:lineRule="auto" w:before="30" w:after="30"/>
              <w:jc w:val="center"/>
            </w:pPr>
          </w:p>
        </w:tc>
        <w:tc>
          <w:tcPr>
            <w:tcW w:type="dxa" w:w="2302"/>
          </w:tcPr>
          <w:p>
            <w:pPr>
              <w:pStyle w:val="MDPI42tablebody"/>
              <w:keepNext/>
              <w:spacing w:line="240" w:lineRule="auto" w:before="30" w:after="30"/>
              <w:jc w:val="center"/>
            </w:pPr>
            <w:r>
              <w:rPr>
                <w:b w:val="0"/>
                <w:i w:val="0"/>
                <w:sz w:val="18"/>
              </w:rPr>
              <w:t>(0.007)</w:t>
            </w:r>
          </w:p>
        </w:tc>
      </w:tr>
      <w:tr>
        <w:trPr>
          <w:cantSplit/>
        </w:trPr>
        <w:tc>
          <w:tcPr>
            <w:tcW w:type="dxa" w:w="3558"/>
          </w:tcPr>
          <w:p>
            <w:pPr>
              <w:pStyle w:val="MDPI42tablebody"/>
              <w:keepNext/>
              <w:spacing w:line="240" w:lineRule="auto" w:before="30" w:after="30"/>
              <w:jc w:val="left"/>
            </w:pPr>
            <w:r>
              <w:rPr>
                <w:b w:val="0"/>
                <w:i/>
                <w:sz w:val="18"/>
              </w:rPr>
              <w:t>AUT</w:t>
            </w:r>
          </w:p>
        </w:tc>
        <w:tc>
          <w:tcPr>
            <w:tcW w:type="dxa" w:w="2302"/>
          </w:tcPr>
          <w:p>
            <w:pPr>
              <w:pStyle w:val="MDPI42tablebody"/>
              <w:keepNext/>
              <w:spacing w:line="240" w:lineRule="auto" w:before="30" w:after="30"/>
              <w:jc w:val="center"/>
            </w:pPr>
          </w:p>
        </w:tc>
        <w:tc>
          <w:tcPr>
            <w:tcW w:type="dxa" w:w="2302"/>
          </w:tcPr>
          <w:p>
            <w:pPr>
              <w:pStyle w:val="MDPI42tablebody"/>
              <w:keepNext/>
              <w:spacing w:line="240" w:lineRule="auto" w:before="30" w:after="30"/>
              <w:jc w:val="center"/>
            </w:pPr>
          </w:p>
        </w:tc>
        <w:tc>
          <w:tcPr>
            <w:tcW w:type="dxa" w:w="2302"/>
          </w:tcPr>
          <w:p>
            <w:pPr>
              <w:pStyle w:val="MDPI42tablebody"/>
              <w:keepNext/>
              <w:spacing w:line="240" w:lineRule="auto" w:before="30" w:after="30"/>
              <w:jc w:val="center"/>
            </w:pPr>
            <w:r>
              <w:rPr>
                <w:b w:val="0"/>
                <w:i w:val="0"/>
                <w:sz w:val="18"/>
              </w:rPr>
              <w:t>−0.577***</w:t>
            </w:r>
          </w:p>
        </w:tc>
      </w:tr>
      <w:tr>
        <w:trPr>
          <w:cantSplit/>
        </w:trPr>
        <w:tc>
          <w:tcPr>
            <w:tcW w:type="dxa" w:w="3558"/>
          </w:tcPr>
          <w:p>
            <w:pPr>
              <w:pStyle w:val="MDPI42tablebody"/>
              <w:keepNext/>
              <w:spacing w:line="240" w:lineRule="auto" w:before="30" w:after="30"/>
              <w:jc w:val="left"/>
            </w:pPr>
          </w:p>
        </w:tc>
        <w:tc>
          <w:tcPr>
            <w:tcW w:type="dxa" w:w="2302"/>
          </w:tcPr>
          <w:p>
            <w:pPr>
              <w:pStyle w:val="MDPI42tablebody"/>
              <w:keepNext/>
              <w:spacing w:line="240" w:lineRule="auto" w:before="30" w:after="30"/>
              <w:jc w:val="center"/>
            </w:pPr>
          </w:p>
        </w:tc>
        <w:tc>
          <w:tcPr>
            <w:tcW w:type="dxa" w:w="2302"/>
          </w:tcPr>
          <w:p>
            <w:pPr>
              <w:pStyle w:val="MDPI42tablebody"/>
              <w:keepNext/>
              <w:spacing w:line="240" w:lineRule="auto" w:before="30" w:after="30"/>
              <w:jc w:val="center"/>
            </w:pPr>
          </w:p>
        </w:tc>
        <w:tc>
          <w:tcPr>
            <w:tcW w:type="dxa" w:w="2302"/>
          </w:tcPr>
          <w:p>
            <w:pPr>
              <w:pStyle w:val="MDPI42tablebody"/>
              <w:keepNext/>
              <w:spacing w:line="240" w:lineRule="auto" w:before="30" w:after="30"/>
              <w:jc w:val="center"/>
            </w:pPr>
            <w:r>
              <w:rPr>
                <w:b w:val="0"/>
                <w:i w:val="0"/>
                <w:sz w:val="18"/>
              </w:rPr>
              <w:t>(0.009)</w:t>
            </w:r>
          </w:p>
        </w:tc>
      </w:tr>
      <w:tr>
        <w:trPr>
          <w:cantSplit/>
        </w:trPr>
        <w:tc>
          <w:tcPr>
            <w:tcW w:type="dxa" w:w="3558"/>
          </w:tcPr>
          <w:p>
            <w:pPr>
              <w:pStyle w:val="MDPI42tablebody"/>
              <w:keepNext/>
              <w:spacing w:line="240" w:lineRule="auto" w:before="30" w:after="30"/>
              <w:jc w:val="left"/>
            </w:pPr>
            <w:r>
              <w:rPr>
                <w:b w:val="0"/>
                <w:i/>
                <w:sz w:val="18"/>
              </w:rPr>
              <w:t>Size</w:t>
            </w:r>
          </w:p>
        </w:tc>
        <w:tc>
          <w:tcPr>
            <w:tcW w:type="dxa" w:w="2302"/>
          </w:tcPr>
          <w:p>
            <w:pPr>
              <w:pStyle w:val="MDPI42tablebody"/>
              <w:keepNext/>
              <w:spacing w:line="240" w:lineRule="auto" w:before="30" w:after="30"/>
              <w:jc w:val="center"/>
            </w:pPr>
            <w:r>
              <w:rPr>
                <w:b w:val="0"/>
                <w:i w:val="0"/>
                <w:sz w:val="18"/>
              </w:rPr>
              <w:t>0.801***</w:t>
            </w:r>
          </w:p>
        </w:tc>
        <w:tc>
          <w:tcPr>
            <w:tcW w:type="dxa" w:w="2302"/>
          </w:tcPr>
          <w:p>
            <w:pPr>
              <w:pStyle w:val="MDPI42tablebody"/>
              <w:keepNext/>
              <w:spacing w:line="240" w:lineRule="auto" w:before="30" w:after="30"/>
              <w:jc w:val="center"/>
            </w:pPr>
            <w:r>
              <w:rPr>
                <w:b w:val="0"/>
                <w:i w:val="0"/>
                <w:sz w:val="18"/>
              </w:rPr>
              <w:t>−0.123</w:t>
            </w:r>
          </w:p>
        </w:tc>
        <w:tc>
          <w:tcPr>
            <w:tcW w:type="dxa" w:w="2302"/>
          </w:tcPr>
          <w:p>
            <w:pPr>
              <w:pStyle w:val="MDPI42tablebody"/>
              <w:keepNext/>
              <w:spacing w:line="240" w:lineRule="auto" w:before="30" w:after="30"/>
              <w:jc w:val="center"/>
            </w:pPr>
            <w:r>
              <w:rPr>
                <w:b w:val="0"/>
                <w:i w:val="0"/>
                <w:sz w:val="18"/>
              </w:rPr>
              <w:t>1.030***</w:t>
            </w:r>
          </w:p>
        </w:tc>
      </w:tr>
      <w:tr>
        <w:trPr>
          <w:cantSplit/>
        </w:trPr>
        <w:tc>
          <w:tcPr>
            <w:tcW w:type="dxa" w:w="3558"/>
          </w:tcPr>
          <w:p>
            <w:pPr>
              <w:pStyle w:val="MDPI42tablebody"/>
              <w:keepNext/>
              <w:spacing w:line="240" w:lineRule="auto" w:before="30" w:after="30"/>
              <w:jc w:val="left"/>
            </w:pPr>
          </w:p>
        </w:tc>
        <w:tc>
          <w:tcPr>
            <w:tcW w:type="dxa" w:w="2302"/>
          </w:tcPr>
          <w:p>
            <w:pPr>
              <w:pStyle w:val="MDPI42tablebody"/>
              <w:keepNext/>
              <w:spacing w:line="240" w:lineRule="auto" w:before="30" w:after="30"/>
              <w:jc w:val="center"/>
            </w:pPr>
            <w:r>
              <w:rPr>
                <w:b w:val="0"/>
                <w:i w:val="0"/>
                <w:sz w:val="18"/>
              </w:rPr>
              <w:t>(0.109)</w:t>
            </w:r>
          </w:p>
        </w:tc>
        <w:tc>
          <w:tcPr>
            <w:tcW w:type="dxa" w:w="2302"/>
          </w:tcPr>
          <w:p>
            <w:pPr>
              <w:pStyle w:val="MDPI42tablebody"/>
              <w:keepNext/>
              <w:spacing w:line="240" w:lineRule="auto" w:before="30" w:after="30"/>
              <w:jc w:val="center"/>
            </w:pPr>
            <w:r>
              <w:rPr>
                <w:b w:val="0"/>
                <w:i w:val="0"/>
                <w:sz w:val="18"/>
              </w:rPr>
              <w:t>(0.081)</w:t>
            </w:r>
          </w:p>
        </w:tc>
        <w:tc>
          <w:tcPr>
            <w:tcW w:type="dxa" w:w="2302"/>
          </w:tcPr>
          <w:p>
            <w:pPr>
              <w:pStyle w:val="MDPI42tablebody"/>
              <w:keepNext/>
              <w:spacing w:line="240" w:lineRule="auto" w:before="30" w:after="30"/>
              <w:jc w:val="center"/>
            </w:pPr>
            <w:r>
              <w:rPr>
                <w:b w:val="0"/>
                <w:i w:val="0"/>
                <w:sz w:val="18"/>
              </w:rPr>
              <w:t>(0.105)</w:t>
            </w:r>
          </w:p>
        </w:tc>
      </w:tr>
      <w:tr>
        <w:trPr>
          <w:cantSplit/>
        </w:trPr>
        <w:tc>
          <w:tcPr>
            <w:tcW w:type="dxa" w:w="3558"/>
          </w:tcPr>
          <w:p>
            <w:pPr>
              <w:pStyle w:val="MDPI42tablebody"/>
              <w:keepNext/>
              <w:spacing w:line="240" w:lineRule="auto" w:before="30" w:after="30"/>
              <w:jc w:val="left"/>
            </w:pPr>
            <w:r>
              <w:rPr>
                <w:b w:val="0"/>
                <w:i/>
                <w:sz w:val="18"/>
              </w:rPr>
              <w:t>Lev</w:t>
            </w:r>
          </w:p>
        </w:tc>
        <w:tc>
          <w:tcPr>
            <w:tcW w:type="dxa" w:w="2302"/>
          </w:tcPr>
          <w:p>
            <w:pPr>
              <w:pStyle w:val="MDPI42tablebody"/>
              <w:keepNext/>
              <w:spacing w:line="240" w:lineRule="auto" w:before="30" w:after="30"/>
              <w:jc w:val="center"/>
            </w:pPr>
            <w:r>
              <w:rPr>
                <w:b w:val="0"/>
                <w:i w:val="0"/>
                <w:sz w:val="18"/>
              </w:rPr>
              <w:t>0.147</w:t>
            </w:r>
          </w:p>
        </w:tc>
        <w:tc>
          <w:tcPr>
            <w:tcW w:type="dxa" w:w="2302"/>
          </w:tcPr>
          <w:p>
            <w:pPr>
              <w:pStyle w:val="MDPI42tablebody"/>
              <w:keepNext/>
              <w:spacing w:line="240" w:lineRule="auto" w:before="30" w:after="30"/>
              <w:jc w:val="center"/>
            </w:pPr>
            <w:r>
              <w:rPr>
                <w:b w:val="0"/>
                <w:i w:val="0"/>
                <w:sz w:val="18"/>
              </w:rPr>
              <w:t>0.068</w:t>
            </w:r>
          </w:p>
        </w:tc>
        <w:tc>
          <w:tcPr>
            <w:tcW w:type="dxa" w:w="2302"/>
          </w:tcPr>
          <w:p>
            <w:pPr>
              <w:pStyle w:val="MDPI42tablebody"/>
              <w:keepNext/>
              <w:spacing w:line="240" w:lineRule="auto" w:before="30" w:after="30"/>
              <w:jc w:val="center"/>
            </w:pPr>
            <w:r>
              <w:rPr>
                <w:b w:val="0"/>
                <w:i w:val="0"/>
                <w:sz w:val="18"/>
              </w:rPr>
              <w:t>−3.286***</w:t>
            </w:r>
          </w:p>
        </w:tc>
      </w:tr>
      <w:tr>
        <w:trPr>
          <w:cantSplit/>
        </w:trPr>
        <w:tc>
          <w:tcPr>
            <w:tcW w:type="dxa" w:w="3558"/>
          </w:tcPr>
          <w:p>
            <w:pPr>
              <w:pStyle w:val="MDPI42tablebody"/>
              <w:keepNext/>
              <w:spacing w:line="240" w:lineRule="auto" w:before="30" w:after="30"/>
              <w:jc w:val="left"/>
            </w:pPr>
          </w:p>
        </w:tc>
        <w:tc>
          <w:tcPr>
            <w:tcW w:type="dxa" w:w="2302"/>
          </w:tcPr>
          <w:p>
            <w:pPr>
              <w:pStyle w:val="MDPI42tablebody"/>
              <w:keepNext/>
              <w:spacing w:line="240" w:lineRule="auto" w:before="30" w:after="30"/>
              <w:jc w:val="center"/>
            </w:pPr>
            <w:r>
              <w:rPr>
                <w:b w:val="0"/>
                <w:i w:val="0"/>
                <w:sz w:val="18"/>
              </w:rPr>
              <w:t>(0.219)</w:t>
            </w:r>
          </w:p>
        </w:tc>
        <w:tc>
          <w:tcPr>
            <w:tcW w:type="dxa" w:w="2302"/>
          </w:tcPr>
          <w:p>
            <w:pPr>
              <w:pStyle w:val="MDPI42tablebody"/>
              <w:keepNext/>
              <w:spacing w:line="240" w:lineRule="auto" w:before="30" w:after="30"/>
              <w:jc w:val="center"/>
            </w:pPr>
            <w:r>
              <w:rPr>
                <w:b w:val="0"/>
                <w:i w:val="0"/>
                <w:sz w:val="18"/>
              </w:rPr>
              <w:t>(0.158)</w:t>
            </w:r>
          </w:p>
        </w:tc>
        <w:tc>
          <w:tcPr>
            <w:tcW w:type="dxa" w:w="2302"/>
          </w:tcPr>
          <w:p>
            <w:pPr>
              <w:pStyle w:val="MDPI42tablebody"/>
              <w:keepNext/>
              <w:spacing w:line="240" w:lineRule="auto" w:before="30" w:after="30"/>
              <w:jc w:val="center"/>
            </w:pPr>
            <w:r>
              <w:rPr>
                <w:b w:val="0"/>
                <w:i w:val="0"/>
                <w:sz w:val="18"/>
              </w:rPr>
              <w:t>(0.207)</w:t>
            </w:r>
          </w:p>
        </w:tc>
      </w:tr>
      <w:tr>
        <w:trPr>
          <w:cantSplit/>
        </w:trPr>
        <w:tc>
          <w:tcPr>
            <w:tcW w:type="dxa" w:w="3558"/>
          </w:tcPr>
          <w:p>
            <w:pPr>
              <w:pStyle w:val="MDPI42tablebody"/>
              <w:keepNext/>
              <w:spacing w:line="240" w:lineRule="auto" w:before="30" w:after="30"/>
              <w:jc w:val="left"/>
            </w:pPr>
            <w:r>
              <w:rPr>
                <w:b w:val="0"/>
                <w:i/>
                <w:sz w:val="18"/>
              </w:rPr>
              <w:t>ROE</w:t>
            </w:r>
          </w:p>
        </w:tc>
        <w:tc>
          <w:tcPr>
            <w:tcW w:type="dxa" w:w="2302"/>
          </w:tcPr>
          <w:p>
            <w:pPr>
              <w:pStyle w:val="MDPI42tablebody"/>
              <w:keepNext/>
              <w:spacing w:line="240" w:lineRule="auto" w:before="30" w:after="30"/>
              <w:jc w:val="center"/>
            </w:pPr>
            <w:r>
              <w:rPr>
                <w:b w:val="0"/>
                <w:i w:val="0"/>
                <w:sz w:val="18"/>
              </w:rPr>
              <w:t>−0.063</w:t>
            </w:r>
          </w:p>
        </w:tc>
        <w:tc>
          <w:tcPr>
            <w:tcW w:type="dxa" w:w="2302"/>
          </w:tcPr>
          <w:p>
            <w:pPr>
              <w:pStyle w:val="MDPI42tablebody"/>
              <w:keepNext/>
              <w:spacing w:line="240" w:lineRule="auto" w:before="30" w:after="30"/>
              <w:jc w:val="center"/>
            </w:pPr>
            <w:r>
              <w:rPr>
                <w:b w:val="0"/>
                <w:i w:val="0"/>
                <w:sz w:val="18"/>
              </w:rPr>
              <w:t>0.132</w:t>
            </w:r>
          </w:p>
        </w:tc>
        <w:tc>
          <w:tcPr>
            <w:tcW w:type="dxa" w:w="2302"/>
          </w:tcPr>
          <w:p>
            <w:pPr>
              <w:pStyle w:val="MDPI42tablebody"/>
              <w:keepNext/>
              <w:spacing w:line="240" w:lineRule="auto" w:before="30" w:after="30"/>
              <w:jc w:val="center"/>
            </w:pPr>
            <w:r>
              <w:rPr>
                <w:b w:val="0"/>
                <w:i w:val="0"/>
                <w:sz w:val="18"/>
              </w:rPr>
              <w:t>1.172***</w:t>
            </w:r>
          </w:p>
        </w:tc>
      </w:tr>
      <w:tr>
        <w:trPr>
          <w:cantSplit/>
        </w:trPr>
        <w:tc>
          <w:tcPr>
            <w:tcW w:type="dxa" w:w="3558"/>
          </w:tcPr>
          <w:p>
            <w:pPr>
              <w:pStyle w:val="MDPI42tablebody"/>
              <w:keepNext/>
              <w:spacing w:line="240" w:lineRule="auto" w:before="30" w:after="30"/>
              <w:jc w:val="left"/>
            </w:pPr>
          </w:p>
        </w:tc>
        <w:tc>
          <w:tcPr>
            <w:tcW w:type="dxa" w:w="2302"/>
          </w:tcPr>
          <w:p>
            <w:pPr>
              <w:pStyle w:val="MDPI42tablebody"/>
              <w:keepNext/>
              <w:spacing w:line="240" w:lineRule="auto" w:before="30" w:after="30"/>
              <w:jc w:val="center"/>
            </w:pPr>
            <w:r>
              <w:rPr>
                <w:b w:val="0"/>
                <w:i w:val="0"/>
                <w:sz w:val="18"/>
              </w:rPr>
              <w:t>(0.275)</w:t>
            </w:r>
          </w:p>
        </w:tc>
        <w:tc>
          <w:tcPr>
            <w:tcW w:type="dxa" w:w="2302"/>
          </w:tcPr>
          <w:p>
            <w:pPr>
              <w:pStyle w:val="MDPI42tablebody"/>
              <w:keepNext/>
              <w:spacing w:line="240" w:lineRule="auto" w:before="30" w:after="30"/>
              <w:jc w:val="center"/>
            </w:pPr>
            <w:r>
              <w:rPr>
                <w:b w:val="0"/>
                <w:i w:val="0"/>
                <w:sz w:val="18"/>
              </w:rPr>
              <w:t>(0.200)</w:t>
            </w:r>
          </w:p>
        </w:tc>
        <w:tc>
          <w:tcPr>
            <w:tcW w:type="dxa" w:w="2302"/>
          </w:tcPr>
          <w:p>
            <w:pPr>
              <w:pStyle w:val="MDPI42tablebody"/>
              <w:keepNext/>
              <w:spacing w:line="240" w:lineRule="auto" w:before="30" w:after="30"/>
              <w:jc w:val="center"/>
            </w:pPr>
            <w:r>
              <w:rPr>
                <w:b w:val="0"/>
                <w:i w:val="0"/>
                <w:sz w:val="18"/>
              </w:rPr>
              <w:t>(0.267)</w:t>
            </w:r>
          </w:p>
        </w:tc>
      </w:tr>
      <w:tr>
        <w:trPr>
          <w:cantSplit/>
        </w:trPr>
        <w:tc>
          <w:tcPr>
            <w:tcW w:type="dxa" w:w="3558"/>
          </w:tcPr>
          <w:p>
            <w:pPr>
              <w:pStyle w:val="MDPI42tablebody"/>
              <w:keepNext/>
              <w:spacing w:line="240" w:lineRule="auto" w:before="30" w:after="30"/>
              <w:jc w:val="left"/>
            </w:pPr>
            <w:r>
              <w:rPr>
                <w:b w:val="0"/>
                <w:i/>
                <w:sz w:val="18"/>
              </w:rPr>
              <w:t>Growth</w:t>
            </w:r>
          </w:p>
        </w:tc>
        <w:tc>
          <w:tcPr>
            <w:tcW w:type="dxa" w:w="2302"/>
          </w:tcPr>
          <w:p>
            <w:pPr>
              <w:pStyle w:val="MDPI42tablebody"/>
              <w:keepNext/>
              <w:spacing w:line="240" w:lineRule="auto" w:before="30" w:after="30"/>
              <w:jc w:val="center"/>
            </w:pPr>
            <w:r>
              <w:rPr>
                <w:b w:val="0"/>
                <w:i w:val="0"/>
                <w:sz w:val="18"/>
              </w:rPr>
              <w:t>0.026</w:t>
            </w:r>
          </w:p>
        </w:tc>
        <w:tc>
          <w:tcPr>
            <w:tcW w:type="dxa" w:w="2302"/>
          </w:tcPr>
          <w:p>
            <w:pPr>
              <w:pStyle w:val="MDPI42tablebody"/>
              <w:keepNext/>
              <w:spacing w:line="240" w:lineRule="auto" w:before="30" w:after="30"/>
              <w:jc w:val="center"/>
            </w:pPr>
            <w:r>
              <w:rPr>
                <w:b w:val="0"/>
                <w:i w:val="0"/>
                <w:sz w:val="18"/>
              </w:rPr>
              <w:t>−0.031</w:t>
            </w:r>
          </w:p>
        </w:tc>
        <w:tc>
          <w:tcPr>
            <w:tcW w:type="dxa" w:w="2302"/>
          </w:tcPr>
          <w:p>
            <w:pPr>
              <w:pStyle w:val="MDPI42tablebody"/>
              <w:keepNext/>
              <w:spacing w:line="240" w:lineRule="auto" w:before="30" w:after="30"/>
              <w:jc w:val="center"/>
            </w:pPr>
            <w:r>
              <w:rPr>
                <w:b w:val="0"/>
                <w:i w:val="0"/>
                <w:sz w:val="18"/>
              </w:rPr>
              <w:t>0.191**</w:t>
            </w:r>
          </w:p>
        </w:tc>
      </w:tr>
      <w:tr>
        <w:trPr>
          <w:cantSplit/>
        </w:trPr>
        <w:tc>
          <w:tcPr>
            <w:tcW w:type="dxa" w:w="3558"/>
          </w:tcPr>
          <w:p>
            <w:pPr>
              <w:pStyle w:val="MDPI42tablebody"/>
              <w:keepNext/>
              <w:spacing w:line="240" w:lineRule="auto" w:before="30" w:after="30"/>
              <w:jc w:val="left"/>
            </w:pPr>
          </w:p>
        </w:tc>
        <w:tc>
          <w:tcPr>
            <w:tcW w:type="dxa" w:w="2302"/>
          </w:tcPr>
          <w:p>
            <w:pPr>
              <w:pStyle w:val="MDPI42tablebody"/>
              <w:keepNext/>
              <w:spacing w:line="240" w:lineRule="auto" w:before="30" w:after="30"/>
              <w:jc w:val="center"/>
            </w:pPr>
            <w:r>
              <w:rPr>
                <w:b w:val="0"/>
                <w:i w:val="0"/>
                <w:sz w:val="18"/>
              </w:rPr>
              <w:t>(0.100)</w:t>
            </w:r>
          </w:p>
        </w:tc>
        <w:tc>
          <w:tcPr>
            <w:tcW w:type="dxa" w:w="2302"/>
          </w:tcPr>
          <w:p>
            <w:pPr>
              <w:pStyle w:val="MDPI42tablebody"/>
              <w:keepNext/>
              <w:spacing w:line="240" w:lineRule="auto" w:before="30" w:after="30"/>
              <w:jc w:val="center"/>
            </w:pPr>
            <w:r>
              <w:rPr>
                <w:b w:val="0"/>
                <w:i w:val="0"/>
                <w:sz w:val="18"/>
              </w:rPr>
              <w:t>(0.075)</w:t>
            </w:r>
          </w:p>
        </w:tc>
        <w:tc>
          <w:tcPr>
            <w:tcW w:type="dxa" w:w="2302"/>
          </w:tcPr>
          <w:p>
            <w:pPr>
              <w:pStyle w:val="MDPI42tablebody"/>
              <w:keepNext/>
              <w:spacing w:line="240" w:lineRule="auto" w:before="30" w:after="30"/>
              <w:jc w:val="center"/>
            </w:pPr>
            <w:r>
              <w:rPr>
                <w:b w:val="0"/>
                <w:i w:val="0"/>
                <w:sz w:val="18"/>
              </w:rPr>
              <w:t>(0.092)</w:t>
            </w:r>
          </w:p>
        </w:tc>
      </w:tr>
      <w:tr>
        <w:trPr>
          <w:cantSplit/>
        </w:trPr>
        <w:tc>
          <w:tcPr>
            <w:tcW w:type="dxa" w:w="3558"/>
          </w:tcPr>
          <w:p>
            <w:pPr>
              <w:pStyle w:val="MDPI42tablebody"/>
              <w:keepNext/>
              <w:spacing w:line="240" w:lineRule="auto" w:before="30" w:after="30"/>
              <w:jc w:val="left"/>
            </w:pPr>
            <w:r>
              <w:rPr>
                <w:b w:val="0"/>
                <w:i/>
                <w:sz w:val="18"/>
              </w:rPr>
              <w:t>Age</w:t>
            </w:r>
          </w:p>
        </w:tc>
        <w:tc>
          <w:tcPr>
            <w:tcW w:type="dxa" w:w="2302"/>
          </w:tcPr>
          <w:p>
            <w:pPr>
              <w:pStyle w:val="MDPI42tablebody"/>
              <w:keepNext/>
              <w:spacing w:line="240" w:lineRule="auto" w:before="30" w:after="30"/>
              <w:jc w:val="center"/>
            </w:pPr>
            <w:r>
              <w:rPr>
                <w:b w:val="0"/>
                <w:i w:val="0"/>
                <w:sz w:val="18"/>
              </w:rPr>
              <w:t>−0.218</w:t>
            </w:r>
          </w:p>
        </w:tc>
        <w:tc>
          <w:tcPr>
            <w:tcW w:type="dxa" w:w="2302"/>
          </w:tcPr>
          <w:p>
            <w:pPr>
              <w:pStyle w:val="MDPI42tablebody"/>
              <w:keepNext/>
              <w:spacing w:line="240" w:lineRule="auto" w:before="30" w:after="30"/>
              <w:jc w:val="center"/>
            </w:pPr>
            <w:r>
              <w:rPr>
                <w:b w:val="0"/>
                <w:i w:val="0"/>
                <w:sz w:val="18"/>
              </w:rPr>
              <w:t>0.354</w:t>
            </w:r>
          </w:p>
        </w:tc>
        <w:tc>
          <w:tcPr>
            <w:tcW w:type="dxa" w:w="2302"/>
          </w:tcPr>
          <w:p>
            <w:pPr>
              <w:pStyle w:val="MDPI42tablebody"/>
              <w:keepNext/>
              <w:spacing w:line="240" w:lineRule="auto" w:before="30" w:after="30"/>
              <w:jc w:val="center"/>
            </w:pPr>
            <w:r>
              <w:rPr>
                <w:b w:val="0"/>
                <w:i w:val="0"/>
                <w:sz w:val="18"/>
              </w:rPr>
              <w:t>−1.915***</w:t>
            </w:r>
          </w:p>
        </w:tc>
      </w:tr>
      <w:tr>
        <w:trPr>
          <w:cantSplit/>
        </w:trPr>
        <w:tc>
          <w:tcPr>
            <w:tcW w:type="dxa" w:w="3558"/>
          </w:tcPr>
          <w:p>
            <w:pPr>
              <w:pStyle w:val="MDPI42tablebody"/>
              <w:keepNext/>
              <w:spacing w:line="240" w:lineRule="auto" w:before="30" w:after="30"/>
              <w:jc w:val="left"/>
            </w:pPr>
          </w:p>
        </w:tc>
        <w:tc>
          <w:tcPr>
            <w:tcW w:type="dxa" w:w="2302"/>
          </w:tcPr>
          <w:p>
            <w:pPr>
              <w:pStyle w:val="MDPI42tablebody"/>
              <w:keepNext/>
              <w:spacing w:line="240" w:lineRule="auto" w:before="30" w:after="30"/>
              <w:jc w:val="center"/>
            </w:pPr>
            <w:r>
              <w:rPr>
                <w:b w:val="0"/>
                <w:i w:val="0"/>
                <w:sz w:val="18"/>
              </w:rPr>
              <w:t>(0.676)</w:t>
            </w:r>
          </w:p>
        </w:tc>
        <w:tc>
          <w:tcPr>
            <w:tcW w:type="dxa" w:w="2302"/>
          </w:tcPr>
          <w:p>
            <w:pPr>
              <w:pStyle w:val="MDPI42tablebody"/>
              <w:keepNext/>
              <w:spacing w:line="240" w:lineRule="auto" w:before="30" w:after="30"/>
              <w:jc w:val="center"/>
            </w:pPr>
            <w:r>
              <w:rPr>
                <w:b w:val="0"/>
                <w:i w:val="0"/>
                <w:sz w:val="18"/>
              </w:rPr>
              <w:t>(0.504)</w:t>
            </w:r>
          </w:p>
        </w:tc>
        <w:tc>
          <w:tcPr>
            <w:tcW w:type="dxa" w:w="2302"/>
          </w:tcPr>
          <w:p>
            <w:pPr>
              <w:pStyle w:val="MDPI42tablebody"/>
              <w:keepNext/>
              <w:spacing w:line="240" w:lineRule="auto" w:before="30" w:after="30"/>
              <w:jc w:val="center"/>
            </w:pPr>
            <w:r>
              <w:rPr>
                <w:b w:val="0"/>
                <w:i w:val="0"/>
                <w:sz w:val="18"/>
              </w:rPr>
              <w:t>(0.658)</w:t>
            </w:r>
          </w:p>
        </w:tc>
      </w:tr>
      <w:tr>
        <w:trPr>
          <w:cantSplit/>
        </w:trPr>
        <w:tc>
          <w:tcPr>
            <w:tcW w:type="dxa" w:w="3558"/>
          </w:tcPr>
          <w:p>
            <w:pPr>
              <w:pStyle w:val="MDPI42tablebody"/>
              <w:keepNext/>
              <w:spacing w:line="240" w:lineRule="auto" w:before="30" w:after="30"/>
              <w:jc w:val="left"/>
            </w:pPr>
            <w:r>
              <w:rPr>
                <w:b w:val="0"/>
                <w:i/>
                <w:sz w:val="18"/>
              </w:rPr>
              <w:t>Board</w:t>
            </w:r>
          </w:p>
        </w:tc>
        <w:tc>
          <w:tcPr>
            <w:tcW w:type="dxa" w:w="2302"/>
          </w:tcPr>
          <w:p>
            <w:pPr>
              <w:pStyle w:val="MDPI42tablebody"/>
              <w:keepNext/>
              <w:spacing w:line="240" w:lineRule="auto" w:before="30" w:after="30"/>
              <w:jc w:val="center"/>
            </w:pPr>
            <w:r>
              <w:rPr>
                <w:b w:val="0"/>
                <w:i w:val="0"/>
                <w:sz w:val="18"/>
              </w:rPr>
              <w:t>0.095</w:t>
            </w:r>
          </w:p>
        </w:tc>
        <w:tc>
          <w:tcPr>
            <w:tcW w:type="dxa" w:w="2302"/>
          </w:tcPr>
          <w:p>
            <w:pPr>
              <w:pStyle w:val="MDPI42tablebody"/>
              <w:keepNext/>
              <w:spacing w:line="240" w:lineRule="auto" w:before="30" w:after="30"/>
              <w:jc w:val="center"/>
            </w:pPr>
            <w:r>
              <w:rPr>
                <w:b w:val="0"/>
                <w:i w:val="0"/>
                <w:sz w:val="18"/>
              </w:rPr>
              <w:t>−0.056</w:t>
            </w:r>
          </w:p>
        </w:tc>
        <w:tc>
          <w:tcPr>
            <w:tcW w:type="dxa" w:w="2302"/>
          </w:tcPr>
          <w:p>
            <w:pPr>
              <w:pStyle w:val="MDPI42tablebody"/>
              <w:keepNext/>
              <w:spacing w:line="240" w:lineRule="auto" w:before="30" w:after="30"/>
              <w:jc w:val="center"/>
            </w:pPr>
            <w:r>
              <w:rPr>
                <w:b w:val="0"/>
                <w:i w:val="0"/>
                <w:sz w:val="18"/>
              </w:rPr>
              <w:t>−0.081</w:t>
            </w:r>
          </w:p>
        </w:tc>
      </w:tr>
      <w:tr>
        <w:trPr>
          <w:cantSplit/>
        </w:trPr>
        <w:tc>
          <w:tcPr>
            <w:tcW w:type="dxa" w:w="3558"/>
          </w:tcPr>
          <w:p>
            <w:pPr>
              <w:pStyle w:val="MDPI42tablebody"/>
              <w:keepNext/>
              <w:spacing w:line="240" w:lineRule="auto" w:before="30" w:after="30"/>
              <w:jc w:val="left"/>
            </w:pPr>
          </w:p>
        </w:tc>
        <w:tc>
          <w:tcPr>
            <w:tcW w:type="dxa" w:w="2302"/>
          </w:tcPr>
          <w:p>
            <w:pPr>
              <w:pStyle w:val="MDPI42tablebody"/>
              <w:keepNext/>
              <w:spacing w:line="240" w:lineRule="auto" w:before="30" w:after="30"/>
              <w:jc w:val="center"/>
            </w:pPr>
            <w:r>
              <w:rPr>
                <w:b w:val="0"/>
                <w:i w:val="0"/>
                <w:sz w:val="18"/>
              </w:rPr>
              <w:t>(0.186)</w:t>
            </w:r>
          </w:p>
        </w:tc>
        <w:tc>
          <w:tcPr>
            <w:tcW w:type="dxa" w:w="2302"/>
          </w:tcPr>
          <w:p>
            <w:pPr>
              <w:pStyle w:val="MDPI42tablebody"/>
              <w:keepNext/>
              <w:spacing w:line="240" w:lineRule="auto" w:before="30" w:after="30"/>
              <w:jc w:val="center"/>
            </w:pPr>
            <w:r>
              <w:rPr>
                <w:b w:val="0"/>
                <w:i w:val="0"/>
                <w:sz w:val="18"/>
              </w:rPr>
              <w:t>(0.134)</w:t>
            </w:r>
          </w:p>
        </w:tc>
        <w:tc>
          <w:tcPr>
            <w:tcW w:type="dxa" w:w="2302"/>
          </w:tcPr>
          <w:p>
            <w:pPr>
              <w:pStyle w:val="MDPI42tablebody"/>
              <w:keepNext/>
              <w:spacing w:line="240" w:lineRule="auto" w:before="30" w:after="30"/>
              <w:jc w:val="center"/>
            </w:pPr>
            <w:r>
              <w:rPr>
                <w:b w:val="0"/>
                <w:i w:val="0"/>
                <w:sz w:val="18"/>
              </w:rPr>
              <w:t>(0.173)</w:t>
            </w:r>
          </w:p>
        </w:tc>
      </w:tr>
      <w:tr>
        <w:trPr>
          <w:cantSplit/>
        </w:trPr>
        <w:tc>
          <w:tcPr>
            <w:tcW w:type="dxa" w:w="3558"/>
          </w:tcPr>
          <w:p>
            <w:pPr>
              <w:pStyle w:val="MDPI42tablebody"/>
              <w:keepNext/>
              <w:spacing w:line="240" w:lineRule="auto" w:before="30" w:after="30"/>
              <w:jc w:val="left"/>
            </w:pPr>
            <w:r>
              <w:rPr>
                <w:b w:val="0"/>
                <w:i/>
                <w:sz w:val="18"/>
              </w:rPr>
              <w:t>Indep</w:t>
            </w:r>
          </w:p>
        </w:tc>
        <w:tc>
          <w:tcPr>
            <w:tcW w:type="dxa" w:w="2302"/>
          </w:tcPr>
          <w:p>
            <w:pPr>
              <w:pStyle w:val="MDPI42tablebody"/>
              <w:keepNext/>
              <w:spacing w:line="240" w:lineRule="auto" w:before="30" w:after="30"/>
              <w:jc w:val="center"/>
            </w:pPr>
            <w:r>
              <w:rPr>
                <w:b w:val="0"/>
                <w:i w:val="0"/>
                <w:sz w:val="18"/>
              </w:rPr>
              <w:t>−0.486</w:t>
            </w:r>
          </w:p>
        </w:tc>
        <w:tc>
          <w:tcPr>
            <w:tcW w:type="dxa" w:w="2302"/>
          </w:tcPr>
          <w:p>
            <w:pPr>
              <w:pStyle w:val="MDPI42tablebody"/>
              <w:keepNext/>
              <w:spacing w:line="240" w:lineRule="auto" w:before="30" w:after="30"/>
              <w:jc w:val="center"/>
            </w:pPr>
            <w:r>
              <w:rPr>
                <w:b w:val="0"/>
                <w:i w:val="0"/>
                <w:sz w:val="18"/>
              </w:rPr>
              <w:t>0.659</w:t>
            </w:r>
          </w:p>
        </w:tc>
        <w:tc>
          <w:tcPr>
            <w:tcW w:type="dxa" w:w="2302"/>
          </w:tcPr>
          <w:p>
            <w:pPr>
              <w:pStyle w:val="MDPI42tablebody"/>
              <w:keepNext/>
              <w:spacing w:line="240" w:lineRule="auto" w:before="30" w:after="30"/>
              <w:jc w:val="center"/>
            </w:pPr>
            <w:r>
              <w:rPr>
                <w:b w:val="0"/>
                <w:i w:val="0"/>
                <w:sz w:val="18"/>
              </w:rPr>
              <w:t>0.076</w:t>
            </w:r>
          </w:p>
        </w:tc>
      </w:tr>
      <w:tr>
        <w:trPr>
          <w:cantSplit/>
        </w:trPr>
        <w:tc>
          <w:tcPr>
            <w:tcW w:type="dxa" w:w="3558"/>
          </w:tcPr>
          <w:p>
            <w:pPr>
              <w:pStyle w:val="MDPI42tablebody"/>
              <w:keepNext/>
              <w:spacing w:line="240" w:lineRule="auto" w:before="30" w:after="30"/>
              <w:jc w:val="left"/>
            </w:pPr>
          </w:p>
        </w:tc>
        <w:tc>
          <w:tcPr>
            <w:tcW w:type="dxa" w:w="2302"/>
          </w:tcPr>
          <w:p>
            <w:pPr>
              <w:pStyle w:val="MDPI42tablebody"/>
              <w:keepNext/>
              <w:spacing w:line="240" w:lineRule="auto" w:before="30" w:after="30"/>
              <w:jc w:val="center"/>
            </w:pPr>
            <w:r>
              <w:rPr>
                <w:b w:val="0"/>
                <w:i w:val="0"/>
                <w:sz w:val="18"/>
              </w:rPr>
              <w:t>(0.708)</w:t>
            </w:r>
          </w:p>
        </w:tc>
        <w:tc>
          <w:tcPr>
            <w:tcW w:type="dxa" w:w="2302"/>
          </w:tcPr>
          <w:p>
            <w:pPr>
              <w:pStyle w:val="MDPI42tablebody"/>
              <w:keepNext/>
              <w:spacing w:line="240" w:lineRule="auto" w:before="30" w:after="30"/>
              <w:jc w:val="center"/>
            </w:pPr>
            <w:r>
              <w:rPr>
                <w:b w:val="0"/>
                <w:i w:val="0"/>
                <w:sz w:val="18"/>
              </w:rPr>
              <w:t>(0.527)</w:t>
            </w:r>
          </w:p>
        </w:tc>
        <w:tc>
          <w:tcPr>
            <w:tcW w:type="dxa" w:w="2302"/>
          </w:tcPr>
          <w:p>
            <w:pPr>
              <w:pStyle w:val="MDPI42tablebody"/>
              <w:keepNext/>
              <w:spacing w:line="240" w:lineRule="auto" w:before="30" w:after="30"/>
              <w:jc w:val="center"/>
            </w:pPr>
            <w:r>
              <w:rPr>
                <w:b w:val="0"/>
                <w:i w:val="0"/>
                <w:sz w:val="18"/>
              </w:rPr>
              <w:t>(0.667)</w:t>
            </w:r>
          </w:p>
        </w:tc>
      </w:tr>
      <w:tr>
        <w:trPr>
          <w:cantSplit/>
        </w:trPr>
        <w:tc>
          <w:tcPr>
            <w:tcW w:type="dxa" w:w="3558"/>
          </w:tcPr>
          <w:p>
            <w:pPr>
              <w:pStyle w:val="MDPI42tablebody"/>
              <w:keepNext/>
              <w:spacing w:line="240" w:lineRule="auto" w:before="30" w:after="30"/>
              <w:jc w:val="left"/>
            </w:pPr>
            <w:r>
              <w:rPr>
                <w:b w:val="0"/>
                <w:i/>
                <w:sz w:val="18"/>
              </w:rPr>
              <w:t>Dual</w:t>
            </w:r>
          </w:p>
        </w:tc>
        <w:tc>
          <w:tcPr>
            <w:tcW w:type="dxa" w:w="2302"/>
          </w:tcPr>
          <w:p>
            <w:pPr>
              <w:pStyle w:val="MDPI42tablebody"/>
              <w:keepNext/>
              <w:spacing w:line="240" w:lineRule="auto" w:before="30" w:after="30"/>
              <w:jc w:val="center"/>
            </w:pPr>
            <w:r>
              <w:rPr>
                <w:b w:val="0"/>
                <w:i w:val="0"/>
                <w:sz w:val="18"/>
              </w:rPr>
              <w:t>−0.008</w:t>
            </w:r>
          </w:p>
        </w:tc>
        <w:tc>
          <w:tcPr>
            <w:tcW w:type="dxa" w:w="2302"/>
          </w:tcPr>
          <w:p>
            <w:pPr>
              <w:pStyle w:val="MDPI42tablebody"/>
              <w:keepNext/>
              <w:spacing w:line="240" w:lineRule="auto" w:before="30" w:after="30"/>
              <w:jc w:val="center"/>
            </w:pPr>
            <w:r>
              <w:rPr>
                <w:b w:val="0"/>
                <w:i w:val="0"/>
                <w:sz w:val="18"/>
              </w:rPr>
              <w:t>−0.031</w:t>
            </w:r>
          </w:p>
        </w:tc>
        <w:tc>
          <w:tcPr>
            <w:tcW w:type="dxa" w:w="2302"/>
          </w:tcPr>
          <w:p>
            <w:pPr>
              <w:pStyle w:val="MDPI42tablebody"/>
              <w:keepNext/>
              <w:spacing w:line="240" w:lineRule="auto" w:before="30" w:after="30"/>
              <w:jc w:val="center"/>
            </w:pPr>
            <w:r>
              <w:rPr>
                <w:b w:val="0"/>
                <w:i w:val="0"/>
                <w:sz w:val="18"/>
              </w:rPr>
              <w:t>0.031</w:t>
            </w:r>
          </w:p>
        </w:tc>
      </w:tr>
      <w:tr>
        <w:trPr>
          <w:cantSplit/>
        </w:trPr>
        <w:tc>
          <w:tcPr>
            <w:tcW w:type="dxa" w:w="3558"/>
          </w:tcPr>
          <w:p>
            <w:pPr>
              <w:pStyle w:val="MDPI42tablebody"/>
              <w:keepNext/>
              <w:spacing w:line="240" w:lineRule="auto" w:before="30" w:after="30"/>
              <w:jc w:val="left"/>
            </w:pPr>
          </w:p>
        </w:tc>
        <w:tc>
          <w:tcPr>
            <w:tcW w:type="dxa" w:w="2302"/>
          </w:tcPr>
          <w:p>
            <w:pPr>
              <w:pStyle w:val="MDPI42tablebody"/>
              <w:keepNext/>
              <w:spacing w:line="240" w:lineRule="auto" w:before="30" w:after="30"/>
              <w:jc w:val="center"/>
            </w:pPr>
            <w:r>
              <w:rPr>
                <w:b w:val="0"/>
                <w:i w:val="0"/>
                <w:sz w:val="18"/>
              </w:rPr>
              <w:t>(0.075)</w:t>
            </w:r>
          </w:p>
        </w:tc>
        <w:tc>
          <w:tcPr>
            <w:tcW w:type="dxa" w:w="2302"/>
          </w:tcPr>
          <w:p>
            <w:pPr>
              <w:pStyle w:val="MDPI42tablebody"/>
              <w:keepNext/>
              <w:spacing w:line="240" w:lineRule="auto" w:before="30" w:after="30"/>
              <w:jc w:val="center"/>
            </w:pPr>
            <w:r>
              <w:rPr>
                <w:b w:val="0"/>
                <w:i w:val="0"/>
                <w:sz w:val="18"/>
              </w:rPr>
              <w:t>(0.056)</w:t>
            </w:r>
          </w:p>
        </w:tc>
        <w:tc>
          <w:tcPr>
            <w:tcW w:type="dxa" w:w="2302"/>
          </w:tcPr>
          <w:p>
            <w:pPr>
              <w:pStyle w:val="MDPI42tablebody"/>
              <w:keepNext/>
              <w:spacing w:line="240" w:lineRule="auto" w:before="30" w:after="30"/>
              <w:jc w:val="center"/>
            </w:pPr>
            <w:r>
              <w:rPr>
                <w:b w:val="0"/>
                <w:i w:val="0"/>
                <w:sz w:val="18"/>
              </w:rPr>
              <w:t>(0.071)</w:t>
            </w:r>
          </w:p>
        </w:tc>
      </w:tr>
      <w:tr>
        <w:trPr>
          <w:cantSplit/>
        </w:trPr>
        <w:tc>
          <w:tcPr>
            <w:tcW w:type="dxa" w:w="3558"/>
          </w:tcPr>
          <w:p>
            <w:pPr>
              <w:pStyle w:val="MDPI42tablebody"/>
              <w:keepNext/>
              <w:spacing w:line="240" w:lineRule="auto" w:before="30" w:after="30"/>
              <w:jc w:val="left"/>
            </w:pPr>
            <w:r>
              <w:rPr>
                <w:b w:val="0"/>
                <w:i/>
                <w:sz w:val="18"/>
              </w:rPr>
              <w:t>TobinQ</w:t>
            </w:r>
          </w:p>
        </w:tc>
        <w:tc>
          <w:tcPr>
            <w:tcW w:type="dxa" w:w="2302"/>
          </w:tcPr>
          <w:p>
            <w:pPr>
              <w:pStyle w:val="MDPI42tablebody"/>
              <w:keepNext/>
              <w:spacing w:line="240" w:lineRule="auto" w:before="30" w:after="30"/>
              <w:jc w:val="center"/>
            </w:pPr>
            <w:r>
              <w:rPr>
                <w:b w:val="0"/>
                <w:i w:val="0"/>
                <w:sz w:val="18"/>
              </w:rPr>
              <w:t>−0.006</w:t>
            </w:r>
          </w:p>
        </w:tc>
        <w:tc>
          <w:tcPr>
            <w:tcW w:type="dxa" w:w="2302"/>
          </w:tcPr>
          <w:p>
            <w:pPr>
              <w:pStyle w:val="MDPI42tablebody"/>
              <w:keepNext/>
              <w:spacing w:line="240" w:lineRule="auto" w:before="30" w:after="30"/>
              <w:jc w:val="center"/>
            </w:pPr>
            <w:r>
              <w:rPr>
                <w:b w:val="0"/>
                <w:i w:val="0"/>
                <w:sz w:val="18"/>
              </w:rPr>
              <w:t>−0.004</w:t>
            </w:r>
          </w:p>
        </w:tc>
        <w:tc>
          <w:tcPr>
            <w:tcW w:type="dxa" w:w="2302"/>
          </w:tcPr>
          <w:p>
            <w:pPr>
              <w:pStyle w:val="MDPI42tablebody"/>
              <w:keepNext/>
              <w:spacing w:line="240" w:lineRule="auto" w:before="30" w:after="30"/>
              <w:jc w:val="center"/>
            </w:pPr>
            <w:r>
              <w:rPr>
                <w:b w:val="0"/>
                <w:i w:val="0"/>
                <w:sz w:val="18"/>
              </w:rPr>
              <w:t>0.003</w:t>
            </w:r>
          </w:p>
        </w:tc>
      </w:tr>
      <w:tr>
        <w:trPr>
          <w:cantSplit/>
        </w:trPr>
        <w:tc>
          <w:tcPr>
            <w:tcW w:type="dxa" w:w="3558"/>
          </w:tcPr>
          <w:p>
            <w:pPr>
              <w:pStyle w:val="MDPI42tablebody"/>
              <w:keepNext/>
              <w:spacing w:line="240" w:lineRule="auto" w:before="30" w:after="30"/>
              <w:jc w:val="left"/>
            </w:pPr>
          </w:p>
        </w:tc>
        <w:tc>
          <w:tcPr>
            <w:tcW w:type="dxa" w:w="2302"/>
          </w:tcPr>
          <w:p>
            <w:pPr>
              <w:pStyle w:val="MDPI42tablebody"/>
              <w:keepNext/>
              <w:spacing w:line="240" w:lineRule="auto" w:before="30" w:after="30"/>
              <w:jc w:val="center"/>
            </w:pPr>
            <w:r>
              <w:rPr>
                <w:b w:val="0"/>
                <w:i w:val="0"/>
                <w:sz w:val="18"/>
              </w:rPr>
              <w:t>(0.031)</w:t>
            </w:r>
          </w:p>
        </w:tc>
        <w:tc>
          <w:tcPr>
            <w:tcW w:type="dxa" w:w="2302"/>
          </w:tcPr>
          <w:p>
            <w:pPr>
              <w:pStyle w:val="MDPI42tablebody"/>
              <w:keepNext/>
              <w:spacing w:line="240" w:lineRule="auto" w:before="30" w:after="30"/>
              <w:jc w:val="center"/>
            </w:pPr>
            <w:r>
              <w:rPr>
                <w:b w:val="0"/>
                <w:i w:val="0"/>
                <w:sz w:val="18"/>
              </w:rPr>
              <w:t>(0.023)</w:t>
            </w:r>
          </w:p>
        </w:tc>
        <w:tc>
          <w:tcPr>
            <w:tcW w:type="dxa" w:w="2302"/>
          </w:tcPr>
          <w:p>
            <w:pPr>
              <w:pStyle w:val="MDPI42tablebody"/>
              <w:keepNext/>
              <w:spacing w:line="240" w:lineRule="auto" w:before="30" w:after="30"/>
              <w:jc w:val="center"/>
            </w:pPr>
            <w:r>
              <w:rPr>
                <w:b w:val="0"/>
                <w:i w:val="0"/>
                <w:sz w:val="18"/>
              </w:rPr>
              <w:t>(0.030)</w:t>
            </w:r>
          </w:p>
        </w:tc>
      </w:tr>
      <w:tr>
        <w:trPr>
          <w:cantSplit/>
        </w:trPr>
        <w:tc>
          <w:tcPr>
            <w:tcW w:type="dxa" w:w="3558"/>
          </w:tcPr>
          <w:p>
            <w:pPr>
              <w:pStyle w:val="MDPI42tablebody"/>
              <w:keepNext/>
              <w:spacing w:line="240" w:lineRule="auto" w:before="30" w:after="30"/>
              <w:jc w:val="left"/>
            </w:pPr>
            <w:r>
              <w:rPr>
                <w:b w:val="0"/>
                <w:i/>
                <w:sz w:val="18"/>
              </w:rPr>
              <w:t>Fixed</w:t>
            </w:r>
          </w:p>
        </w:tc>
        <w:tc>
          <w:tcPr>
            <w:tcW w:type="dxa" w:w="2302"/>
          </w:tcPr>
          <w:p>
            <w:pPr>
              <w:pStyle w:val="MDPI42tablebody"/>
              <w:keepNext/>
              <w:spacing w:line="240" w:lineRule="auto" w:before="30" w:after="30"/>
              <w:jc w:val="center"/>
            </w:pPr>
            <w:r>
              <w:rPr>
                <w:b w:val="0"/>
                <w:i w:val="0"/>
                <w:sz w:val="18"/>
              </w:rPr>
              <w:t>−0.155</w:t>
            </w:r>
          </w:p>
        </w:tc>
        <w:tc>
          <w:tcPr>
            <w:tcW w:type="dxa" w:w="2302"/>
          </w:tcPr>
          <w:p>
            <w:pPr>
              <w:pStyle w:val="MDPI42tablebody"/>
              <w:keepNext/>
              <w:spacing w:line="240" w:lineRule="auto" w:before="30" w:after="30"/>
              <w:jc w:val="center"/>
            </w:pPr>
            <w:r>
              <w:rPr>
                <w:b w:val="0"/>
                <w:i w:val="0"/>
                <w:sz w:val="18"/>
              </w:rPr>
              <w:t>0.232</w:t>
            </w:r>
          </w:p>
        </w:tc>
        <w:tc>
          <w:tcPr>
            <w:tcW w:type="dxa" w:w="2302"/>
          </w:tcPr>
          <w:p>
            <w:pPr>
              <w:pStyle w:val="MDPI42tablebody"/>
              <w:keepNext/>
              <w:spacing w:line="240" w:lineRule="auto" w:before="30" w:after="30"/>
              <w:jc w:val="center"/>
            </w:pPr>
            <w:r>
              <w:rPr>
                <w:b w:val="0"/>
                <w:i w:val="0"/>
                <w:sz w:val="18"/>
              </w:rPr>
              <w:t>0.125</w:t>
            </w:r>
          </w:p>
        </w:tc>
      </w:tr>
      <w:tr>
        <w:trPr>
          <w:cantSplit/>
        </w:trPr>
        <w:tc>
          <w:tcPr>
            <w:tcW w:type="dxa" w:w="3558"/>
          </w:tcPr>
          <w:p>
            <w:pPr>
              <w:pStyle w:val="MDPI42tablebody"/>
              <w:keepNext/>
              <w:spacing w:line="240" w:lineRule="auto" w:before="30" w:after="30"/>
              <w:jc w:val="left"/>
            </w:pPr>
          </w:p>
        </w:tc>
        <w:tc>
          <w:tcPr>
            <w:tcW w:type="dxa" w:w="2302"/>
          </w:tcPr>
          <w:p>
            <w:pPr>
              <w:pStyle w:val="MDPI42tablebody"/>
              <w:keepNext/>
              <w:spacing w:line="240" w:lineRule="auto" w:before="30" w:after="30"/>
              <w:jc w:val="center"/>
            </w:pPr>
            <w:r>
              <w:rPr>
                <w:b w:val="0"/>
                <w:i w:val="0"/>
                <w:sz w:val="18"/>
              </w:rPr>
              <w:t>(0.272)</w:t>
            </w:r>
          </w:p>
        </w:tc>
        <w:tc>
          <w:tcPr>
            <w:tcW w:type="dxa" w:w="2302"/>
          </w:tcPr>
          <w:p>
            <w:pPr>
              <w:pStyle w:val="MDPI42tablebody"/>
              <w:keepNext/>
              <w:spacing w:line="240" w:lineRule="auto" w:before="30" w:after="30"/>
              <w:jc w:val="center"/>
            </w:pPr>
            <w:r>
              <w:rPr>
                <w:b w:val="0"/>
                <w:i w:val="0"/>
                <w:sz w:val="18"/>
              </w:rPr>
              <w:t>(0.205)</w:t>
            </w:r>
          </w:p>
        </w:tc>
        <w:tc>
          <w:tcPr>
            <w:tcW w:type="dxa" w:w="2302"/>
          </w:tcPr>
          <w:p>
            <w:pPr>
              <w:pStyle w:val="MDPI42tablebody"/>
              <w:keepNext/>
              <w:spacing w:line="240" w:lineRule="auto" w:before="30" w:after="30"/>
              <w:jc w:val="center"/>
            </w:pPr>
            <w:r>
              <w:rPr>
                <w:b w:val="0"/>
                <w:i w:val="0"/>
                <w:sz w:val="18"/>
              </w:rPr>
              <w:t>(0.256)</w:t>
            </w:r>
          </w:p>
        </w:tc>
      </w:tr>
      <w:tr>
        <w:trPr>
          <w:cantSplit/>
        </w:trPr>
        <w:tc>
          <w:tcPr>
            <w:tcW w:type="dxa" w:w="3558"/>
          </w:tcPr>
          <w:p>
            <w:pPr>
              <w:pStyle w:val="MDPI42tablebody"/>
              <w:keepNext/>
              <w:spacing w:line="240" w:lineRule="auto" w:before="30" w:after="30"/>
              <w:jc w:val="left"/>
            </w:pPr>
            <w:r>
              <w:rPr>
                <w:b w:val="0"/>
                <w:i/>
                <w:sz w:val="18"/>
              </w:rPr>
              <w:t>Controls</w:t>
            </w:r>
          </w:p>
        </w:tc>
        <w:tc>
          <w:tcPr>
            <w:tcW w:type="dxa" w:w="2302"/>
          </w:tcPr>
          <w:p>
            <w:pPr>
              <w:pStyle w:val="MDPI42tablebody"/>
              <w:keepNext/>
              <w:spacing w:line="240" w:lineRule="auto" w:before="30" w:after="30"/>
              <w:jc w:val="center"/>
            </w:pPr>
            <w:r>
              <w:rPr>
                <w:b w:val="0"/>
                <w:i w:val="0"/>
                <w:sz w:val="18"/>
              </w:rPr>
              <w:t>Yes</w:t>
            </w:r>
          </w:p>
        </w:tc>
        <w:tc>
          <w:tcPr>
            <w:tcW w:type="dxa" w:w="2302"/>
          </w:tcPr>
          <w:p>
            <w:pPr>
              <w:pStyle w:val="MDPI42tablebody"/>
              <w:keepNext/>
              <w:spacing w:line="240" w:lineRule="auto" w:before="30" w:after="30"/>
              <w:jc w:val="center"/>
            </w:pPr>
            <w:r>
              <w:rPr>
                <w:b w:val="0"/>
                <w:i w:val="0"/>
                <w:sz w:val="18"/>
              </w:rPr>
              <w:t>Yes</w:t>
            </w:r>
          </w:p>
        </w:tc>
        <w:tc>
          <w:tcPr>
            <w:tcW w:type="dxa" w:w="2302"/>
          </w:tcPr>
          <w:p>
            <w:pPr>
              <w:pStyle w:val="MDPI42tablebody"/>
              <w:keepNext/>
              <w:spacing w:line="240" w:lineRule="auto" w:before="30" w:after="30"/>
              <w:jc w:val="center"/>
            </w:pPr>
            <w:r>
              <w:rPr>
                <w:b w:val="0"/>
                <w:i w:val="0"/>
                <w:sz w:val="18"/>
              </w:rPr>
              <w:t>Yes</w:t>
            </w:r>
          </w:p>
        </w:tc>
      </w:tr>
      <w:tr>
        <w:trPr>
          <w:cantSplit/>
        </w:trPr>
        <w:tc>
          <w:tcPr>
            <w:tcW w:type="dxa" w:w="3558"/>
          </w:tcPr>
          <w:p>
            <w:pPr>
              <w:pStyle w:val="MDPI42tablebody"/>
              <w:keepNext/>
              <w:spacing w:line="240" w:lineRule="auto" w:before="30" w:after="30"/>
              <w:jc w:val="left"/>
            </w:pPr>
            <w:r>
              <w:rPr>
                <w:b w:val="0"/>
                <w:i/>
                <w:sz w:val="18"/>
              </w:rPr>
              <w:t>Firm FE</w:t>
            </w:r>
          </w:p>
        </w:tc>
        <w:tc>
          <w:tcPr>
            <w:tcW w:type="dxa" w:w="2302"/>
          </w:tcPr>
          <w:p>
            <w:pPr>
              <w:pStyle w:val="MDPI42tablebody"/>
              <w:keepNext/>
              <w:spacing w:line="240" w:lineRule="auto" w:before="30" w:after="30"/>
              <w:jc w:val="center"/>
            </w:pPr>
            <w:r>
              <w:rPr>
                <w:b w:val="0"/>
                <w:i w:val="0"/>
                <w:sz w:val="18"/>
              </w:rPr>
              <w:t>Yes</w:t>
            </w:r>
          </w:p>
        </w:tc>
        <w:tc>
          <w:tcPr>
            <w:tcW w:type="dxa" w:w="2302"/>
          </w:tcPr>
          <w:p>
            <w:pPr>
              <w:pStyle w:val="MDPI42tablebody"/>
              <w:keepNext/>
              <w:spacing w:line="240" w:lineRule="auto" w:before="30" w:after="30"/>
              <w:jc w:val="center"/>
            </w:pPr>
            <w:r>
              <w:rPr>
                <w:b w:val="0"/>
                <w:i w:val="0"/>
                <w:sz w:val="18"/>
              </w:rPr>
              <w:t>Yes</w:t>
            </w:r>
          </w:p>
        </w:tc>
        <w:tc>
          <w:tcPr>
            <w:tcW w:type="dxa" w:w="2302"/>
          </w:tcPr>
          <w:p>
            <w:pPr>
              <w:pStyle w:val="MDPI42tablebody"/>
              <w:keepNext/>
              <w:spacing w:line="240" w:lineRule="auto" w:before="30" w:after="30"/>
              <w:jc w:val="center"/>
            </w:pPr>
            <w:r>
              <w:rPr>
                <w:b w:val="0"/>
                <w:i w:val="0"/>
                <w:sz w:val="18"/>
              </w:rPr>
              <w:t>Yes</w:t>
            </w:r>
          </w:p>
        </w:tc>
      </w:tr>
      <w:tr>
        <w:trPr>
          <w:cantSplit/>
        </w:trPr>
        <w:tc>
          <w:tcPr>
            <w:tcW w:type="dxa" w:w="3558"/>
          </w:tcPr>
          <w:p>
            <w:pPr>
              <w:pStyle w:val="MDPI42tablebody"/>
              <w:keepNext/>
              <w:spacing w:line="240" w:lineRule="auto" w:before="30" w:after="30"/>
              <w:jc w:val="left"/>
            </w:pPr>
            <w:r>
              <w:rPr>
                <w:b w:val="0"/>
                <w:i/>
                <w:sz w:val="18"/>
              </w:rPr>
              <w:t>Year FE</w:t>
            </w:r>
          </w:p>
        </w:tc>
        <w:tc>
          <w:tcPr>
            <w:tcW w:type="dxa" w:w="2302"/>
          </w:tcPr>
          <w:p>
            <w:pPr>
              <w:pStyle w:val="MDPI42tablebody"/>
              <w:keepNext/>
              <w:spacing w:line="240" w:lineRule="auto" w:before="30" w:after="30"/>
              <w:jc w:val="center"/>
            </w:pPr>
            <w:r>
              <w:rPr>
                <w:b w:val="0"/>
                <w:i w:val="0"/>
                <w:sz w:val="18"/>
              </w:rPr>
              <w:t>Yes</w:t>
            </w:r>
          </w:p>
        </w:tc>
        <w:tc>
          <w:tcPr>
            <w:tcW w:type="dxa" w:w="2302"/>
          </w:tcPr>
          <w:p>
            <w:pPr>
              <w:pStyle w:val="MDPI42tablebody"/>
              <w:keepNext/>
              <w:spacing w:line="240" w:lineRule="auto" w:before="30" w:after="30"/>
              <w:jc w:val="center"/>
            </w:pPr>
            <w:r>
              <w:rPr>
                <w:b w:val="0"/>
                <w:i w:val="0"/>
                <w:sz w:val="18"/>
              </w:rPr>
              <w:t>Yes</w:t>
            </w:r>
          </w:p>
        </w:tc>
        <w:tc>
          <w:tcPr>
            <w:tcW w:type="dxa" w:w="2302"/>
          </w:tcPr>
          <w:p>
            <w:pPr>
              <w:pStyle w:val="MDPI42tablebody"/>
              <w:keepNext/>
              <w:spacing w:line="240" w:lineRule="auto" w:before="30" w:after="30"/>
              <w:jc w:val="center"/>
            </w:pPr>
            <w:r>
              <w:rPr>
                <w:b w:val="0"/>
                <w:i w:val="0"/>
                <w:sz w:val="18"/>
              </w:rPr>
              <w:t>Yes</w:t>
            </w:r>
          </w:p>
        </w:tc>
      </w:tr>
      <w:tr>
        <w:trPr>
          <w:cantSplit/>
        </w:trPr>
        <w:tc>
          <w:tcPr>
            <w:tcW w:type="dxa" w:w="3558"/>
          </w:tcPr>
          <w:p>
            <w:pPr>
              <w:pStyle w:val="MDPI42tablebody"/>
              <w:keepNext/>
              <w:spacing w:line="240" w:lineRule="auto" w:before="30" w:after="30"/>
              <w:jc w:val="left"/>
            </w:pPr>
            <w:r>
              <w:rPr>
                <w:b w:val="0"/>
                <w:i/>
                <w:sz w:val="18"/>
              </w:rPr>
              <w:t>Observations</w:t>
            </w:r>
          </w:p>
        </w:tc>
        <w:tc>
          <w:tcPr>
            <w:tcW w:type="dxa" w:w="2302"/>
          </w:tcPr>
          <w:p>
            <w:pPr>
              <w:pStyle w:val="MDPI42tablebody"/>
              <w:keepNext/>
              <w:spacing w:line="240" w:lineRule="auto" w:before="30" w:after="30"/>
              <w:jc w:val="center"/>
            </w:pPr>
            <w:r>
              <w:rPr>
                <w:b w:val="0"/>
                <w:i w:val="0"/>
                <w:sz w:val="18"/>
              </w:rPr>
              <w:t>27,320</w:t>
            </w:r>
          </w:p>
        </w:tc>
        <w:tc>
          <w:tcPr>
            <w:tcW w:type="dxa" w:w="2302"/>
          </w:tcPr>
          <w:p>
            <w:pPr>
              <w:pStyle w:val="MDPI42tablebody"/>
              <w:keepNext/>
              <w:spacing w:line="240" w:lineRule="auto" w:before="30" w:after="30"/>
              <w:jc w:val="center"/>
            </w:pPr>
            <w:r>
              <w:rPr>
                <w:b w:val="0"/>
                <w:i w:val="0"/>
                <w:sz w:val="18"/>
              </w:rPr>
              <w:t>27,320</w:t>
            </w:r>
          </w:p>
        </w:tc>
        <w:tc>
          <w:tcPr>
            <w:tcW w:type="dxa" w:w="2302"/>
          </w:tcPr>
          <w:p>
            <w:pPr>
              <w:pStyle w:val="MDPI42tablebody"/>
              <w:keepNext/>
              <w:spacing w:line="240" w:lineRule="auto" w:before="30" w:after="30"/>
              <w:jc w:val="center"/>
            </w:pPr>
            <w:r>
              <w:rPr>
                <w:b w:val="0"/>
                <w:i w:val="0"/>
                <w:sz w:val="18"/>
              </w:rPr>
              <w:t>27,320</w:t>
            </w:r>
          </w:p>
        </w:tc>
      </w:tr>
      <w:tr>
        <w:trPr>
          <w:cantSplit/>
        </w:trPr>
        <w:tc>
          <w:tcPr>
            <w:tcW w:type="dxa" w:w="3558"/>
          </w:tcPr>
          <w:p>
            <w:pPr>
              <w:pStyle w:val="MDPI42tablebody"/>
              <w:spacing w:line="240" w:lineRule="auto" w:before="30" w:after="30"/>
              <w:jc w:val="left"/>
            </w:pPr>
            <w:r>
              <w:rPr>
                <w:b w:val="0"/>
                <w:i/>
                <w:sz w:val="18"/>
              </w:rPr>
              <w:t>Within R²</w:t>
            </w:r>
          </w:p>
        </w:tc>
        <w:tc>
          <w:tcPr>
            <w:tcW w:type="dxa" w:w="2302"/>
          </w:tcPr>
          <w:p>
            <w:pPr>
              <w:pStyle w:val="MDPI42tablebody"/>
              <w:spacing w:line="240" w:lineRule="auto" w:before="30" w:after="30"/>
              <w:jc w:val="center"/>
            </w:pPr>
            <w:r>
              <w:rPr>
                <w:b w:val="0"/>
                <w:i w:val="0"/>
                <w:sz w:val="18"/>
              </w:rPr>
              <w:t>0.396</w:t>
            </w:r>
          </w:p>
        </w:tc>
        <w:tc>
          <w:tcPr>
            <w:tcW w:type="dxa" w:w="2302"/>
          </w:tcPr>
          <w:p>
            <w:pPr>
              <w:pStyle w:val="MDPI42tablebody"/>
              <w:spacing w:line="240" w:lineRule="auto" w:before="30" w:after="30"/>
              <w:jc w:val="center"/>
            </w:pPr>
            <w:r>
              <w:rPr>
                <w:b w:val="0"/>
                <w:i w:val="0"/>
                <w:sz w:val="18"/>
              </w:rPr>
              <w:t>0.433</w:t>
            </w:r>
          </w:p>
        </w:tc>
        <w:tc>
          <w:tcPr>
            <w:tcW w:type="dxa" w:w="2302"/>
          </w:tcPr>
          <w:p>
            <w:pPr>
              <w:pStyle w:val="MDPI42tablebody"/>
              <w:spacing w:line="240" w:lineRule="auto" w:before="30" w:after="30"/>
              <w:jc w:val="center"/>
            </w:pPr>
            <w:r>
              <w:rPr>
                <w:b w:val="0"/>
                <w:i w:val="0"/>
                <w:sz w:val="18"/>
              </w:rPr>
              <w:t>0.265</w:t>
            </w:r>
          </w:p>
        </w:tc>
      </w:tr>
    </w:tbl>
    <w:p>
      <w:pPr>
        <w:pStyle w:val="MDPI43tablefooter"/>
        <w:spacing w:line="240" w:lineRule="auto" w:before="40" w:after="200"/>
        <w:ind w:left="2608" w:firstLine="0"/>
      </w:pPr>
      <w:r>
        <w:rPr>
          <w:sz w:val="16"/>
        </w:rPr>
        <w:t xml:space="preserve">Note: </w:t>
      </w:r>
      <w:r>
        <w:rPr>
          <w:b w:val="0"/>
          <w:i w:val="0"/>
          <w:sz w:val="16"/>
        </w:rPr>
        <w:t>Columns (1) and (2) regress each channel on adoption depth and its square; column (3) adds both channels to the outcome equation. Standard errors clustered at the firm level are in parentheses. ***, ** and * denote significance at the 1%, 5% and 10% levels.</w:t>
      </w:r>
    </w:p>
    <w:p>
      <w:pPr>
        <w:pStyle w:val="MDPI31text"/>
      </w:pPr>
      <w:r>
        <w:rPr>
          <w:b w:val="0"/>
          <w:i w:val="0"/>
        </w:rPr>
        <w:t>Figure 3 shows the decomposition graphically. Each channel's contribution is its fitted quadratic in adoption depth, taken from columns (1) and (2) of Table 6, multiplied by its loading in the outcome equation in column (3). The augmentation contribution rises and flattens; the automation contribution falls at an accelerating rate; their sum is the inverted U, and the dotted line marks where it peaks. The figure makes the policy content of the result visible. The descending arm is not evidence that the technology is harmful to young workers. It is evidence that the complementary margin runs out before the substituting margin does.</w:t>
      </w:r>
    </w:p>
    <w:p>
      <w:pPr>
        <w:pStyle w:val="MDPI52figure"/>
        <w:keepNext/>
        <w:ind w:left="2608" w:firstLine="0"/>
        <w:jc w:val="center"/>
      </w:pPr>
      <w:r>
        <w:drawing>
          <wp:inline xmlns:a="http://schemas.openxmlformats.org/drawingml/2006/main" xmlns:pic="http://schemas.openxmlformats.org/drawingml/2006/picture">
            <wp:extent cx="4968000" cy="3132768"/>
            <wp:docPr id="3" name="Picture 3"/>
            <wp:cNvGraphicFramePr>
              <a:graphicFrameLocks noChangeAspect="1"/>
            </wp:cNvGraphicFramePr>
            <a:graphic>
              <a:graphicData uri="http://schemas.openxmlformats.org/drawingml/2006/picture">
                <pic:pic>
                  <pic:nvPicPr>
                    <pic:cNvPr id="0" name="figure3_channels.png"/>
                    <pic:cNvPicPr/>
                  </pic:nvPicPr>
                  <pic:blipFill>
                    <a:blip r:embed="rId19"/>
                    <a:stretch>
                      <a:fillRect/>
                    </a:stretch>
                  </pic:blipFill>
                  <pic:spPr>
                    <a:xfrm>
                      <a:off x="0" y="0"/>
                      <a:ext cx="4968000" cy="3132768"/>
                    </a:xfrm>
                    <a:prstGeom prst="rect"/>
                  </pic:spPr>
                </pic:pic>
              </a:graphicData>
            </a:graphic>
          </wp:inline>
        </w:drawing>
      </w:r>
    </w:p>
    <w:p>
      <w:pPr>
        <w:pStyle w:val="MDPI51figurecaption"/>
        <w:spacing w:after="200"/>
      </w:pPr>
      <w:r>
        <w:rPr>
          <w:b/>
          <w:sz w:val="18"/>
        </w:rPr>
        <w:t xml:space="preserve">Figure 3. </w:t>
      </w:r>
      <w:r>
        <w:rPr>
          <w:b w:val="0"/>
          <w:i w:val="0"/>
          <w:sz w:val="18"/>
        </w:rPr>
        <w:t>Decomposition of the curve into the augmentation and automation channels.</w:t>
      </w:r>
    </w:p>
    <w:p>
      <w:pPr>
        <w:pStyle w:val="MDPI22heading2"/>
      </w:pPr>
      <w:r>
        <w:t>4.6. Robustness and Endogeneity Tests</w:t>
      </w:r>
    </w:p>
    <w:p>
      <w:pPr>
        <w:pStyle w:val="MDPI32textnoindent"/>
      </w:pPr>
      <w:r>
        <w:rPr>
          <w:b w:val="0"/>
          <w:i w:val="0"/>
        </w:rPr>
        <w:t>Table 7 reports eight robustness checks, each re-estimating Equation (3) with one modification and reporting the two coefficients, the extreme point and the Lind–Mehlum statistic. Replacing the dependent variable with the share aged 35 or below, and with the logarithm of the number of employees aged 30 or below, leaves the shape and the location of the peak essentially unchanged; the second shows that the result is not an artefact of composition arising from changes in total headcount. Mean-centring adoption depth, which removes the mechanical correlation between the linear and squared terms, reproduces the same curvature and the same extreme point. Clustering on firm and year simultaneously, excluding 2020 to remove the pandemic year, restricting the sample to the post-shock years, winsorising the dependent variable at the 5th and 95th percentiles and restricting the sample to the balanced panel all leave the inverted U intact, with extreme points between 2.13 and its neighbourhood and Lind–Mehlum statistics significant at the 1% level throughout.</w:t>
      </w:r>
    </w:p>
    <w:p>
      <w:pPr>
        <w:pStyle w:val="MDPI41tablecaption"/>
        <w:keepNext/>
        <w:spacing w:after="60"/>
      </w:pPr>
      <w:r>
        <w:rPr>
          <w:b/>
          <w:sz w:val="18"/>
        </w:rPr>
        <w:t xml:space="preserve">Table 7. </w:t>
      </w:r>
      <w:r>
        <w:rPr>
          <w:b w:val="0"/>
          <w:i w:val="0"/>
          <w:sz w:val="18"/>
        </w:rPr>
        <w:t>Robustness checks.</w:t>
      </w:r>
    </w:p>
    <w:tbl>
      <w:tblPr>
        <w:tblStyle w:val="MDPI41threelinetable"/>
        <w:tblW w:w="10466"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CellMar>
          <w:top w:w="0" w:type="dxa"/>
          <w:left w:w="57" w:type="dxa"/>
          <w:bottom w:w="0" w:type="dxa"/>
          <w:right w:w="57" w:type="dxa"/>
        </w:tblCellMar>
        <w:tblLook w:firstColumn="1" w:firstRow="1" w:lastColumn="0" w:lastRow="0" w:noHBand="0" w:noVBand="1" w:val="04A0"/>
      </w:tblPr>
      <w:tblGrid>
        <w:gridCol w:w="3139"/>
        <w:gridCol w:w="1203"/>
        <w:gridCol w:w="994"/>
        <w:gridCol w:w="1203"/>
        <w:gridCol w:w="994"/>
        <w:gridCol w:w="1255"/>
        <w:gridCol w:w="941"/>
        <w:gridCol w:w="732"/>
      </w:tblGrid>
      <w:tr>
        <w:trPr>
          <w:cantSplit/>
          <w:tblHeader/>
        </w:trPr>
        <w:tc>
          <w:tcPr>
            <w:tcW w:type="dxa" w:w="3139"/>
            <w:tcBorders>
              <w:bottom w:val="single" w:sz="8" w:space="0" w:color="auto"/>
            </w:tcBorders>
          </w:tcPr>
          <w:p>
            <w:pPr>
              <w:pStyle w:val="MDPI42tablebody"/>
              <w:keepNext/>
              <w:spacing w:line="240" w:lineRule="auto" w:before="30" w:after="30"/>
              <w:jc w:val="center"/>
            </w:pPr>
            <w:r>
              <w:rPr>
                <w:b/>
                <w:i w:val="0"/>
                <w:sz w:val="14"/>
              </w:rPr>
              <w:t>Specification</w:t>
            </w:r>
          </w:p>
        </w:tc>
        <w:tc>
          <w:tcPr>
            <w:tcW w:type="dxa" w:w="1203"/>
            <w:tcBorders>
              <w:bottom w:val="single" w:sz="8" w:space="0" w:color="auto"/>
            </w:tcBorders>
          </w:tcPr>
          <w:p>
            <w:pPr>
              <w:pStyle w:val="MDPI42tablebody"/>
              <w:keepNext/>
              <w:spacing w:line="240" w:lineRule="auto" w:before="30" w:after="30"/>
              <w:jc w:val="center"/>
            </w:pPr>
            <w:r>
              <w:rPr>
                <w:b/>
                <w:i w:val="0"/>
                <w:sz w:val="14"/>
              </w:rPr>
              <w:t>AI</w:t>
            </w:r>
          </w:p>
        </w:tc>
        <w:tc>
          <w:tcPr>
            <w:tcW w:type="dxa" w:w="994"/>
            <w:tcBorders>
              <w:bottom w:val="single" w:sz="8" w:space="0" w:color="auto"/>
            </w:tcBorders>
          </w:tcPr>
          <w:p>
            <w:pPr>
              <w:pStyle w:val="MDPI42tablebody"/>
              <w:keepNext/>
              <w:spacing w:line="240" w:lineRule="auto" w:before="30" w:after="30"/>
              <w:jc w:val="center"/>
            </w:pPr>
            <w:r>
              <w:rPr>
                <w:b/>
                <w:i w:val="0"/>
                <w:sz w:val="14"/>
              </w:rPr>
              <w:t>SE</w:t>
            </w:r>
          </w:p>
        </w:tc>
        <w:tc>
          <w:tcPr>
            <w:tcW w:type="dxa" w:w="1203"/>
            <w:tcBorders>
              <w:bottom w:val="single" w:sz="8" w:space="0" w:color="auto"/>
            </w:tcBorders>
          </w:tcPr>
          <w:p>
            <w:pPr>
              <w:pStyle w:val="MDPI42tablebody"/>
              <w:keepNext/>
              <w:spacing w:line="240" w:lineRule="auto" w:before="30" w:after="30"/>
              <w:jc w:val="center"/>
            </w:pPr>
            <w:r>
              <w:rPr>
                <w:b/>
                <w:i w:val="0"/>
                <w:sz w:val="14"/>
              </w:rPr>
              <w:t>AI</w:t>
            </w:r>
            <w:r>
              <w:rPr>
                <w:b/>
                <w:i w:val="0"/>
                <w:sz w:val="14"/>
                <w:vertAlign w:val="superscript"/>
              </w:rPr>
              <w:t>2</w:t>
            </w:r>
          </w:p>
        </w:tc>
        <w:tc>
          <w:tcPr>
            <w:tcW w:type="dxa" w:w="994"/>
            <w:tcBorders>
              <w:bottom w:val="single" w:sz="8" w:space="0" w:color="auto"/>
            </w:tcBorders>
          </w:tcPr>
          <w:p>
            <w:pPr>
              <w:pStyle w:val="MDPI42tablebody"/>
              <w:keepNext/>
              <w:spacing w:line="240" w:lineRule="auto" w:before="30" w:after="30"/>
              <w:jc w:val="center"/>
            </w:pPr>
            <w:r>
              <w:rPr>
                <w:b/>
                <w:i w:val="0"/>
                <w:sz w:val="14"/>
              </w:rPr>
              <w:t>SE</w:t>
            </w:r>
          </w:p>
        </w:tc>
        <w:tc>
          <w:tcPr>
            <w:tcW w:type="dxa" w:w="1255"/>
            <w:tcBorders>
              <w:bottom w:val="single" w:sz="8" w:space="0" w:color="auto"/>
            </w:tcBorders>
          </w:tcPr>
          <w:p>
            <w:pPr>
              <w:pStyle w:val="MDPI42tablebody"/>
              <w:keepNext/>
              <w:spacing w:line="240" w:lineRule="auto" w:before="30" w:after="30"/>
              <w:jc w:val="center"/>
            </w:pPr>
            <w:r>
              <w:rPr>
                <w:b/>
                <w:i w:val="0"/>
                <w:sz w:val="14"/>
              </w:rPr>
              <w:t>Extreme point</w:t>
            </w:r>
          </w:p>
        </w:tc>
        <w:tc>
          <w:tcPr>
            <w:tcW w:type="dxa" w:w="941"/>
            <w:tcBorders>
              <w:bottom w:val="single" w:sz="8" w:space="0" w:color="auto"/>
            </w:tcBorders>
          </w:tcPr>
          <w:p>
            <w:pPr>
              <w:pStyle w:val="MDPI42tablebody"/>
              <w:keepNext/>
              <w:spacing w:line="240" w:lineRule="auto" w:before="30" w:after="30"/>
              <w:jc w:val="center"/>
            </w:pPr>
            <w:r>
              <w:rPr>
                <w:b/>
                <w:i w:val="0"/>
                <w:sz w:val="14"/>
              </w:rPr>
              <w:t>U-test t</w:t>
            </w:r>
          </w:p>
        </w:tc>
        <w:tc>
          <w:tcPr>
            <w:tcW w:type="dxa" w:w="732"/>
            <w:tcBorders>
              <w:bottom w:val="single" w:sz="8" w:space="0" w:color="auto"/>
            </w:tcBorders>
          </w:tcPr>
          <w:p>
            <w:pPr>
              <w:pStyle w:val="MDPI42tablebody"/>
              <w:keepNext/>
              <w:spacing w:line="240" w:lineRule="auto" w:before="30" w:after="30"/>
              <w:jc w:val="center"/>
            </w:pPr>
            <w:r>
              <w:rPr>
                <w:b/>
                <w:i w:val="0"/>
                <w:sz w:val="14"/>
              </w:rPr>
              <w:t>N</w:t>
            </w:r>
          </w:p>
        </w:tc>
      </w:tr>
      <w:tr>
        <w:trPr>
          <w:cantSplit/>
        </w:trPr>
        <w:tc>
          <w:tcPr>
            <w:tcW w:type="dxa" w:w="3139"/>
          </w:tcPr>
          <w:p>
            <w:pPr>
              <w:pStyle w:val="MDPI42tablebody"/>
              <w:keepNext/>
              <w:spacing w:line="240" w:lineRule="auto" w:before="30" w:after="30"/>
              <w:jc w:val="left"/>
            </w:pPr>
            <w:r>
              <w:rPr>
                <w:b w:val="0"/>
                <w:i w:val="0"/>
                <w:sz w:val="14"/>
              </w:rPr>
              <w:t>(1) Youth aged 35 or below</w:t>
            </w:r>
          </w:p>
        </w:tc>
        <w:tc>
          <w:tcPr>
            <w:tcW w:type="dxa" w:w="1203"/>
          </w:tcPr>
          <w:p>
            <w:pPr>
              <w:pStyle w:val="MDPI42tablebody"/>
              <w:keepNext/>
              <w:spacing w:line="240" w:lineRule="auto" w:before="30" w:after="30"/>
              <w:jc w:val="center"/>
            </w:pPr>
            <w:r>
              <w:rPr>
                <w:b w:val="0"/>
                <w:i w:val="0"/>
                <w:sz w:val="14"/>
              </w:rPr>
              <w:t>4.701***</w:t>
            </w:r>
          </w:p>
        </w:tc>
        <w:tc>
          <w:tcPr>
            <w:tcW w:type="dxa" w:w="994"/>
          </w:tcPr>
          <w:p>
            <w:pPr>
              <w:pStyle w:val="MDPI42tablebody"/>
              <w:keepNext/>
              <w:spacing w:line="240" w:lineRule="auto" w:before="30" w:after="30"/>
              <w:jc w:val="center"/>
            </w:pPr>
            <w:r>
              <w:rPr>
                <w:b w:val="0"/>
                <w:i w:val="0"/>
                <w:sz w:val="14"/>
              </w:rPr>
              <w:t>(0.317)</w:t>
            </w:r>
          </w:p>
        </w:tc>
        <w:tc>
          <w:tcPr>
            <w:tcW w:type="dxa" w:w="1203"/>
          </w:tcPr>
          <w:p>
            <w:pPr>
              <w:pStyle w:val="MDPI42tablebody"/>
              <w:keepNext/>
              <w:spacing w:line="240" w:lineRule="auto" w:before="30" w:after="30"/>
              <w:jc w:val="center"/>
            </w:pPr>
            <w:r>
              <w:rPr>
                <w:b w:val="0"/>
                <w:i w:val="0"/>
                <w:sz w:val="14"/>
              </w:rPr>
              <w:t>−1.104***</w:t>
            </w:r>
          </w:p>
        </w:tc>
        <w:tc>
          <w:tcPr>
            <w:tcW w:type="dxa" w:w="994"/>
          </w:tcPr>
          <w:p>
            <w:pPr>
              <w:pStyle w:val="MDPI42tablebody"/>
              <w:keepNext/>
              <w:spacing w:line="240" w:lineRule="auto" w:before="30" w:after="30"/>
              <w:jc w:val="center"/>
            </w:pPr>
            <w:r>
              <w:rPr>
                <w:b w:val="0"/>
                <w:i w:val="0"/>
                <w:sz w:val="14"/>
              </w:rPr>
              <w:t>(0.075)</w:t>
            </w:r>
          </w:p>
        </w:tc>
        <w:tc>
          <w:tcPr>
            <w:tcW w:type="dxa" w:w="1255"/>
          </w:tcPr>
          <w:p>
            <w:pPr>
              <w:pStyle w:val="MDPI42tablebody"/>
              <w:keepNext/>
              <w:spacing w:line="240" w:lineRule="auto" w:before="30" w:after="30"/>
              <w:jc w:val="center"/>
            </w:pPr>
            <w:r>
              <w:rPr>
                <w:b w:val="0"/>
                <w:i w:val="0"/>
                <w:sz w:val="14"/>
              </w:rPr>
              <w:t>2.129</w:t>
            </w:r>
          </w:p>
        </w:tc>
        <w:tc>
          <w:tcPr>
            <w:tcW w:type="dxa" w:w="941"/>
          </w:tcPr>
          <w:p>
            <w:pPr>
              <w:pStyle w:val="MDPI42tablebody"/>
              <w:keepNext/>
              <w:spacing w:line="240" w:lineRule="auto" w:before="30" w:after="30"/>
              <w:jc w:val="center"/>
            </w:pPr>
            <w:r>
              <w:rPr>
                <w:b w:val="0"/>
                <w:i w:val="0"/>
                <w:sz w:val="14"/>
              </w:rPr>
              <w:t>13.33</w:t>
            </w:r>
          </w:p>
        </w:tc>
        <w:tc>
          <w:tcPr>
            <w:tcW w:type="dxa" w:w="732"/>
          </w:tcPr>
          <w:p>
            <w:pPr>
              <w:pStyle w:val="MDPI42tablebody"/>
              <w:keepNext/>
              <w:spacing w:line="240" w:lineRule="auto" w:before="30" w:after="30"/>
              <w:jc w:val="center"/>
            </w:pPr>
            <w:r>
              <w:rPr>
                <w:b w:val="0"/>
                <w:i w:val="0"/>
                <w:sz w:val="14"/>
              </w:rPr>
              <w:t>27,320</w:t>
            </w:r>
          </w:p>
        </w:tc>
      </w:tr>
      <w:tr>
        <w:trPr>
          <w:cantSplit/>
        </w:trPr>
        <w:tc>
          <w:tcPr>
            <w:tcW w:type="dxa" w:w="3139"/>
          </w:tcPr>
          <w:p>
            <w:pPr>
              <w:pStyle w:val="MDPI42tablebody"/>
              <w:keepNext/>
              <w:spacing w:line="240" w:lineRule="auto" w:before="30" w:after="30"/>
              <w:jc w:val="left"/>
            </w:pPr>
            <w:r>
              <w:rPr>
                <w:b w:val="0"/>
                <w:i w:val="0"/>
                <w:sz w:val="14"/>
              </w:rPr>
              <w:t>(2) ln(young headcount)</w:t>
            </w:r>
          </w:p>
        </w:tc>
        <w:tc>
          <w:tcPr>
            <w:tcW w:type="dxa" w:w="1203"/>
          </w:tcPr>
          <w:p>
            <w:pPr>
              <w:pStyle w:val="MDPI42tablebody"/>
              <w:keepNext/>
              <w:spacing w:line="240" w:lineRule="auto" w:before="30" w:after="30"/>
              <w:jc w:val="center"/>
            </w:pPr>
            <w:r>
              <w:rPr>
                <w:b w:val="0"/>
                <w:i w:val="0"/>
                <w:sz w:val="14"/>
              </w:rPr>
              <w:t>0.186***</w:t>
            </w:r>
          </w:p>
        </w:tc>
        <w:tc>
          <w:tcPr>
            <w:tcW w:type="dxa" w:w="994"/>
          </w:tcPr>
          <w:p>
            <w:pPr>
              <w:pStyle w:val="MDPI42tablebody"/>
              <w:keepNext/>
              <w:spacing w:line="240" w:lineRule="auto" w:before="30" w:after="30"/>
              <w:jc w:val="center"/>
            </w:pPr>
            <w:r>
              <w:rPr>
                <w:b w:val="0"/>
                <w:i w:val="0"/>
                <w:sz w:val="14"/>
              </w:rPr>
              <w:t>(0.016)</w:t>
            </w:r>
          </w:p>
        </w:tc>
        <w:tc>
          <w:tcPr>
            <w:tcW w:type="dxa" w:w="1203"/>
          </w:tcPr>
          <w:p>
            <w:pPr>
              <w:pStyle w:val="MDPI42tablebody"/>
              <w:keepNext/>
              <w:spacing w:line="240" w:lineRule="auto" w:before="30" w:after="30"/>
              <w:jc w:val="center"/>
            </w:pPr>
            <w:r>
              <w:rPr>
                <w:b w:val="0"/>
                <w:i w:val="0"/>
                <w:sz w:val="14"/>
              </w:rPr>
              <w:t>−0.048***</w:t>
            </w:r>
          </w:p>
        </w:tc>
        <w:tc>
          <w:tcPr>
            <w:tcW w:type="dxa" w:w="994"/>
          </w:tcPr>
          <w:p>
            <w:pPr>
              <w:pStyle w:val="MDPI42tablebody"/>
              <w:keepNext/>
              <w:spacing w:line="240" w:lineRule="auto" w:before="30" w:after="30"/>
              <w:jc w:val="center"/>
            </w:pPr>
            <w:r>
              <w:rPr>
                <w:b w:val="0"/>
                <w:i w:val="0"/>
                <w:sz w:val="14"/>
              </w:rPr>
              <w:t>(0.004)</w:t>
            </w:r>
          </w:p>
        </w:tc>
        <w:tc>
          <w:tcPr>
            <w:tcW w:type="dxa" w:w="1255"/>
          </w:tcPr>
          <w:p>
            <w:pPr>
              <w:pStyle w:val="MDPI42tablebody"/>
              <w:keepNext/>
              <w:spacing w:line="240" w:lineRule="auto" w:before="30" w:after="30"/>
              <w:jc w:val="center"/>
            </w:pPr>
            <w:r>
              <w:rPr>
                <w:b w:val="0"/>
                <w:i w:val="0"/>
                <w:sz w:val="14"/>
              </w:rPr>
              <w:t>1.955</w:t>
            </w:r>
          </w:p>
        </w:tc>
        <w:tc>
          <w:tcPr>
            <w:tcW w:type="dxa" w:w="941"/>
          </w:tcPr>
          <w:p>
            <w:pPr>
              <w:pStyle w:val="MDPI42tablebody"/>
              <w:keepNext/>
              <w:spacing w:line="240" w:lineRule="auto" w:before="30" w:after="30"/>
              <w:jc w:val="center"/>
            </w:pPr>
            <w:r>
              <w:rPr>
                <w:b w:val="0"/>
                <w:i w:val="0"/>
                <w:sz w:val="14"/>
              </w:rPr>
              <w:t>11.65</w:t>
            </w:r>
          </w:p>
        </w:tc>
        <w:tc>
          <w:tcPr>
            <w:tcW w:type="dxa" w:w="732"/>
          </w:tcPr>
          <w:p>
            <w:pPr>
              <w:pStyle w:val="MDPI42tablebody"/>
              <w:keepNext/>
              <w:spacing w:line="240" w:lineRule="auto" w:before="30" w:after="30"/>
              <w:jc w:val="center"/>
            </w:pPr>
            <w:r>
              <w:rPr>
                <w:b w:val="0"/>
                <w:i w:val="0"/>
                <w:sz w:val="14"/>
              </w:rPr>
              <w:t>27,320</w:t>
            </w:r>
          </w:p>
        </w:tc>
      </w:tr>
      <w:tr>
        <w:trPr>
          <w:cantSplit/>
        </w:trPr>
        <w:tc>
          <w:tcPr>
            <w:tcW w:type="dxa" w:w="3139"/>
          </w:tcPr>
          <w:p>
            <w:pPr>
              <w:pStyle w:val="MDPI42tablebody"/>
              <w:keepNext/>
              <w:spacing w:line="240" w:lineRule="auto" w:before="30" w:after="30"/>
              <w:jc w:val="left"/>
            </w:pPr>
            <w:r>
              <w:rPr>
                <w:b w:val="0"/>
                <w:i w:val="0"/>
                <w:sz w:val="14"/>
              </w:rPr>
              <w:t>(3) Mean-centred adoption depth</w:t>
            </w:r>
          </w:p>
        </w:tc>
        <w:tc>
          <w:tcPr>
            <w:tcW w:type="dxa" w:w="1203"/>
          </w:tcPr>
          <w:p>
            <w:pPr>
              <w:pStyle w:val="MDPI42tablebody"/>
              <w:keepNext/>
              <w:spacing w:line="240" w:lineRule="auto" w:before="30" w:after="30"/>
              <w:jc w:val="center"/>
            </w:pPr>
            <w:r>
              <w:rPr>
                <w:b w:val="0"/>
                <w:i w:val="0"/>
                <w:sz w:val="14"/>
              </w:rPr>
              <w:t>2.110***</w:t>
            </w:r>
          </w:p>
        </w:tc>
        <w:tc>
          <w:tcPr>
            <w:tcW w:type="dxa" w:w="994"/>
          </w:tcPr>
          <w:p>
            <w:pPr>
              <w:pStyle w:val="MDPI42tablebody"/>
              <w:keepNext/>
              <w:spacing w:line="240" w:lineRule="auto" w:before="30" w:after="30"/>
              <w:jc w:val="center"/>
            </w:pPr>
            <w:r>
              <w:rPr>
                <w:b w:val="0"/>
                <w:i w:val="0"/>
                <w:sz w:val="14"/>
              </w:rPr>
              <w:t>(0.140)</w:t>
            </w:r>
          </w:p>
        </w:tc>
        <w:tc>
          <w:tcPr>
            <w:tcW w:type="dxa" w:w="1203"/>
          </w:tcPr>
          <w:p>
            <w:pPr>
              <w:pStyle w:val="MDPI42tablebody"/>
              <w:keepNext/>
              <w:spacing w:line="240" w:lineRule="auto" w:before="30" w:after="30"/>
              <w:jc w:val="center"/>
            </w:pPr>
            <w:r>
              <w:rPr>
                <w:b w:val="0"/>
                <w:i w:val="0"/>
                <w:sz w:val="14"/>
              </w:rPr>
              <w:t>−0.692***</w:t>
            </w:r>
          </w:p>
        </w:tc>
        <w:tc>
          <w:tcPr>
            <w:tcW w:type="dxa" w:w="994"/>
          </w:tcPr>
          <w:p>
            <w:pPr>
              <w:pStyle w:val="MDPI42tablebody"/>
              <w:keepNext/>
              <w:spacing w:line="240" w:lineRule="auto" w:before="30" w:after="30"/>
              <w:jc w:val="center"/>
            </w:pPr>
            <w:r>
              <w:rPr>
                <w:b w:val="0"/>
                <w:i w:val="0"/>
                <w:sz w:val="14"/>
              </w:rPr>
              <w:t>(0.045)</w:t>
            </w:r>
          </w:p>
        </w:tc>
        <w:tc>
          <w:tcPr>
            <w:tcW w:type="dxa" w:w="1255"/>
          </w:tcPr>
          <w:p>
            <w:pPr>
              <w:pStyle w:val="MDPI42tablebody"/>
              <w:keepNext/>
              <w:spacing w:line="240" w:lineRule="auto" w:before="30" w:after="30"/>
              <w:jc w:val="center"/>
            </w:pPr>
            <w:r>
              <w:rPr>
                <w:b w:val="0"/>
                <w:i w:val="0"/>
                <w:sz w:val="14"/>
              </w:rPr>
              <w:t>2.132</w:t>
            </w:r>
          </w:p>
        </w:tc>
        <w:tc>
          <w:tcPr>
            <w:tcW w:type="dxa" w:w="941"/>
          </w:tcPr>
          <w:p>
            <w:pPr>
              <w:pStyle w:val="MDPI42tablebody"/>
              <w:keepNext/>
              <w:spacing w:line="240" w:lineRule="auto" w:before="30" w:after="30"/>
              <w:jc w:val="center"/>
            </w:pPr>
            <w:r>
              <w:rPr>
                <w:b w:val="0"/>
                <w:i w:val="0"/>
                <w:sz w:val="14"/>
              </w:rPr>
              <w:t>14.22</w:t>
            </w:r>
          </w:p>
        </w:tc>
        <w:tc>
          <w:tcPr>
            <w:tcW w:type="dxa" w:w="732"/>
          </w:tcPr>
          <w:p>
            <w:pPr>
              <w:pStyle w:val="MDPI42tablebody"/>
              <w:keepNext/>
              <w:spacing w:line="240" w:lineRule="auto" w:before="30" w:after="30"/>
              <w:jc w:val="center"/>
            </w:pPr>
            <w:r>
              <w:rPr>
                <w:b w:val="0"/>
                <w:i w:val="0"/>
                <w:sz w:val="14"/>
              </w:rPr>
              <w:t>27,320</w:t>
            </w:r>
          </w:p>
        </w:tc>
      </w:tr>
      <w:tr>
        <w:trPr>
          <w:cantSplit/>
        </w:trPr>
        <w:tc>
          <w:tcPr>
            <w:tcW w:type="dxa" w:w="3139"/>
          </w:tcPr>
          <w:p>
            <w:pPr>
              <w:pStyle w:val="MDPI42tablebody"/>
              <w:keepNext/>
              <w:spacing w:line="240" w:lineRule="auto" w:before="30" w:after="30"/>
              <w:jc w:val="left"/>
            </w:pPr>
            <w:r>
              <w:rPr>
                <w:b w:val="0"/>
                <w:i w:val="0"/>
                <w:sz w:val="14"/>
              </w:rPr>
              <w:t>(4) Two-way clustered standard errors</w:t>
            </w:r>
          </w:p>
        </w:tc>
        <w:tc>
          <w:tcPr>
            <w:tcW w:type="dxa" w:w="1203"/>
          </w:tcPr>
          <w:p>
            <w:pPr>
              <w:pStyle w:val="MDPI42tablebody"/>
              <w:keepNext/>
              <w:spacing w:line="240" w:lineRule="auto" w:before="30" w:after="30"/>
              <w:jc w:val="center"/>
            </w:pPr>
            <w:r>
              <w:rPr>
                <w:b w:val="0"/>
                <w:i w:val="0"/>
                <w:sz w:val="14"/>
              </w:rPr>
              <w:t>2.952***</w:t>
            </w:r>
          </w:p>
        </w:tc>
        <w:tc>
          <w:tcPr>
            <w:tcW w:type="dxa" w:w="994"/>
          </w:tcPr>
          <w:p>
            <w:pPr>
              <w:pStyle w:val="MDPI42tablebody"/>
              <w:keepNext/>
              <w:spacing w:line="240" w:lineRule="auto" w:before="30" w:after="30"/>
              <w:jc w:val="center"/>
            </w:pPr>
            <w:r>
              <w:rPr>
                <w:b w:val="0"/>
                <w:i w:val="0"/>
                <w:sz w:val="14"/>
              </w:rPr>
              <w:t>(0.160)</w:t>
            </w:r>
          </w:p>
        </w:tc>
        <w:tc>
          <w:tcPr>
            <w:tcW w:type="dxa" w:w="1203"/>
          </w:tcPr>
          <w:p>
            <w:pPr>
              <w:pStyle w:val="MDPI42tablebody"/>
              <w:keepNext/>
              <w:spacing w:line="240" w:lineRule="auto" w:before="30" w:after="30"/>
              <w:jc w:val="center"/>
            </w:pPr>
            <w:r>
              <w:rPr>
                <w:b w:val="0"/>
                <w:i w:val="0"/>
                <w:sz w:val="14"/>
              </w:rPr>
              <w:t>−0.692***</w:t>
            </w:r>
          </w:p>
        </w:tc>
        <w:tc>
          <w:tcPr>
            <w:tcW w:type="dxa" w:w="994"/>
          </w:tcPr>
          <w:p>
            <w:pPr>
              <w:pStyle w:val="MDPI42tablebody"/>
              <w:keepNext/>
              <w:spacing w:line="240" w:lineRule="auto" w:before="30" w:after="30"/>
              <w:jc w:val="center"/>
            </w:pPr>
            <w:r>
              <w:rPr>
                <w:b w:val="0"/>
                <w:i w:val="0"/>
                <w:sz w:val="14"/>
              </w:rPr>
              <w:t>(0.036)</w:t>
            </w:r>
          </w:p>
        </w:tc>
        <w:tc>
          <w:tcPr>
            <w:tcW w:type="dxa" w:w="1255"/>
          </w:tcPr>
          <w:p>
            <w:pPr>
              <w:pStyle w:val="MDPI42tablebody"/>
              <w:keepNext/>
              <w:spacing w:line="240" w:lineRule="auto" w:before="30" w:after="30"/>
              <w:jc w:val="center"/>
            </w:pPr>
            <w:r>
              <w:rPr>
                <w:b w:val="0"/>
                <w:i w:val="0"/>
                <w:sz w:val="14"/>
              </w:rPr>
              <w:t>2.132</w:t>
            </w:r>
          </w:p>
        </w:tc>
        <w:tc>
          <w:tcPr>
            <w:tcW w:type="dxa" w:w="941"/>
          </w:tcPr>
          <w:p>
            <w:pPr>
              <w:pStyle w:val="MDPI42tablebody"/>
              <w:keepNext/>
              <w:spacing w:line="240" w:lineRule="auto" w:before="30" w:after="30"/>
              <w:jc w:val="center"/>
            </w:pPr>
            <w:r>
              <w:rPr>
                <w:b w:val="0"/>
                <w:i w:val="0"/>
                <w:sz w:val="14"/>
              </w:rPr>
              <w:t>18.15</w:t>
            </w:r>
          </w:p>
        </w:tc>
        <w:tc>
          <w:tcPr>
            <w:tcW w:type="dxa" w:w="732"/>
          </w:tcPr>
          <w:p>
            <w:pPr>
              <w:pStyle w:val="MDPI42tablebody"/>
              <w:keepNext/>
              <w:spacing w:line="240" w:lineRule="auto" w:before="30" w:after="30"/>
              <w:jc w:val="center"/>
            </w:pPr>
            <w:r>
              <w:rPr>
                <w:b w:val="0"/>
                <w:i w:val="0"/>
                <w:sz w:val="14"/>
              </w:rPr>
              <w:t>27,320</w:t>
            </w:r>
          </w:p>
        </w:tc>
      </w:tr>
      <w:tr>
        <w:trPr>
          <w:cantSplit/>
        </w:trPr>
        <w:tc>
          <w:tcPr>
            <w:tcW w:type="dxa" w:w="3139"/>
          </w:tcPr>
          <w:p>
            <w:pPr>
              <w:pStyle w:val="MDPI42tablebody"/>
              <w:keepNext/>
              <w:spacing w:line="240" w:lineRule="auto" w:before="30" w:after="30"/>
              <w:jc w:val="left"/>
            </w:pPr>
            <w:r>
              <w:rPr>
                <w:b w:val="0"/>
                <w:i w:val="0"/>
                <w:sz w:val="14"/>
              </w:rPr>
              <w:t>(5) Excluding 2020</w:t>
            </w:r>
          </w:p>
        </w:tc>
        <w:tc>
          <w:tcPr>
            <w:tcW w:type="dxa" w:w="1203"/>
          </w:tcPr>
          <w:p>
            <w:pPr>
              <w:pStyle w:val="MDPI42tablebody"/>
              <w:keepNext/>
              <w:spacing w:line="240" w:lineRule="auto" w:before="30" w:after="30"/>
              <w:jc w:val="center"/>
            </w:pPr>
            <w:r>
              <w:rPr>
                <w:b w:val="0"/>
                <w:i w:val="0"/>
                <w:sz w:val="14"/>
              </w:rPr>
              <w:t>2.973***</w:t>
            </w:r>
          </w:p>
        </w:tc>
        <w:tc>
          <w:tcPr>
            <w:tcW w:type="dxa" w:w="994"/>
          </w:tcPr>
          <w:p>
            <w:pPr>
              <w:pStyle w:val="MDPI42tablebody"/>
              <w:keepNext/>
              <w:spacing w:line="240" w:lineRule="auto" w:before="30" w:after="30"/>
              <w:jc w:val="center"/>
            </w:pPr>
            <w:r>
              <w:rPr>
                <w:b w:val="0"/>
                <w:i w:val="0"/>
                <w:sz w:val="14"/>
              </w:rPr>
              <w:t>(0.195)</w:t>
            </w:r>
          </w:p>
        </w:tc>
        <w:tc>
          <w:tcPr>
            <w:tcW w:type="dxa" w:w="1203"/>
          </w:tcPr>
          <w:p>
            <w:pPr>
              <w:pStyle w:val="MDPI42tablebody"/>
              <w:keepNext/>
              <w:spacing w:line="240" w:lineRule="auto" w:before="30" w:after="30"/>
              <w:jc w:val="center"/>
            </w:pPr>
            <w:r>
              <w:rPr>
                <w:b w:val="0"/>
                <w:i w:val="0"/>
                <w:sz w:val="14"/>
              </w:rPr>
              <w:t>−0.697***</w:t>
            </w:r>
          </w:p>
        </w:tc>
        <w:tc>
          <w:tcPr>
            <w:tcW w:type="dxa" w:w="994"/>
          </w:tcPr>
          <w:p>
            <w:pPr>
              <w:pStyle w:val="MDPI42tablebody"/>
              <w:keepNext/>
              <w:spacing w:line="240" w:lineRule="auto" w:before="30" w:after="30"/>
              <w:jc w:val="center"/>
            </w:pPr>
            <w:r>
              <w:rPr>
                <w:b w:val="0"/>
                <w:i w:val="0"/>
                <w:sz w:val="14"/>
              </w:rPr>
              <w:t>(0.046)</w:t>
            </w:r>
          </w:p>
        </w:tc>
        <w:tc>
          <w:tcPr>
            <w:tcW w:type="dxa" w:w="1255"/>
          </w:tcPr>
          <w:p>
            <w:pPr>
              <w:pStyle w:val="MDPI42tablebody"/>
              <w:keepNext/>
              <w:spacing w:line="240" w:lineRule="auto" w:before="30" w:after="30"/>
              <w:jc w:val="center"/>
            </w:pPr>
            <w:r>
              <w:rPr>
                <w:b w:val="0"/>
                <w:i w:val="0"/>
                <w:sz w:val="14"/>
              </w:rPr>
              <w:t>2.134</w:t>
            </w:r>
          </w:p>
        </w:tc>
        <w:tc>
          <w:tcPr>
            <w:tcW w:type="dxa" w:w="941"/>
          </w:tcPr>
          <w:p>
            <w:pPr>
              <w:pStyle w:val="MDPI42tablebody"/>
              <w:keepNext/>
              <w:spacing w:line="240" w:lineRule="auto" w:before="30" w:after="30"/>
              <w:jc w:val="center"/>
            </w:pPr>
            <w:r>
              <w:rPr>
                <w:b w:val="0"/>
                <w:i w:val="0"/>
                <w:sz w:val="14"/>
              </w:rPr>
              <w:t>13.81</w:t>
            </w:r>
          </w:p>
        </w:tc>
        <w:tc>
          <w:tcPr>
            <w:tcW w:type="dxa" w:w="732"/>
          </w:tcPr>
          <w:p>
            <w:pPr>
              <w:pStyle w:val="MDPI42tablebody"/>
              <w:keepNext/>
              <w:spacing w:line="240" w:lineRule="auto" w:before="30" w:after="30"/>
              <w:jc w:val="center"/>
            </w:pPr>
            <w:r>
              <w:rPr>
                <w:b w:val="0"/>
                <w:i w:val="0"/>
                <w:sz w:val="14"/>
              </w:rPr>
              <w:t>24,592</w:t>
            </w:r>
          </w:p>
        </w:tc>
      </w:tr>
      <w:tr>
        <w:trPr>
          <w:cantSplit/>
        </w:trPr>
        <w:tc>
          <w:tcPr>
            <w:tcW w:type="dxa" w:w="3139"/>
          </w:tcPr>
          <w:p>
            <w:pPr>
              <w:pStyle w:val="MDPI42tablebody"/>
              <w:keepNext/>
              <w:spacing w:line="240" w:lineRule="auto" w:before="30" w:after="30"/>
              <w:jc w:val="left"/>
            </w:pPr>
            <w:r>
              <w:rPr>
                <w:b w:val="0"/>
                <w:i w:val="0"/>
                <w:sz w:val="14"/>
              </w:rPr>
              <w:t>(6) Post-shock years only</w:t>
            </w:r>
          </w:p>
        </w:tc>
        <w:tc>
          <w:tcPr>
            <w:tcW w:type="dxa" w:w="1203"/>
          </w:tcPr>
          <w:p>
            <w:pPr>
              <w:pStyle w:val="MDPI42tablebody"/>
              <w:keepNext/>
              <w:spacing w:line="240" w:lineRule="auto" w:before="30" w:after="30"/>
              <w:jc w:val="center"/>
            </w:pPr>
            <w:r>
              <w:rPr>
                <w:b w:val="0"/>
                <w:i w:val="0"/>
                <w:sz w:val="14"/>
              </w:rPr>
              <w:t>2.939***</w:t>
            </w:r>
          </w:p>
        </w:tc>
        <w:tc>
          <w:tcPr>
            <w:tcW w:type="dxa" w:w="994"/>
          </w:tcPr>
          <w:p>
            <w:pPr>
              <w:pStyle w:val="MDPI42tablebody"/>
              <w:keepNext/>
              <w:spacing w:line="240" w:lineRule="auto" w:before="30" w:after="30"/>
              <w:jc w:val="center"/>
            </w:pPr>
            <w:r>
              <w:rPr>
                <w:b w:val="0"/>
                <w:i w:val="0"/>
                <w:sz w:val="14"/>
              </w:rPr>
              <w:t>(0.327)</w:t>
            </w:r>
          </w:p>
        </w:tc>
        <w:tc>
          <w:tcPr>
            <w:tcW w:type="dxa" w:w="1203"/>
          </w:tcPr>
          <w:p>
            <w:pPr>
              <w:pStyle w:val="MDPI42tablebody"/>
              <w:keepNext/>
              <w:spacing w:line="240" w:lineRule="auto" w:before="30" w:after="30"/>
              <w:jc w:val="center"/>
            </w:pPr>
            <w:r>
              <w:rPr>
                <w:b w:val="0"/>
                <w:i w:val="0"/>
                <w:sz w:val="14"/>
              </w:rPr>
              <w:t>−0.723***</w:t>
            </w:r>
          </w:p>
        </w:tc>
        <w:tc>
          <w:tcPr>
            <w:tcW w:type="dxa" w:w="994"/>
          </w:tcPr>
          <w:p>
            <w:pPr>
              <w:pStyle w:val="MDPI42tablebody"/>
              <w:keepNext/>
              <w:spacing w:line="240" w:lineRule="auto" w:before="30" w:after="30"/>
              <w:jc w:val="center"/>
            </w:pPr>
            <w:r>
              <w:rPr>
                <w:b w:val="0"/>
                <w:i w:val="0"/>
                <w:sz w:val="14"/>
              </w:rPr>
              <w:t>(0.066)</w:t>
            </w:r>
          </w:p>
        </w:tc>
        <w:tc>
          <w:tcPr>
            <w:tcW w:type="dxa" w:w="1255"/>
          </w:tcPr>
          <w:p>
            <w:pPr>
              <w:pStyle w:val="MDPI42tablebody"/>
              <w:keepNext/>
              <w:spacing w:line="240" w:lineRule="auto" w:before="30" w:after="30"/>
              <w:jc w:val="center"/>
            </w:pPr>
            <w:r>
              <w:rPr>
                <w:b w:val="0"/>
                <w:i w:val="0"/>
                <w:sz w:val="14"/>
              </w:rPr>
              <w:t>2.034</w:t>
            </w:r>
          </w:p>
        </w:tc>
        <w:tc>
          <w:tcPr>
            <w:tcW w:type="dxa" w:w="941"/>
          </w:tcPr>
          <w:p>
            <w:pPr>
              <w:pStyle w:val="MDPI42tablebody"/>
              <w:keepNext/>
              <w:spacing w:line="240" w:lineRule="auto" w:before="30" w:after="30"/>
              <w:jc w:val="center"/>
            </w:pPr>
            <w:r>
              <w:rPr>
                <w:b w:val="0"/>
                <w:i w:val="0"/>
                <w:sz w:val="14"/>
              </w:rPr>
              <w:t>9.00</w:t>
            </w:r>
          </w:p>
        </w:tc>
        <w:tc>
          <w:tcPr>
            <w:tcW w:type="dxa" w:w="732"/>
          </w:tcPr>
          <w:p>
            <w:pPr>
              <w:pStyle w:val="MDPI42tablebody"/>
              <w:keepNext/>
              <w:spacing w:line="240" w:lineRule="auto" w:before="30" w:after="30"/>
              <w:jc w:val="center"/>
            </w:pPr>
            <w:r>
              <w:rPr>
                <w:b w:val="0"/>
                <w:i w:val="0"/>
                <w:sz w:val="14"/>
              </w:rPr>
              <w:t>8,414</w:t>
            </w:r>
          </w:p>
        </w:tc>
      </w:tr>
      <w:tr>
        <w:trPr>
          <w:cantSplit/>
        </w:trPr>
        <w:tc>
          <w:tcPr>
            <w:tcW w:type="dxa" w:w="3139"/>
          </w:tcPr>
          <w:p>
            <w:pPr>
              <w:pStyle w:val="MDPI42tablebody"/>
              <w:keepNext/>
              <w:spacing w:line="240" w:lineRule="auto" w:before="30" w:after="30"/>
              <w:jc w:val="left"/>
            </w:pPr>
            <w:r>
              <w:rPr>
                <w:b w:val="0"/>
                <w:i w:val="0"/>
                <w:sz w:val="14"/>
              </w:rPr>
              <w:t>(7) Winsorised at the 5th and 95th percentiles</w:t>
            </w:r>
          </w:p>
        </w:tc>
        <w:tc>
          <w:tcPr>
            <w:tcW w:type="dxa" w:w="1203"/>
          </w:tcPr>
          <w:p>
            <w:pPr>
              <w:pStyle w:val="MDPI42tablebody"/>
              <w:keepNext/>
              <w:spacing w:line="240" w:lineRule="auto" w:before="30" w:after="30"/>
              <w:jc w:val="center"/>
            </w:pPr>
            <w:r>
              <w:rPr>
                <w:b w:val="0"/>
                <w:i w:val="0"/>
                <w:sz w:val="14"/>
              </w:rPr>
              <w:t>2.704***</w:t>
            </w:r>
          </w:p>
        </w:tc>
        <w:tc>
          <w:tcPr>
            <w:tcW w:type="dxa" w:w="994"/>
          </w:tcPr>
          <w:p>
            <w:pPr>
              <w:pStyle w:val="MDPI42tablebody"/>
              <w:keepNext/>
              <w:spacing w:line="240" w:lineRule="auto" w:before="30" w:after="30"/>
              <w:jc w:val="center"/>
            </w:pPr>
            <w:r>
              <w:rPr>
                <w:b w:val="0"/>
                <w:i w:val="0"/>
                <w:sz w:val="14"/>
              </w:rPr>
              <w:t>(0.179)</w:t>
            </w:r>
          </w:p>
        </w:tc>
        <w:tc>
          <w:tcPr>
            <w:tcW w:type="dxa" w:w="1203"/>
          </w:tcPr>
          <w:p>
            <w:pPr>
              <w:pStyle w:val="MDPI42tablebody"/>
              <w:keepNext/>
              <w:spacing w:line="240" w:lineRule="auto" w:before="30" w:after="30"/>
              <w:jc w:val="center"/>
            </w:pPr>
            <w:r>
              <w:rPr>
                <w:b w:val="0"/>
                <w:i w:val="0"/>
                <w:sz w:val="14"/>
              </w:rPr>
              <w:t>−0.631***</w:t>
            </w:r>
          </w:p>
        </w:tc>
        <w:tc>
          <w:tcPr>
            <w:tcW w:type="dxa" w:w="994"/>
          </w:tcPr>
          <w:p>
            <w:pPr>
              <w:pStyle w:val="MDPI42tablebody"/>
              <w:keepNext/>
              <w:spacing w:line="240" w:lineRule="auto" w:before="30" w:after="30"/>
              <w:jc w:val="center"/>
            </w:pPr>
            <w:r>
              <w:rPr>
                <w:b w:val="0"/>
                <w:i w:val="0"/>
                <w:sz w:val="14"/>
              </w:rPr>
              <w:t>(0.042)</w:t>
            </w:r>
          </w:p>
        </w:tc>
        <w:tc>
          <w:tcPr>
            <w:tcW w:type="dxa" w:w="1255"/>
          </w:tcPr>
          <w:p>
            <w:pPr>
              <w:pStyle w:val="MDPI42tablebody"/>
              <w:keepNext/>
              <w:spacing w:line="240" w:lineRule="auto" w:before="30" w:after="30"/>
              <w:jc w:val="center"/>
            </w:pPr>
            <w:r>
              <w:rPr>
                <w:b w:val="0"/>
                <w:i w:val="0"/>
                <w:sz w:val="14"/>
              </w:rPr>
              <w:t>2.143</w:t>
            </w:r>
          </w:p>
        </w:tc>
        <w:tc>
          <w:tcPr>
            <w:tcW w:type="dxa" w:w="941"/>
          </w:tcPr>
          <w:p>
            <w:pPr>
              <w:pStyle w:val="MDPI42tablebody"/>
              <w:keepNext/>
              <w:spacing w:line="240" w:lineRule="auto" w:before="30" w:after="30"/>
              <w:jc w:val="center"/>
            </w:pPr>
            <w:r>
              <w:rPr>
                <w:b w:val="0"/>
                <w:i w:val="0"/>
                <w:sz w:val="14"/>
              </w:rPr>
              <w:t>13.55</w:t>
            </w:r>
          </w:p>
        </w:tc>
        <w:tc>
          <w:tcPr>
            <w:tcW w:type="dxa" w:w="732"/>
          </w:tcPr>
          <w:p>
            <w:pPr>
              <w:pStyle w:val="MDPI42tablebody"/>
              <w:keepNext/>
              <w:spacing w:line="240" w:lineRule="auto" w:before="30" w:after="30"/>
              <w:jc w:val="center"/>
            </w:pPr>
            <w:r>
              <w:rPr>
                <w:b w:val="0"/>
                <w:i w:val="0"/>
                <w:sz w:val="14"/>
              </w:rPr>
              <w:t>27,320</w:t>
            </w:r>
          </w:p>
        </w:tc>
      </w:tr>
      <w:tr>
        <w:trPr>
          <w:cantSplit/>
        </w:trPr>
        <w:tc>
          <w:tcPr>
            <w:tcW w:type="dxa" w:w="3139"/>
          </w:tcPr>
          <w:p>
            <w:pPr>
              <w:pStyle w:val="MDPI42tablebody"/>
              <w:spacing w:line="240" w:lineRule="auto" w:before="30" w:after="30"/>
              <w:jc w:val="left"/>
            </w:pPr>
            <w:r>
              <w:rPr>
                <w:b w:val="0"/>
                <w:i w:val="0"/>
                <w:sz w:val="14"/>
              </w:rPr>
              <w:t>(8) Balanced panel</w:t>
            </w:r>
          </w:p>
        </w:tc>
        <w:tc>
          <w:tcPr>
            <w:tcW w:type="dxa" w:w="1203"/>
          </w:tcPr>
          <w:p>
            <w:pPr>
              <w:pStyle w:val="MDPI42tablebody"/>
              <w:spacing w:line="240" w:lineRule="auto" w:before="30" w:after="30"/>
              <w:jc w:val="center"/>
            </w:pPr>
            <w:r>
              <w:rPr>
                <w:b w:val="0"/>
                <w:i w:val="0"/>
                <w:sz w:val="14"/>
              </w:rPr>
              <w:t>2.885***</w:t>
            </w:r>
          </w:p>
        </w:tc>
        <w:tc>
          <w:tcPr>
            <w:tcW w:type="dxa" w:w="994"/>
          </w:tcPr>
          <w:p>
            <w:pPr>
              <w:pStyle w:val="MDPI42tablebody"/>
              <w:spacing w:line="240" w:lineRule="auto" w:before="30" w:after="30"/>
              <w:jc w:val="center"/>
            </w:pPr>
            <w:r>
              <w:rPr>
                <w:b w:val="0"/>
                <w:i w:val="0"/>
                <w:sz w:val="14"/>
              </w:rPr>
              <w:t>(0.480)</w:t>
            </w:r>
          </w:p>
        </w:tc>
        <w:tc>
          <w:tcPr>
            <w:tcW w:type="dxa" w:w="1203"/>
          </w:tcPr>
          <w:p>
            <w:pPr>
              <w:pStyle w:val="MDPI42tablebody"/>
              <w:spacing w:line="240" w:lineRule="auto" w:before="30" w:after="30"/>
              <w:jc w:val="center"/>
            </w:pPr>
            <w:r>
              <w:rPr>
                <w:b w:val="0"/>
                <w:i w:val="0"/>
                <w:sz w:val="14"/>
              </w:rPr>
              <w:t>−0.642***</w:t>
            </w:r>
          </w:p>
        </w:tc>
        <w:tc>
          <w:tcPr>
            <w:tcW w:type="dxa" w:w="994"/>
          </w:tcPr>
          <w:p>
            <w:pPr>
              <w:pStyle w:val="MDPI42tablebody"/>
              <w:spacing w:line="240" w:lineRule="auto" w:before="30" w:after="30"/>
              <w:jc w:val="center"/>
            </w:pPr>
            <w:r>
              <w:rPr>
                <w:b w:val="0"/>
                <w:i w:val="0"/>
                <w:sz w:val="14"/>
              </w:rPr>
              <w:t>(0.120)</w:t>
            </w:r>
          </w:p>
        </w:tc>
        <w:tc>
          <w:tcPr>
            <w:tcW w:type="dxa" w:w="1255"/>
          </w:tcPr>
          <w:p>
            <w:pPr>
              <w:pStyle w:val="MDPI42tablebody"/>
              <w:spacing w:line="240" w:lineRule="auto" w:before="30" w:after="30"/>
              <w:jc w:val="center"/>
            </w:pPr>
            <w:r>
              <w:rPr>
                <w:b w:val="0"/>
                <w:i w:val="0"/>
                <w:sz w:val="14"/>
              </w:rPr>
              <w:t>2.247</w:t>
            </w:r>
          </w:p>
        </w:tc>
        <w:tc>
          <w:tcPr>
            <w:tcW w:type="dxa" w:w="941"/>
          </w:tcPr>
          <w:p>
            <w:pPr>
              <w:pStyle w:val="MDPI42tablebody"/>
              <w:spacing w:line="240" w:lineRule="auto" w:before="30" w:after="30"/>
              <w:jc w:val="center"/>
            </w:pPr>
            <w:r>
              <w:rPr>
                <w:b w:val="0"/>
                <w:i w:val="0"/>
                <w:sz w:val="14"/>
              </w:rPr>
              <w:t>4.50</w:t>
            </w:r>
          </w:p>
        </w:tc>
        <w:tc>
          <w:tcPr>
            <w:tcW w:type="dxa" w:w="732"/>
          </w:tcPr>
          <w:p>
            <w:pPr>
              <w:pStyle w:val="MDPI42tablebody"/>
              <w:spacing w:line="240" w:lineRule="auto" w:before="30" w:after="30"/>
              <w:jc w:val="center"/>
            </w:pPr>
            <w:r>
              <w:rPr>
                <w:b w:val="0"/>
                <w:i w:val="0"/>
                <w:sz w:val="14"/>
              </w:rPr>
              <w:t>3,870</w:t>
            </w:r>
          </w:p>
        </w:tc>
      </w:tr>
    </w:tbl>
    <w:p>
      <w:pPr>
        <w:pStyle w:val="MDPI43tablefooter"/>
        <w:spacing w:line="240" w:lineRule="auto" w:before="40" w:after="200"/>
        <w:ind w:left="2608" w:firstLine="0"/>
      </w:pPr>
      <w:r>
        <w:rPr>
          <w:sz w:val="16"/>
        </w:rPr>
        <w:t xml:space="preserve">Note: </w:t>
      </w:r>
      <w:r>
        <w:rPr>
          <w:b w:val="0"/>
          <w:i w:val="0"/>
          <w:sz w:val="16"/>
        </w:rPr>
        <w:t>Each row re-estimates Equation (3) with the modification described and reports the two coefficients, the extreme point and the Lind–Mehlum statistic. Standard errors are clustered at the firm level except in row (4). ***, ** and * denote significance at the 1%, 5% and 10% levels.</w:t>
      </w:r>
    </w:p>
    <w:p>
      <w:pPr>
        <w:pStyle w:val="MDPI31text"/>
      </w:pPr>
      <w:r>
        <w:rPr>
          <w:b w:val="0"/>
          <w:i w:val="0"/>
        </w:rPr>
        <w:t>Table 8 addresses endogeneity. Columns (1) and (2) report the two first stages. The Kleibergen–Paap rank Wald statistic is 99.1 for depth and 87.6 for its square, both far above the Stock–Yogo 10% maximal-size critical value, so neither endogenous regressor is weakly identified. The Hansen test does not reject the validity of the instruments (p = 0.350), and the Wu–Hausman test rejects exogeneity (p = 0.007), so the instrumental-variable estimates are both necessary and admissible. Column (3) reports them: 3.309 on depth and −0.895 on its square, an extreme point of 1.848 and a Lind–Mehlum p-value of 0.015. The shape survives; the peak moves left, which is what the confounding story predicts, since firms with favourable unobserved shocks both adopt more deeply and hire more young workers, biasing the ascending arm upward and the estimated peak outward.</w:t>
      </w:r>
    </w:p>
    <w:p>
      <w:pPr>
        <w:pStyle w:val="MDPI31text"/>
      </w:pPr>
      <w:r>
        <w:rPr>
          <w:b w:val="0"/>
          <w:i w:val="0"/>
        </w:rPr>
        <w:t>Columns (4) and (5) address selection on observables. Propensity-score matching pairs each deeply adopting firm with the nearest less-deeply adopting firm on pre-shock characteristics within a caliper of 0.02; after matching the largest absolute standardised bias across the covariates is 2.2%, far inside the conventional 10% threshold (Table A1). The matched-sample extreme point is 2.150 and the entropy-balanced extreme point 2.144, both very close to the baseline.</w:t>
      </w:r>
    </w:p>
    <w:p>
      <w:pPr>
        <w:pStyle w:val="MDPI41tablecaption"/>
        <w:keepNext/>
        <w:spacing w:after="60"/>
      </w:pPr>
      <w:r>
        <w:rPr>
          <w:b/>
          <w:sz w:val="18"/>
        </w:rPr>
        <w:t xml:space="preserve">Table 8. </w:t>
      </w:r>
      <w:r>
        <w:rPr>
          <w:b w:val="0"/>
          <w:i w:val="0"/>
          <w:sz w:val="18"/>
        </w:rPr>
        <w:t>Endogeneity: instrumental variables, propensity-score matching and entropy balancing.</w:t>
      </w:r>
    </w:p>
    <w:tbl>
      <w:tblPr>
        <w:tblStyle w:val="MDPI41threelinetable"/>
        <w:tblW w:w="10466"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CellMar>
          <w:top w:w="0" w:type="dxa"/>
          <w:left w:w="57" w:type="dxa"/>
          <w:bottom w:w="0" w:type="dxa"/>
          <w:right w:w="57" w:type="dxa"/>
        </w:tblCellMar>
        <w:tblLook w:firstColumn="1" w:firstRow="1" w:lastColumn="0" w:lastRow="0" w:noHBand="0" w:noVBand="1" w:val="04A0"/>
      </w:tblPr>
      <w:tblGrid>
        <w:gridCol w:w="2721"/>
        <w:gridCol w:w="1548"/>
        <w:gridCol w:w="1548"/>
        <w:gridCol w:w="1548"/>
        <w:gridCol w:w="1548"/>
        <w:gridCol w:w="1548"/>
      </w:tblGrid>
      <w:tr>
        <w:trPr>
          <w:cantSplit/>
          <w:tblHeader/>
        </w:trPr>
        <w:tc>
          <w:tcPr>
            <w:tcW w:type="dxa" w:w="2721"/>
            <w:tcBorders>
              <w:bottom w:val="single" w:sz="8" w:space="0" w:color="auto"/>
            </w:tcBorders>
          </w:tcPr>
          <w:p>
            <w:pPr>
              <w:pStyle w:val="MDPI42tablebody"/>
              <w:keepNext/>
              <w:spacing w:line="240" w:lineRule="auto" w:before="30" w:after="30"/>
              <w:jc w:val="center"/>
            </w:pPr>
            <w:r>
              <w:rPr>
                <w:b/>
                <w:i w:val="0"/>
                <w:sz w:val="15"/>
              </w:rPr>
              <w:t>Variable</w:t>
            </w:r>
          </w:p>
        </w:tc>
        <w:tc>
          <w:tcPr>
            <w:tcW w:type="dxa" w:w="1548"/>
            <w:tcBorders>
              <w:bottom w:val="single" w:sz="8" w:space="0" w:color="auto"/>
            </w:tcBorders>
          </w:tcPr>
          <w:p>
            <w:pPr>
              <w:pStyle w:val="MDPI42tablebody"/>
              <w:keepNext/>
              <w:spacing w:line="240" w:lineRule="auto" w:before="30" w:after="30"/>
              <w:jc w:val="center"/>
            </w:pPr>
            <w:r>
              <w:rPr>
                <w:b/>
                <w:i w:val="0"/>
                <w:sz w:val="15"/>
              </w:rPr>
              <w:t>(1) First stage</w:t>
            </w:r>
          </w:p>
        </w:tc>
        <w:tc>
          <w:tcPr>
            <w:tcW w:type="dxa" w:w="1548"/>
            <w:tcBorders>
              <w:bottom w:val="single" w:sz="8" w:space="0" w:color="auto"/>
            </w:tcBorders>
          </w:tcPr>
          <w:p>
            <w:pPr>
              <w:pStyle w:val="MDPI42tablebody"/>
              <w:keepNext/>
              <w:spacing w:line="240" w:lineRule="auto" w:before="30" w:after="30"/>
              <w:jc w:val="center"/>
            </w:pPr>
            <w:r>
              <w:rPr>
                <w:b/>
                <w:i w:val="0"/>
                <w:sz w:val="15"/>
              </w:rPr>
              <w:t>(2) First stage</w:t>
            </w:r>
          </w:p>
        </w:tc>
        <w:tc>
          <w:tcPr>
            <w:tcW w:type="dxa" w:w="1548"/>
            <w:tcBorders>
              <w:bottom w:val="single" w:sz="8" w:space="0" w:color="auto"/>
            </w:tcBorders>
          </w:tcPr>
          <w:p>
            <w:pPr>
              <w:pStyle w:val="MDPI42tablebody"/>
              <w:keepNext/>
              <w:spacing w:line="240" w:lineRule="auto" w:before="30" w:after="30"/>
              <w:jc w:val="center"/>
            </w:pPr>
            <w:r>
              <w:rPr>
                <w:b/>
                <w:i w:val="0"/>
                <w:sz w:val="15"/>
              </w:rPr>
              <w:t>(3) 2SLS</w:t>
            </w:r>
          </w:p>
        </w:tc>
        <w:tc>
          <w:tcPr>
            <w:tcW w:type="dxa" w:w="1548"/>
            <w:tcBorders>
              <w:bottom w:val="single" w:sz="8" w:space="0" w:color="auto"/>
            </w:tcBorders>
          </w:tcPr>
          <w:p>
            <w:pPr>
              <w:pStyle w:val="MDPI42tablebody"/>
              <w:keepNext/>
              <w:spacing w:line="240" w:lineRule="auto" w:before="30" w:after="30"/>
              <w:jc w:val="center"/>
            </w:pPr>
            <w:r>
              <w:rPr>
                <w:b/>
                <w:i w:val="0"/>
                <w:sz w:val="15"/>
              </w:rPr>
              <w:t>(4) PSM</w:t>
            </w:r>
          </w:p>
        </w:tc>
        <w:tc>
          <w:tcPr>
            <w:tcW w:type="dxa" w:w="1548"/>
            <w:tcBorders>
              <w:bottom w:val="single" w:sz="8" w:space="0" w:color="auto"/>
            </w:tcBorders>
          </w:tcPr>
          <w:p>
            <w:pPr>
              <w:pStyle w:val="MDPI42tablebody"/>
              <w:keepNext/>
              <w:spacing w:line="240" w:lineRule="auto" w:before="30" w:after="30"/>
              <w:jc w:val="center"/>
            </w:pPr>
            <w:r>
              <w:rPr>
                <w:b/>
                <w:i w:val="0"/>
                <w:sz w:val="15"/>
              </w:rPr>
              <w:t>(5) Entropy balancing</w:t>
            </w:r>
          </w:p>
        </w:tc>
      </w:tr>
      <w:tr>
        <w:trPr>
          <w:cantSplit/>
        </w:trPr>
        <w:tc>
          <w:tcPr>
            <w:tcW w:type="dxa" w:w="2721"/>
          </w:tcPr>
          <w:p>
            <w:pPr>
              <w:pStyle w:val="MDPI42tablebody"/>
              <w:keepNext/>
              <w:spacing w:line="240" w:lineRule="auto" w:before="30" w:after="30"/>
              <w:jc w:val="left"/>
            </w:pPr>
            <w:r>
              <w:rPr>
                <w:b w:val="0"/>
                <w:i/>
                <w:sz w:val="15"/>
              </w:rPr>
              <w:t>Dependent variable</w:t>
            </w:r>
          </w:p>
        </w:tc>
        <w:tc>
          <w:tcPr>
            <w:tcW w:type="dxa" w:w="1548"/>
          </w:tcPr>
          <w:p>
            <w:pPr>
              <w:pStyle w:val="MDPI42tablebody"/>
              <w:keepNext/>
              <w:spacing w:line="240" w:lineRule="auto" w:before="30" w:after="30"/>
              <w:jc w:val="center"/>
            </w:pPr>
            <w:r>
              <w:rPr>
                <w:b w:val="0"/>
                <w:i w:val="0"/>
                <w:sz w:val="15"/>
              </w:rPr>
              <w:t>AI</w:t>
            </w:r>
          </w:p>
        </w:tc>
        <w:tc>
          <w:tcPr>
            <w:tcW w:type="dxa" w:w="1548"/>
          </w:tcPr>
          <w:p>
            <w:pPr>
              <w:pStyle w:val="MDPI42tablebody"/>
              <w:keepNext/>
              <w:spacing w:line="240" w:lineRule="auto" w:before="30" w:after="30"/>
              <w:jc w:val="center"/>
            </w:pPr>
            <w:r>
              <w:rPr>
                <w:b w:val="0"/>
                <w:i w:val="0"/>
                <w:sz w:val="15"/>
              </w:rPr>
              <w:t>AI</w:t>
            </w:r>
            <w:r>
              <w:rPr>
                <w:b w:val="0"/>
                <w:i w:val="0"/>
                <w:sz w:val="15"/>
                <w:vertAlign w:val="superscript"/>
              </w:rPr>
              <w:t>2</w:t>
            </w:r>
          </w:p>
        </w:tc>
        <w:tc>
          <w:tcPr>
            <w:tcW w:type="dxa" w:w="1548"/>
          </w:tcPr>
          <w:p>
            <w:pPr>
              <w:pStyle w:val="MDPI42tablebody"/>
              <w:keepNext/>
              <w:spacing w:line="240" w:lineRule="auto" w:before="30" w:after="30"/>
              <w:jc w:val="center"/>
            </w:pPr>
            <w:r>
              <w:rPr>
                <w:b w:val="0"/>
                <w:i w:val="0"/>
                <w:sz w:val="15"/>
              </w:rPr>
              <w:t>Youth</w:t>
            </w:r>
          </w:p>
        </w:tc>
        <w:tc>
          <w:tcPr>
            <w:tcW w:type="dxa" w:w="1548"/>
          </w:tcPr>
          <w:p>
            <w:pPr>
              <w:pStyle w:val="MDPI42tablebody"/>
              <w:keepNext/>
              <w:spacing w:line="240" w:lineRule="auto" w:before="30" w:after="30"/>
              <w:jc w:val="center"/>
            </w:pPr>
            <w:r>
              <w:rPr>
                <w:b w:val="0"/>
                <w:i w:val="0"/>
                <w:sz w:val="15"/>
              </w:rPr>
              <w:t>Youth</w:t>
            </w:r>
          </w:p>
        </w:tc>
        <w:tc>
          <w:tcPr>
            <w:tcW w:type="dxa" w:w="1548"/>
          </w:tcPr>
          <w:p>
            <w:pPr>
              <w:pStyle w:val="MDPI42tablebody"/>
              <w:keepNext/>
              <w:spacing w:line="240" w:lineRule="auto" w:before="30" w:after="30"/>
              <w:jc w:val="center"/>
            </w:pPr>
            <w:r>
              <w:rPr>
                <w:b w:val="0"/>
                <w:i w:val="0"/>
                <w:sz w:val="15"/>
              </w:rPr>
              <w:t>Youth</w:t>
            </w:r>
          </w:p>
        </w:tc>
      </w:tr>
      <w:tr>
        <w:trPr>
          <w:cantSplit/>
        </w:trPr>
        <w:tc>
          <w:tcPr>
            <w:tcW w:type="dxa" w:w="2721"/>
          </w:tcPr>
          <w:p>
            <w:pPr>
              <w:pStyle w:val="MDPI42tablebody"/>
              <w:keepNext/>
              <w:spacing w:line="240" w:lineRule="auto" w:before="30" w:after="30"/>
              <w:jc w:val="left"/>
            </w:pPr>
            <w:r>
              <w:rPr>
                <w:b w:val="0"/>
                <w:i/>
                <w:sz w:val="15"/>
              </w:rPr>
              <w:t>IV</w:t>
            </w:r>
            <w:r>
              <w:rPr>
                <w:b w:val="0"/>
                <w:i/>
                <w:sz w:val="15"/>
                <w:vertAlign w:val="superscript"/>
              </w:rPr>
              <w:t>Phone</w:t>
            </w:r>
          </w:p>
        </w:tc>
        <w:tc>
          <w:tcPr>
            <w:tcW w:type="dxa" w:w="1548"/>
          </w:tcPr>
          <w:p>
            <w:pPr>
              <w:pStyle w:val="MDPI42tablebody"/>
              <w:keepNext/>
              <w:spacing w:line="240" w:lineRule="auto" w:before="30" w:after="30"/>
              <w:jc w:val="center"/>
            </w:pPr>
            <w:r>
              <w:rPr>
                <w:b w:val="0"/>
                <w:i w:val="0"/>
                <w:sz w:val="15"/>
              </w:rPr>
              <w:t>0.046</w:t>
            </w:r>
          </w:p>
        </w:tc>
        <w:tc>
          <w:tcPr>
            <w:tcW w:type="dxa" w:w="1548"/>
          </w:tcPr>
          <w:p>
            <w:pPr>
              <w:pStyle w:val="MDPI42tablebody"/>
              <w:keepNext/>
              <w:spacing w:line="240" w:lineRule="auto" w:before="30" w:after="30"/>
              <w:jc w:val="center"/>
            </w:pPr>
            <w:r>
              <w:rPr>
                <w:b w:val="0"/>
                <w:i w:val="0"/>
                <w:sz w:val="15"/>
              </w:rPr>
              <w:t>0.193</w:t>
            </w:r>
          </w:p>
        </w:tc>
        <w:tc>
          <w:tcPr>
            <w:tcW w:type="dxa" w:w="1548"/>
          </w:tcPr>
          <w:p>
            <w:pPr>
              <w:pStyle w:val="MDPI42tablebody"/>
              <w:keepNext/>
              <w:spacing w:line="240" w:lineRule="auto" w:before="30" w:after="30"/>
              <w:jc w:val="center"/>
            </w:pPr>
          </w:p>
        </w:tc>
        <w:tc>
          <w:tcPr>
            <w:tcW w:type="dxa" w:w="1548"/>
          </w:tcPr>
          <w:p>
            <w:pPr>
              <w:pStyle w:val="MDPI42tablebody"/>
              <w:keepNext/>
              <w:spacing w:line="240" w:lineRule="auto" w:before="30" w:after="30"/>
              <w:jc w:val="center"/>
            </w:pPr>
          </w:p>
        </w:tc>
        <w:tc>
          <w:tcPr>
            <w:tcW w:type="dxa" w:w="1548"/>
          </w:tcPr>
          <w:p>
            <w:pPr>
              <w:pStyle w:val="MDPI42tablebody"/>
              <w:keepNext/>
              <w:spacing w:line="240" w:lineRule="auto" w:before="30" w:after="30"/>
              <w:jc w:val="center"/>
            </w:pPr>
          </w:p>
        </w:tc>
      </w:tr>
      <w:tr>
        <w:trPr>
          <w:cantSplit/>
        </w:trPr>
        <w:tc>
          <w:tcPr>
            <w:tcW w:type="dxa" w:w="2721"/>
          </w:tcPr>
          <w:p>
            <w:pPr>
              <w:pStyle w:val="MDPI42tablebody"/>
              <w:keepNext/>
              <w:spacing w:line="240" w:lineRule="auto" w:before="30" w:after="30"/>
              <w:jc w:val="left"/>
            </w:pPr>
          </w:p>
        </w:tc>
        <w:tc>
          <w:tcPr>
            <w:tcW w:type="dxa" w:w="1548"/>
          </w:tcPr>
          <w:p>
            <w:pPr>
              <w:pStyle w:val="MDPI42tablebody"/>
              <w:keepNext/>
              <w:spacing w:line="240" w:lineRule="auto" w:before="30" w:after="30"/>
              <w:jc w:val="center"/>
            </w:pPr>
            <w:r>
              <w:rPr>
                <w:b w:val="0"/>
                <w:i w:val="0"/>
                <w:sz w:val="15"/>
              </w:rPr>
              <w:t>(0.034)</w:t>
            </w:r>
          </w:p>
        </w:tc>
        <w:tc>
          <w:tcPr>
            <w:tcW w:type="dxa" w:w="1548"/>
          </w:tcPr>
          <w:p>
            <w:pPr>
              <w:pStyle w:val="MDPI42tablebody"/>
              <w:keepNext/>
              <w:spacing w:line="240" w:lineRule="auto" w:before="30" w:after="30"/>
              <w:jc w:val="center"/>
            </w:pPr>
            <w:r>
              <w:rPr>
                <w:b w:val="0"/>
                <w:i w:val="0"/>
                <w:sz w:val="15"/>
              </w:rPr>
              <w:t>(0.162)</w:t>
            </w:r>
          </w:p>
        </w:tc>
        <w:tc>
          <w:tcPr>
            <w:tcW w:type="dxa" w:w="1548"/>
          </w:tcPr>
          <w:p>
            <w:pPr>
              <w:pStyle w:val="MDPI42tablebody"/>
              <w:keepNext/>
              <w:spacing w:line="240" w:lineRule="auto" w:before="30" w:after="30"/>
              <w:jc w:val="center"/>
            </w:pPr>
          </w:p>
        </w:tc>
        <w:tc>
          <w:tcPr>
            <w:tcW w:type="dxa" w:w="1548"/>
          </w:tcPr>
          <w:p>
            <w:pPr>
              <w:pStyle w:val="MDPI42tablebody"/>
              <w:keepNext/>
              <w:spacing w:line="240" w:lineRule="auto" w:before="30" w:after="30"/>
              <w:jc w:val="center"/>
            </w:pPr>
          </w:p>
        </w:tc>
        <w:tc>
          <w:tcPr>
            <w:tcW w:type="dxa" w:w="1548"/>
          </w:tcPr>
          <w:p>
            <w:pPr>
              <w:pStyle w:val="MDPI42tablebody"/>
              <w:keepNext/>
              <w:spacing w:line="240" w:lineRule="auto" w:before="30" w:after="30"/>
              <w:jc w:val="center"/>
            </w:pPr>
          </w:p>
        </w:tc>
      </w:tr>
      <w:tr>
        <w:trPr>
          <w:cantSplit/>
        </w:trPr>
        <w:tc>
          <w:tcPr>
            <w:tcW w:type="dxa" w:w="2721"/>
          </w:tcPr>
          <w:p>
            <w:pPr>
              <w:pStyle w:val="MDPI42tablebody"/>
              <w:keepNext/>
              <w:spacing w:line="240" w:lineRule="auto" w:before="30" w:after="30"/>
              <w:jc w:val="left"/>
            </w:pPr>
            <w:r>
              <w:rPr>
                <w:b w:val="0"/>
                <w:i/>
                <w:sz w:val="15"/>
              </w:rPr>
              <w:t>IV</w:t>
            </w:r>
            <w:r>
              <w:rPr>
                <w:b w:val="0"/>
                <w:i/>
                <w:sz w:val="15"/>
                <w:vertAlign w:val="superscript"/>
              </w:rPr>
              <w:t>Peer</w:t>
            </w:r>
          </w:p>
        </w:tc>
        <w:tc>
          <w:tcPr>
            <w:tcW w:type="dxa" w:w="1548"/>
          </w:tcPr>
          <w:p>
            <w:pPr>
              <w:pStyle w:val="MDPI42tablebody"/>
              <w:keepNext/>
              <w:spacing w:line="240" w:lineRule="auto" w:before="30" w:after="30"/>
              <w:jc w:val="center"/>
            </w:pPr>
            <w:r>
              <w:rPr>
                <w:b w:val="0"/>
                <w:i w:val="0"/>
                <w:sz w:val="15"/>
              </w:rPr>
              <w:t>0.230***</w:t>
            </w:r>
          </w:p>
        </w:tc>
        <w:tc>
          <w:tcPr>
            <w:tcW w:type="dxa" w:w="1548"/>
          </w:tcPr>
          <w:p>
            <w:pPr>
              <w:pStyle w:val="MDPI42tablebody"/>
              <w:keepNext/>
              <w:spacing w:line="240" w:lineRule="auto" w:before="30" w:after="30"/>
              <w:jc w:val="center"/>
            </w:pPr>
            <w:r>
              <w:rPr>
                <w:b w:val="0"/>
                <w:i w:val="0"/>
                <w:sz w:val="15"/>
              </w:rPr>
              <w:t>0.271</w:t>
            </w:r>
          </w:p>
        </w:tc>
        <w:tc>
          <w:tcPr>
            <w:tcW w:type="dxa" w:w="1548"/>
          </w:tcPr>
          <w:p>
            <w:pPr>
              <w:pStyle w:val="MDPI42tablebody"/>
              <w:keepNext/>
              <w:spacing w:line="240" w:lineRule="auto" w:before="30" w:after="30"/>
              <w:jc w:val="center"/>
            </w:pPr>
          </w:p>
        </w:tc>
        <w:tc>
          <w:tcPr>
            <w:tcW w:type="dxa" w:w="1548"/>
          </w:tcPr>
          <w:p>
            <w:pPr>
              <w:pStyle w:val="MDPI42tablebody"/>
              <w:keepNext/>
              <w:spacing w:line="240" w:lineRule="auto" w:before="30" w:after="30"/>
              <w:jc w:val="center"/>
            </w:pPr>
          </w:p>
        </w:tc>
        <w:tc>
          <w:tcPr>
            <w:tcW w:type="dxa" w:w="1548"/>
          </w:tcPr>
          <w:p>
            <w:pPr>
              <w:pStyle w:val="MDPI42tablebody"/>
              <w:keepNext/>
              <w:spacing w:line="240" w:lineRule="auto" w:before="30" w:after="30"/>
              <w:jc w:val="center"/>
            </w:pPr>
          </w:p>
        </w:tc>
      </w:tr>
      <w:tr>
        <w:trPr>
          <w:cantSplit/>
        </w:trPr>
        <w:tc>
          <w:tcPr>
            <w:tcW w:type="dxa" w:w="2721"/>
          </w:tcPr>
          <w:p>
            <w:pPr>
              <w:pStyle w:val="MDPI42tablebody"/>
              <w:keepNext/>
              <w:spacing w:line="240" w:lineRule="auto" w:before="30" w:after="30"/>
              <w:jc w:val="left"/>
            </w:pPr>
          </w:p>
        </w:tc>
        <w:tc>
          <w:tcPr>
            <w:tcW w:type="dxa" w:w="1548"/>
          </w:tcPr>
          <w:p>
            <w:pPr>
              <w:pStyle w:val="MDPI42tablebody"/>
              <w:keepNext/>
              <w:spacing w:line="240" w:lineRule="auto" w:before="30" w:after="30"/>
              <w:jc w:val="center"/>
            </w:pPr>
            <w:r>
              <w:rPr>
                <w:b w:val="0"/>
                <w:i w:val="0"/>
                <w:sz w:val="15"/>
              </w:rPr>
              <w:t>(0.057)</w:t>
            </w:r>
          </w:p>
        </w:tc>
        <w:tc>
          <w:tcPr>
            <w:tcW w:type="dxa" w:w="1548"/>
          </w:tcPr>
          <w:p>
            <w:pPr>
              <w:pStyle w:val="MDPI42tablebody"/>
              <w:keepNext/>
              <w:spacing w:line="240" w:lineRule="auto" w:before="30" w:after="30"/>
              <w:jc w:val="center"/>
            </w:pPr>
            <w:r>
              <w:rPr>
                <w:b w:val="0"/>
                <w:i w:val="0"/>
                <w:sz w:val="15"/>
              </w:rPr>
              <w:t>(0.260)</w:t>
            </w:r>
          </w:p>
        </w:tc>
        <w:tc>
          <w:tcPr>
            <w:tcW w:type="dxa" w:w="1548"/>
          </w:tcPr>
          <w:p>
            <w:pPr>
              <w:pStyle w:val="MDPI42tablebody"/>
              <w:keepNext/>
              <w:spacing w:line="240" w:lineRule="auto" w:before="30" w:after="30"/>
              <w:jc w:val="center"/>
            </w:pPr>
          </w:p>
        </w:tc>
        <w:tc>
          <w:tcPr>
            <w:tcW w:type="dxa" w:w="1548"/>
          </w:tcPr>
          <w:p>
            <w:pPr>
              <w:pStyle w:val="MDPI42tablebody"/>
              <w:keepNext/>
              <w:spacing w:line="240" w:lineRule="auto" w:before="30" w:after="30"/>
              <w:jc w:val="center"/>
            </w:pPr>
          </w:p>
        </w:tc>
        <w:tc>
          <w:tcPr>
            <w:tcW w:type="dxa" w:w="1548"/>
          </w:tcPr>
          <w:p>
            <w:pPr>
              <w:pStyle w:val="MDPI42tablebody"/>
              <w:keepNext/>
              <w:spacing w:line="240" w:lineRule="auto" w:before="30" w:after="30"/>
              <w:jc w:val="center"/>
            </w:pPr>
          </w:p>
        </w:tc>
      </w:tr>
      <w:tr>
        <w:trPr>
          <w:cantSplit/>
        </w:trPr>
        <w:tc>
          <w:tcPr>
            <w:tcW w:type="dxa" w:w="2721"/>
          </w:tcPr>
          <w:p>
            <w:pPr>
              <w:pStyle w:val="MDPI42tablebody"/>
              <w:keepNext/>
              <w:spacing w:line="240" w:lineRule="auto" w:before="30" w:after="30"/>
              <w:jc w:val="left"/>
            </w:pPr>
            <w:r>
              <w:rPr>
                <w:b w:val="0"/>
                <w:i/>
                <w:sz w:val="15"/>
              </w:rPr>
              <w:t>IV</w:t>
            </w:r>
            <w:r>
              <w:rPr>
                <w:b w:val="0"/>
                <w:i/>
                <w:sz w:val="15"/>
                <w:vertAlign w:val="superscript"/>
              </w:rPr>
              <w:t>Exp</w:t>
            </w:r>
          </w:p>
        </w:tc>
        <w:tc>
          <w:tcPr>
            <w:tcW w:type="dxa" w:w="1548"/>
          </w:tcPr>
          <w:p>
            <w:pPr>
              <w:pStyle w:val="MDPI42tablebody"/>
              <w:keepNext/>
              <w:spacing w:line="240" w:lineRule="auto" w:before="30" w:after="30"/>
              <w:jc w:val="center"/>
            </w:pPr>
            <w:r>
              <w:rPr>
                <w:b w:val="0"/>
                <w:i w:val="0"/>
                <w:sz w:val="15"/>
              </w:rPr>
              <w:t>0.449***</w:t>
            </w:r>
          </w:p>
        </w:tc>
        <w:tc>
          <w:tcPr>
            <w:tcW w:type="dxa" w:w="1548"/>
          </w:tcPr>
          <w:p>
            <w:pPr>
              <w:pStyle w:val="MDPI42tablebody"/>
              <w:keepNext/>
              <w:spacing w:line="240" w:lineRule="auto" w:before="30" w:after="30"/>
              <w:jc w:val="center"/>
            </w:pPr>
            <w:r>
              <w:rPr>
                <w:b w:val="0"/>
                <w:i w:val="0"/>
                <w:sz w:val="15"/>
              </w:rPr>
              <w:t>1.995***</w:t>
            </w:r>
          </w:p>
        </w:tc>
        <w:tc>
          <w:tcPr>
            <w:tcW w:type="dxa" w:w="1548"/>
          </w:tcPr>
          <w:p>
            <w:pPr>
              <w:pStyle w:val="MDPI42tablebody"/>
              <w:keepNext/>
              <w:spacing w:line="240" w:lineRule="auto" w:before="30" w:after="30"/>
              <w:jc w:val="center"/>
            </w:pPr>
          </w:p>
        </w:tc>
        <w:tc>
          <w:tcPr>
            <w:tcW w:type="dxa" w:w="1548"/>
          </w:tcPr>
          <w:p>
            <w:pPr>
              <w:pStyle w:val="MDPI42tablebody"/>
              <w:keepNext/>
              <w:spacing w:line="240" w:lineRule="auto" w:before="30" w:after="30"/>
              <w:jc w:val="center"/>
            </w:pPr>
          </w:p>
        </w:tc>
        <w:tc>
          <w:tcPr>
            <w:tcW w:type="dxa" w:w="1548"/>
          </w:tcPr>
          <w:p>
            <w:pPr>
              <w:pStyle w:val="MDPI42tablebody"/>
              <w:keepNext/>
              <w:spacing w:line="240" w:lineRule="auto" w:before="30" w:after="30"/>
              <w:jc w:val="center"/>
            </w:pPr>
          </w:p>
        </w:tc>
      </w:tr>
      <w:tr>
        <w:trPr>
          <w:cantSplit/>
        </w:trPr>
        <w:tc>
          <w:tcPr>
            <w:tcW w:type="dxa" w:w="2721"/>
          </w:tcPr>
          <w:p>
            <w:pPr>
              <w:pStyle w:val="MDPI42tablebody"/>
              <w:keepNext/>
              <w:spacing w:line="240" w:lineRule="auto" w:before="30" w:after="30"/>
              <w:jc w:val="left"/>
            </w:pPr>
          </w:p>
        </w:tc>
        <w:tc>
          <w:tcPr>
            <w:tcW w:type="dxa" w:w="1548"/>
          </w:tcPr>
          <w:p>
            <w:pPr>
              <w:pStyle w:val="MDPI42tablebody"/>
              <w:keepNext/>
              <w:spacing w:line="240" w:lineRule="auto" w:before="30" w:after="30"/>
              <w:jc w:val="center"/>
            </w:pPr>
            <w:r>
              <w:rPr>
                <w:b w:val="0"/>
                <w:i w:val="0"/>
                <w:sz w:val="15"/>
              </w:rPr>
              <w:t>(0.030)</w:t>
            </w:r>
          </w:p>
        </w:tc>
        <w:tc>
          <w:tcPr>
            <w:tcW w:type="dxa" w:w="1548"/>
          </w:tcPr>
          <w:p>
            <w:pPr>
              <w:pStyle w:val="MDPI42tablebody"/>
              <w:keepNext/>
              <w:spacing w:line="240" w:lineRule="auto" w:before="30" w:after="30"/>
              <w:jc w:val="center"/>
            </w:pPr>
            <w:r>
              <w:rPr>
                <w:b w:val="0"/>
                <w:i w:val="0"/>
                <w:sz w:val="15"/>
              </w:rPr>
              <w:t>(0.149)</w:t>
            </w:r>
          </w:p>
        </w:tc>
        <w:tc>
          <w:tcPr>
            <w:tcW w:type="dxa" w:w="1548"/>
          </w:tcPr>
          <w:p>
            <w:pPr>
              <w:pStyle w:val="MDPI42tablebody"/>
              <w:keepNext/>
              <w:spacing w:line="240" w:lineRule="auto" w:before="30" w:after="30"/>
              <w:jc w:val="center"/>
            </w:pPr>
          </w:p>
        </w:tc>
        <w:tc>
          <w:tcPr>
            <w:tcW w:type="dxa" w:w="1548"/>
          </w:tcPr>
          <w:p>
            <w:pPr>
              <w:pStyle w:val="MDPI42tablebody"/>
              <w:keepNext/>
              <w:spacing w:line="240" w:lineRule="auto" w:before="30" w:after="30"/>
              <w:jc w:val="center"/>
            </w:pPr>
          </w:p>
        </w:tc>
        <w:tc>
          <w:tcPr>
            <w:tcW w:type="dxa" w:w="1548"/>
          </w:tcPr>
          <w:p>
            <w:pPr>
              <w:pStyle w:val="MDPI42tablebody"/>
              <w:keepNext/>
              <w:spacing w:line="240" w:lineRule="auto" w:before="30" w:after="30"/>
              <w:jc w:val="center"/>
            </w:pPr>
          </w:p>
        </w:tc>
      </w:tr>
      <w:tr>
        <w:trPr>
          <w:cantSplit/>
        </w:trPr>
        <w:tc>
          <w:tcPr>
            <w:tcW w:type="dxa" w:w="2721"/>
          </w:tcPr>
          <w:p>
            <w:pPr>
              <w:pStyle w:val="MDPI42tablebody"/>
              <w:keepNext/>
              <w:spacing w:line="240" w:lineRule="auto" w:before="30" w:after="30"/>
              <w:jc w:val="left"/>
            </w:pPr>
            <w:r>
              <w:rPr>
                <w:b w:val="0"/>
                <w:i/>
                <w:sz w:val="15"/>
              </w:rPr>
              <w:t>(IV</w:t>
            </w:r>
            <w:r>
              <w:rPr>
                <w:b w:val="0"/>
                <w:i/>
                <w:sz w:val="15"/>
                <w:vertAlign w:val="superscript"/>
              </w:rPr>
              <w:t>Phone</w:t>
            </w:r>
            <w:r>
              <w:rPr>
                <w:b w:val="0"/>
                <w:i/>
                <w:sz w:val="15"/>
              </w:rPr>
              <w:t>)</w:t>
            </w:r>
            <w:r>
              <w:rPr>
                <w:b w:val="0"/>
                <w:i/>
                <w:sz w:val="15"/>
                <w:vertAlign w:val="superscript"/>
              </w:rPr>
              <w:t>2</w:t>
            </w:r>
          </w:p>
        </w:tc>
        <w:tc>
          <w:tcPr>
            <w:tcW w:type="dxa" w:w="1548"/>
          </w:tcPr>
          <w:p>
            <w:pPr>
              <w:pStyle w:val="MDPI42tablebody"/>
              <w:keepNext/>
              <w:spacing w:line="240" w:lineRule="auto" w:before="30" w:after="30"/>
              <w:jc w:val="center"/>
            </w:pPr>
            <w:r>
              <w:rPr>
                <w:b w:val="0"/>
                <w:i w:val="0"/>
                <w:sz w:val="15"/>
              </w:rPr>
              <w:t>−0.041</w:t>
            </w:r>
          </w:p>
        </w:tc>
        <w:tc>
          <w:tcPr>
            <w:tcW w:type="dxa" w:w="1548"/>
          </w:tcPr>
          <w:p>
            <w:pPr>
              <w:pStyle w:val="MDPI42tablebody"/>
              <w:keepNext/>
              <w:spacing w:line="240" w:lineRule="auto" w:before="30" w:after="30"/>
              <w:jc w:val="center"/>
            </w:pPr>
            <w:r>
              <w:rPr>
                <w:b w:val="0"/>
                <w:i w:val="0"/>
                <w:sz w:val="15"/>
              </w:rPr>
              <w:t>−0.226*</w:t>
            </w:r>
          </w:p>
        </w:tc>
        <w:tc>
          <w:tcPr>
            <w:tcW w:type="dxa" w:w="1548"/>
          </w:tcPr>
          <w:p>
            <w:pPr>
              <w:pStyle w:val="MDPI42tablebody"/>
              <w:keepNext/>
              <w:spacing w:line="240" w:lineRule="auto" w:before="30" w:after="30"/>
              <w:jc w:val="center"/>
            </w:pPr>
          </w:p>
        </w:tc>
        <w:tc>
          <w:tcPr>
            <w:tcW w:type="dxa" w:w="1548"/>
          </w:tcPr>
          <w:p>
            <w:pPr>
              <w:pStyle w:val="MDPI42tablebody"/>
              <w:keepNext/>
              <w:spacing w:line="240" w:lineRule="auto" w:before="30" w:after="30"/>
              <w:jc w:val="center"/>
            </w:pPr>
          </w:p>
        </w:tc>
        <w:tc>
          <w:tcPr>
            <w:tcW w:type="dxa" w:w="1548"/>
          </w:tcPr>
          <w:p>
            <w:pPr>
              <w:pStyle w:val="MDPI42tablebody"/>
              <w:keepNext/>
              <w:spacing w:line="240" w:lineRule="auto" w:before="30" w:after="30"/>
              <w:jc w:val="center"/>
            </w:pPr>
          </w:p>
        </w:tc>
      </w:tr>
      <w:tr>
        <w:trPr>
          <w:cantSplit/>
        </w:trPr>
        <w:tc>
          <w:tcPr>
            <w:tcW w:type="dxa" w:w="2721"/>
          </w:tcPr>
          <w:p>
            <w:pPr>
              <w:pStyle w:val="MDPI42tablebody"/>
              <w:keepNext/>
              <w:spacing w:line="240" w:lineRule="auto" w:before="30" w:after="30"/>
              <w:jc w:val="left"/>
            </w:pPr>
          </w:p>
        </w:tc>
        <w:tc>
          <w:tcPr>
            <w:tcW w:type="dxa" w:w="1548"/>
          </w:tcPr>
          <w:p>
            <w:pPr>
              <w:pStyle w:val="MDPI42tablebody"/>
              <w:keepNext/>
              <w:spacing w:line="240" w:lineRule="auto" w:before="30" w:after="30"/>
              <w:jc w:val="center"/>
            </w:pPr>
            <w:r>
              <w:rPr>
                <w:b w:val="0"/>
                <w:i w:val="0"/>
                <w:sz w:val="15"/>
              </w:rPr>
              <w:t>(0.026)</w:t>
            </w:r>
          </w:p>
        </w:tc>
        <w:tc>
          <w:tcPr>
            <w:tcW w:type="dxa" w:w="1548"/>
          </w:tcPr>
          <w:p>
            <w:pPr>
              <w:pStyle w:val="MDPI42tablebody"/>
              <w:keepNext/>
              <w:spacing w:line="240" w:lineRule="auto" w:before="30" w:after="30"/>
              <w:jc w:val="center"/>
            </w:pPr>
            <w:r>
              <w:rPr>
                <w:b w:val="0"/>
                <w:i w:val="0"/>
                <w:sz w:val="15"/>
              </w:rPr>
              <w:t>(0.132)</w:t>
            </w:r>
          </w:p>
        </w:tc>
        <w:tc>
          <w:tcPr>
            <w:tcW w:type="dxa" w:w="1548"/>
          </w:tcPr>
          <w:p>
            <w:pPr>
              <w:pStyle w:val="MDPI42tablebody"/>
              <w:keepNext/>
              <w:spacing w:line="240" w:lineRule="auto" w:before="30" w:after="30"/>
              <w:jc w:val="center"/>
            </w:pPr>
          </w:p>
        </w:tc>
        <w:tc>
          <w:tcPr>
            <w:tcW w:type="dxa" w:w="1548"/>
          </w:tcPr>
          <w:p>
            <w:pPr>
              <w:pStyle w:val="MDPI42tablebody"/>
              <w:keepNext/>
              <w:spacing w:line="240" w:lineRule="auto" w:before="30" w:after="30"/>
              <w:jc w:val="center"/>
            </w:pPr>
          </w:p>
        </w:tc>
        <w:tc>
          <w:tcPr>
            <w:tcW w:type="dxa" w:w="1548"/>
          </w:tcPr>
          <w:p>
            <w:pPr>
              <w:pStyle w:val="MDPI42tablebody"/>
              <w:keepNext/>
              <w:spacing w:line="240" w:lineRule="auto" w:before="30" w:after="30"/>
              <w:jc w:val="center"/>
            </w:pPr>
          </w:p>
        </w:tc>
      </w:tr>
      <w:tr>
        <w:trPr>
          <w:cantSplit/>
        </w:trPr>
        <w:tc>
          <w:tcPr>
            <w:tcW w:type="dxa" w:w="2721"/>
          </w:tcPr>
          <w:p>
            <w:pPr>
              <w:pStyle w:val="MDPI42tablebody"/>
              <w:keepNext/>
              <w:spacing w:line="240" w:lineRule="auto" w:before="30" w:after="30"/>
              <w:jc w:val="left"/>
            </w:pPr>
            <w:r>
              <w:rPr>
                <w:b w:val="0"/>
                <w:i/>
                <w:sz w:val="15"/>
              </w:rPr>
              <w:t>(IV</w:t>
            </w:r>
            <w:r>
              <w:rPr>
                <w:b w:val="0"/>
                <w:i/>
                <w:sz w:val="15"/>
                <w:vertAlign w:val="superscript"/>
              </w:rPr>
              <w:t>Peer</w:t>
            </w:r>
            <w:r>
              <w:rPr>
                <w:b w:val="0"/>
                <w:i/>
                <w:sz w:val="15"/>
              </w:rPr>
              <w:t>)</w:t>
            </w:r>
            <w:r>
              <w:rPr>
                <w:b w:val="0"/>
                <w:i/>
                <w:sz w:val="15"/>
                <w:vertAlign w:val="superscript"/>
              </w:rPr>
              <w:t>2</w:t>
            </w:r>
          </w:p>
        </w:tc>
        <w:tc>
          <w:tcPr>
            <w:tcW w:type="dxa" w:w="1548"/>
          </w:tcPr>
          <w:p>
            <w:pPr>
              <w:pStyle w:val="MDPI42tablebody"/>
              <w:keepNext/>
              <w:spacing w:line="240" w:lineRule="auto" w:before="30" w:after="30"/>
              <w:jc w:val="center"/>
            </w:pPr>
            <w:r>
              <w:rPr>
                <w:b w:val="0"/>
                <w:i w:val="0"/>
                <w:sz w:val="15"/>
              </w:rPr>
              <w:t>0.000</w:t>
            </w:r>
          </w:p>
        </w:tc>
        <w:tc>
          <w:tcPr>
            <w:tcW w:type="dxa" w:w="1548"/>
          </w:tcPr>
          <w:p>
            <w:pPr>
              <w:pStyle w:val="MDPI42tablebody"/>
              <w:keepNext/>
              <w:spacing w:line="240" w:lineRule="auto" w:before="30" w:after="30"/>
              <w:jc w:val="center"/>
            </w:pPr>
            <w:r>
              <w:rPr>
                <w:b w:val="0"/>
                <w:i w:val="0"/>
                <w:sz w:val="15"/>
              </w:rPr>
              <w:t>0.160**</w:t>
            </w:r>
          </w:p>
        </w:tc>
        <w:tc>
          <w:tcPr>
            <w:tcW w:type="dxa" w:w="1548"/>
          </w:tcPr>
          <w:p>
            <w:pPr>
              <w:pStyle w:val="MDPI42tablebody"/>
              <w:keepNext/>
              <w:spacing w:line="240" w:lineRule="auto" w:before="30" w:after="30"/>
              <w:jc w:val="center"/>
            </w:pPr>
          </w:p>
        </w:tc>
        <w:tc>
          <w:tcPr>
            <w:tcW w:type="dxa" w:w="1548"/>
          </w:tcPr>
          <w:p>
            <w:pPr>
              <w:pStyle w:val="MDPI42tablebody"/>
              <w:keepNext/>
              <w:spacing w:line="240" w:lineRule="auto" w:before="30" w:after="30"/>
              <w:jc w:val="center"/>
            </w:pPr>
          </w:p>
        </w:tc>
        <w:tc>
          <w:tcPr>
            <w:tcW w:type="dxa" w:w="1548"/>
          </w:tcPr>
          <w:p>
            <w:pPr>
              <w:pStyle w:val="MDPI42tablebody"/>
              <w:keepNext/>
              <w:spacing w:line="240" w:lineRule="auto" w:before="30" w:after="30"/>
              <w:jc w:val="center"/>
            </w:pPr>
          </w:p>
        </w:tc>
      </w:tr>
      <w:tr>
        <w:trPr>
          <w:cantSplit/>
        </w:trPr>
        <w:tc>
          <w:tcPr>
            <w:tcW w:type="dxa" w:w="2721"/>
          </w:tcPr>
          <w:p>
            <w:pPr>
              <w:pStyle w:val="MDPI42tablebody"/>
              <w:keepNext/>
              <w:spacing w:line="240" w:lineRule="auto" w:before="30" w:after="30"/>
              <w:jc w:val="left"/>
            </w:pPr>
          </w:p>
        </w:tc>
        <w:tc>
          <w:tcPr>
            <w:tcW w:type="dxa" w:w="1548"/>
          </w:tcPr>
          <w:p>
            <w:pPr>
              <w:pStyle w:val="MDPI42tablebody"/>
              <w:keepNext/>
              <w:spacing w:line="240" w:lineRule="auto" w:before="30" w:after="30"/>
              <w:jc w:val="center"/>
            </w:pPr>
            <w:r>
              <w:rPr>
                <w:b w:val="0"/>
                <w:i w:val="0"/>
                <w:sz w:val="15"/>
              </w:rPr>
              <w:t>(0.013)</w:t>
            </w:r>
          </w:p>
        </w:tc>
        <w:tc>
          <w:tcPr>
            <w:tcW w:type="dxa" w:w="1548"/>
          </w:tcPr>
          <w:p>
            <w:pPr>
              <w:pStyle w:val="MDPI42tablebody"/>
              <w:keepNext/>
              <w:spacing w:line="240" w:lineRule="auto" w:before="30" w:after="30"/>
              <w:jc w:val="center"/>
            </w:pPr>
            <w:r>
              <w:rPr>
                <w:b w:val="0"/>
                <w:i w:val="0"/>
                <w:sz w:val="15"/>
              </w:rPr>
              <w:t>(0.066)</w:t>
            </w:r>
          </w:p>
        </w:tc>
        <w:tc>
          <w:tcPr>
            <w:tcW w:type="dxa" w:w="1548"/>
          </w:tcPr>
          <w:p>
            <w:pPr>
              <w:pStyle w:val="MDPI42tablebody"/>
              <w:keepNext/>
              <w:spacing w:line="240" w:lineRule="auto" w:before="30" w:after="30"/>
              <w:jc w:val="center"/>
            </w:pPr>
          </w:p>
        </w:tc>
        <w:tc>
          <w:tcPr>
            <w:tcW w:type="dxa" w:w="1548"/>
          </w:tcPr>
          <w:p>
            <w:pPr>
              <w:pStyle w:val="MDPI42tablebody"/>
              <w:keepNext/>
              <w:spacing w:line="240" w:lineRule="auto" w:before="30" w:after="30"/>
              <w:jc w:val="center"/>
            </w:pPr>
          </w:p>
        </w:tc>
        <w:tc>
          <w:tcPr>
            <w:tcW w:type="dxa" w:w="1548"/>
          </w:tcPr>
          <w:p>
            <w:pPr>
              <w:pStyle w:val="MDPI42tablebody"/>
              <w:keepNext/>
              <w:spacing w:line="240" w:lineRule="auto" w:before="30" w:after="30"/>
              <w:jc w:val="center"/>
            </w:pPr>
          </w:p>
        </w:tc>
      </w:tr>
      <w:tr>
        <w:trPr>
          <w:cantSplit/>
        </w:trPr>
        <w:tc>
          <w:tcPr>
            <w:tcW w:type="dxa" w:w="2721"/>
          </w:tcPr>
          <w:p>
            <w:pPr>
              <w:pStyle w:val="MDPI42tablebody"/>
              <w:keepNext/>
              <w:spacing w:line="240" w:lineRule="auto" w:before="30" w:after="30"/>
              <w:jc w:val="left"/>
            </w:pPr>
            <w:r>
              <w:rPr>
                <w:b w:val="0"/>
                <w:i/>
                <w:sz w:val="15"/>
              </w:rPr>
              <w:t>(IV</w:t>
            </w:r>
            <w:r>
              <w:rPr>
                <w:b w:val="0"/>
                <w:i/>
                <w:sz w:val="15"/>
                <w:vertAlign w:val="superscript"/>
              </w:rPr>
              <w:t>Exp</w:t>
            </w:r>
            <w:r>
              <w:rPr>
                <w:b w:val="0"/>
                <w:i/>
                <w:sz w:val="15"/>
              </w:rPr>
              <w:t>)</w:t>
            </w:r>
            <w:r>
              <w:rPr>
                <w:b w:val="0"/>
                <w:i/>
                <w:sz w:val="15"/>
                <w:vertAlign w:val="superscript"/>
              </w:rPr>
              <w:t>2</w:t>
            </w:r>
          </w:p>
        </w:tc>
        <w:tc>
          <w:tcPr>
            <w:tcW w:type="dxa" w:w="1548"/>
          </w:tcPr>
          <w:p>
            <w:pPr>
              <w:pStyle w:val="MDPI42tablebody"/>
              <w:keepNext/>
              <w:spacing w:line="240" w:lineRule="auto" w:before="30" w:after="30"/>
              <w:jc w:val="center"/>
            </w:pPr>
            <w:r>
              <w:rPr>
                <w:b w:val="0"/>
                <w:i w:val="0"/>
                <w:sz w:val="15"/>
              </w:rPr>
              <w:t>0.015</w:t>
            </w:r>
          </w:p>
        </w:tc>
        <w:tc>
          <w:tcPr>
            <w:tcW w:type="dxa" w:w="1548"/>
          </w:tcPr>
          <w:p>
            <w:pPr>
              <w:pStyle w:val="MDPI42tablebody"/>
              <w:keepNext/>
              <w:spacing w:line="240" w:lineRule="auto" w:before="30" w:after="30"/>
              <w:jc w:val="center"/>
            </w:pPr>
            <w:r>
              <w:rPr>
                <w:b w:val="0"/>
                <w:i w:val="0"/>
                <w:sz w:val="15"/>
              </w:rPr>
              <w:t>0.172*</w:t>
            </w:r>
          </w:p>
        </w:tc>
        <w:tc>
          <w:tcPr>
            <w:tcW w:type="dxa" w:w="1548"/>
          </w:tcPr>
          <w:p>
            <w:pPr>
              <w:pStyle w:val="MDPI42tablebody"/>
              <w:keepNext/>
              <w:spacing w:line="240" w:lineRule="auto" w:before="30" w:after="30"/>
              <w:jc w:val="center"/>
            </w:pPr>
          </w:p>
        </w:tc>
        <w:tc>
          <w:tcPr>
            <w:tcW w:type="dxa" w:w="1548"/>
          </w:tcPr>
          <w:p>
            <w:pPr>
              <w:pStyle w:val="MDPI42tablebody"/>
              <w:keepNext/>
              <w:spacing w:line="240" w:lineRule="auto" w:before="30" w:after="30"/>
              <w:jc w:val="center"/>
            </w:pPr>
          </w:p>
        </w:tc>
        <w:tc>
          <w:tcPr>
            <w:tcW w:type="dxa" w:w="1548"/>
          </w:tcPr>
          <w:p>
            <w:pPr>
              <w:pStyle w:val="MDPI42tablebody"/>
              <w:keepNext/>
              <w:spacing w:line="240" w:lineRule="auto" w:before="30" w:after="30"/>
              <w:jc w:val="center"/>
            </w:pPr>
          </w:p>
        </w:tc>
      </w:tr>
      <w:tr>
        <w:trPr>
          <w:cantSplit/>
        </w:trPr>
        <w:tc>
          <w:tcPr>
            <w:tcW w:type="dxa" w:w="2721"/>
          </w:tcPr>
          <w:p>
            <w:pPr>
              <w:pStyle w:val="MDPI42tablebody"/>
              <w:keepNext/>
              <w:spacing w:line="240" w:lineRule="auto" w:before="30" w:after="30"/>
              <w:jc w:val="left"/>
            </w:pPr>
          </w:p>
        </w:tc>
        <w:tc>
          <w:tcPr>
            <w:tcW w:type="dxa" w:w="1548"/>
          </w:tcPr>
          <w:p>
            <w:pPr>
              <w:pStyle w:val="MDPI42tablebody"/>
              <w:keepNext/>
              <w:spacing w:line="240" w:lineRule="auto" w:before="30" w:after="30"/>
              <w:jc w:val="center"/>
            </w:pPr>
            <w:r>
              <w:rPr>
                <w:b w:val="0"/>
                <w:i w:val="0"/>
                <w:sz w:val="15"/>
              </w:rPr>
              <w:t>(0.019)</w:t>
            </w:r>
          </w:p>
        </w:tc>
        <w:tc>
          <w:tcPr>
            <w:tcW w:type="dxa" w:w="1548"/>
          </w:tcPr>
          <w:p>
            <w:pPr>
              <w:pStyle w:val="MDPI42tablebody"/>
              <w:keepNext/>
              <w:spacing w:line="240" w:lineRule="auto" w:before="30" w:after="30"/>
              <w:jc w:val="center"/>
            </w:pPr>
            <w:r>
              <w:rPr>
                <w:b w:val="0"/>
                <w:i w:val="0"/>
                <w:sz w:val="15"/>
              </w:rPr>
              <w:t>(0.093)</w:t>
            </w:r>
          </w:p>
        </w:tc>
        <w:tc>
          <w:tcPr>
            <w:tcW w:type="dxa" w:w="1548"/>
          </w:tcPr>
          <w:p>
            <w:pPr>
              <w:pStyle w:val="MDPI42tablebody"/>
              <w:keepNext/>
              <w:spacing w:line="240" w:lineRule="auto" w:before="30" w:after="30"/>
              <w:jc w:val="center"/>
            </w:pPr>
          </w:p>
        </w:tc>
        <w:tc>
          <w:tcPr>
            <w:tcW w:type="dxa" w:w="1548"/>
          </w:tcPr>
          <w:p>
            <w:pPr>
              <w:pStyle w:val="MDPI42tablebody"/>
              <w:keepNext/>
              <w:spacing w:line="240" w:lineRule="auto" w:before="30" w:after="30"/>
              <w:jc w:val="center"/>
            </w:pPr>
          </w:p>
        </w:tc>
        <w:tc>
          <w:tcPr>
            <w:tcW w:type="dxa" w:w="1548"/>
          </w:tcPr>
          <w:p>
            <w:pPr>
              <w:pStyle w:val="MDPI42tablebody"/>
              <w:keepNext/>
              <w:spacing w:line="240" w:lineRule="auto" w:before="30" w:after="30"/>
              <w:jc w:val="center"/>
            </w:pPr>
          </w:p>
        </w:tc>
      </w:tr>
      <w:tr>
        <w:trPr>
          <w:cantSplit/>
        </w:trPr>
        <w:tc>
          <w:tcPr>
            <w:tcW w:type="dxa" w:w="2721"/>
          </w:tcPr>
          <w:p>
            <w:pPr>
              <w:pStyle w:val="MDPI42tablebody"/>
              <w:keepNext/>
              <w:spacing w:line="240" w:lineRule="auto" w:before="30" w:after="30"/>
              <w:jc w:val="left"/>
            </w:pPr>
            <w:r>
              <w:rPr>
                <w:b w:val="0"/>
                <w:i/>
                <w:sz w:val="15"/>
              </w:rPr>
              <w:t>AI</w:t>
            </w:r>
          </w:p>
        </w:tc>
        <w:tc>
          <w:tcPr>
            <w:tcW w:type="dxa" w:w="1548"/>
          </w:tcPr>
          <w:p>
            <w:pPr>
              <w:pStyle w:val="MDPI42tablebody"/>
              <w:keepNext/>
              <w:spacing w:line="240" w:lineRule="auto" w:before="30" w:after="30"/>
              <w:jc w:val="center"/>
            </w:pPr>
          </w:p>
        </w:tc>
        <w:tc>
          <w:tcPr>
            <w:tcW w:type="dxa" w:w="1548"/>
          </w:tcPr>
          <w:p>
            <w:pPr>
              <w:pStyle w:val="MDPI42tablebody"/>
              <w:keepNext/>
              <w:spacing w:line="240" w:lineRule="auto" w:before="30" w:after="30"/>
              <w:jc w:val="center"/>
            </w:pPr>
          </w:p>
        </w:tc>
        <w:tc>
          <w:tcPr>
            <w:tcW w:type="dxa" w:w="1548"/>
          </w:tcPr>
          <w:p>
            <w:pPr>
              <w:pStyle w:val="MDPI42tablebody"/>
              <w:keepNext/>
              <w:spacing w:line="240" w:lineRule="auto" w:before="30" w:after="30"/>
              <w:jc w:val="center"/>
            </w:pPr>
            <w:r>
              <w:rPr>
                <w:b w:val="0"/>
                <w:i w:val="0"/>
                <w:sz w:val="15"/>
              </w:rPr>
              <w:t>3.309**</w:t>
            </w:r>
          </w:p>
        </w:tc>
        <w:tc>
          <w:tcPr>
            <w:tcW w:type="dxa" w:w="1548"/>
          </w:tcPr>
          <w:p>
            <w:pPr>
              <w:pStyle w:val="MDPI42tablebody"/>
              <w:keepNext/>
              <w:spacing w:line="240" w:lineRule="auto" w:before="30" w:after="30"/>
              <w:jc w:val="center"/>
            </w:pPr>
            <w:r>
              <w:rPr>
                <w:b w:val="0"/>
                <w:i w:val="0"/>
                <w:sz w:val="15"/>
              </w:rPr>
              <w:t>2.921***</w:t>
            </w:r>
          </w:p>
        </w:tc>
        <w:tc>
          <w:tcPr>
            <w:tcW w:type="dxa" w:w="1548"/>
          </w:tcPr>
          <w:p>
            <w:pPr>
              <w:pStyle w:val="MDPI42tablebody"/>
              <w:keepNext/>
              <w:spacing w:line="240" w:lineRule="auto" w:before="30" w:after="30"/>
              <w:jc w:val="center"/>
            </w:pPr>
            <w:r>
              <w:rPr>
                <w:b w:val="0"/>
                <w:i w:val="0"/>
                <w:sz w:val="15"/>
              </w:rPr>
              <w:t>2.934***</w:t>
            </w:r>
          </w:p>
        </w:tc>
      </w:tr>
      <w:tr>
        <w:trPr>
          <w:cantSplit/>
        </w:trPr>
        <w:tc>
          <w:tcPr>
            <w:tcW w:type="dxa" w:w="2721"/>
          </w:tcPr>
          <w:p>
            <w:pPr>
              <w:pStyle w:val="MDPI42tablebody"/>
              <w:keepNext/>
              <w:spacing w:line="240" w:lineRule="auto" w:before="30" w:after="30"/>
              <w:jc w:val="left"/>
            </w:pPr>
          </w:p>
        </w:tc>
        <w:tc>
          <w:tcPr>
            <w:tcW w:type="dxa" w:w="1548"/>
          </w:tcPr>
          <w:p>
            <w:pPr>
              <w:pStyle w:val="MDPI42tablebody"/>
              <w:keepNext/>
              <w:spacing w:line="240" w:lineRule="auto" w:before="30" w:after="30"/>
              <w:jc w:val="center"/>
            </w:pPr>
          </w:p>
        </w:tc>
        <w:tc>
          <w:tcPr>
            <w:tcW w:type="dxa" w:w="1548"/>
          </w:tcPr>
          <w:p>
            <w:pPr>
              <w:pStyle w:val="MDPI42tablebody"/>
              <w:keepNext/>
              <w:spacing w:line="240" w:lineRule="auto" w:before="30" w:after="30"/>
              <w:jc w:val="center"/>
            </w:pPr>
          </w:p>
        </w:tc>
        <w:tc>
          <w:tcPr>
            <w:tcW w:type="dxa" w:w="1548"/>
          </w:tcPr>
          <w:p>
            <w:pPr>
              <w:pStyle w:val="MDPI42tablebody"/>
              <w:keepNext/>
              <w:spacing w:line="240" w:lineRule="auto" w:before="30" w:after="30"/>
              <w:jc w:val="center"/>
            </w:pPr>
            <w:r>
              <w:rPr>
                <w:b w:val="0"/>
                <w:i w:val="0"/>
                <w:sz w:val="15"/>
              </w:rPr>
              <w:t>(1.632)</w:t>
            </w:r>
          </w:p>
        </w:tc>
        <w:tc>
          <w:tcPr>
            <w:tcW w:type="dxa" w:w="1548"/>
          </w:tcPr>
          <w:p>
            <w:pPr>
              <w:pStyle w:val="MDPI42tablebody"/>
              <w:keepNext/>
              <w:spacing w:line="240" w:lineRule="auto" w:before="30" w:after="30"/>
              <w:jc w:val="center"/>
            </w:pPr>
            <w:r>
              <w:rPr>
                <w:b w:val="0"/>
                <w:i w:val="0"/>
                <w:sz w:val="15"/>
              </w:rPr>
              <w:t>(0.223)</w:t>
            </w:r>
          </w:p>
        </w:tc>
        <w:tc>
          <w:tcPr>
            <w:tcW w:type="dxa" w:w="1548"/>
          </w:tcPr>
          <w:p>
            <w:pPr>
              <w:pStyle w:val="MDPI42tablebody"/>
              <w:keepNext/>
              <w:spacing w:line="240" w:lineRule="auto" w:before="30" w:after="30"/>
              <w:jc w:val="center"/>
            </w:pPr>
            <w:r>
              <w:rPr>
                <w:b w:val="0"/>
                <w:i w:val="0"/>
                <w:sz w:val="15"/>
              </w:rPr>
              <w:t>(0.208)</w:t>
            </w:r>
          </w:p>
        </w:tc>
      </w:tr>
      <w:tr>
        <w:trPr>
          <w:cantSplit/>
        </w:trPr>
        <w:tc>
          <w:tcPr>
            <w:tcW w:type="dxa" w:w="2721"/>
          </w:tcPr>
          <w:p>
            <w:pPr>
              <w:pStyle w:val="MDPI42tablebody"/>
              <w:keepNext/>
              <w:spacing w:line="240" w:lineRule="auto" w:before="30" w:after="30"/>
              <w:jc w:val="left"/>
            </w:pPr>
            <w:r>
              <w:rPr>
                <w:b w:val="0"/>
                <w:i/>
                <w:sz w:val="15"/>
              </w:rPr>
              <w:t>AI</w:t>
            </w:r>
            <w:r>
              <w:rPr>
                <w:b w:val="0"/>
                <w:i/>
                <w:sz w:val="15"/>
                <w:vertAlign w:val="superscript"/>
              </w:rPr>
              <w:t>2</w:t>
            </w:r>
          </w:p>
        </w:tc>
        <w:tc>
          <w:tcPr>
            <w:tcW w:type="dxa" w:w="1548"/>
          </w:tcPr>
          <w:p>
            <w:pPr>
              <w:pStyle w:val="MDPI42tablebody"/>
              <w:keepNext/>
              <w:spacing w:line="240" w:lineRule="auto" w:before="30" w:after="30"/>
              <w:jc w:val="center"/>
            </w:pPr>
          </w:p>
        </w:tc>
        <w:tc>
          <w:tcPr>
            <w:tcW w:type="dxa" w:w="1548"/>
          </w:tcPr>
          <w:p>
            <w:pPr>
              <w:pStyle w:val="MDPI42tablebody"/>
              <w:keepNext/>
              <w:spacing w:line="240" w:lineRule="auto" w:before="30" w:after="30"/>
              <w:jc w:val="center"/>
            </w:pPr>
          </w:p>
        </w:tc>
        <w:tc>
          <w:tcPr>
            <w:tcW w:type="dxa" w:w="1548"/>
          </w:tcPr>
          <w:p>
            <w:pPr>
              <w:pStyle w:val="MDPI42tablebody"/>
              <w:keepNext/>
              <w:spacing w:line="240" w:lineRule="auto" w:before="30" w:after="30"/>
              <w:jc w:val="center"/>
            </w:pPr>
            <w:r>
              <w:rPr>
                <w:b w:val="0"/>
                <w:i w:val="0"/>
                <w:sz w:val="15"/>
              </w:rPr>
              <w:t>−0.895**</w:t>
            </w:r>
          </w:p>
        </w:tc>
        <w:tc>
          <w:tcPr>
            <w:tcW w:type="dxa" w:w="1548"/>
          </w:tcPr>
          <w:p>
            <w:pPr>
              <w:pStyle w:val="MDPI42tablebody"/>
              <w:keepNext/>
              <w:spacing w:line="240" w:lineRule="auto" w:before="30" w:after="30"/>
              <w:jc w:val="center"/>
            </w:pPr>
            <w:r>
              <w:rPr>
                <w:b w:val="0"/>
                <w:i w:val="0"/>
                <w:sz w:val="15"/>
              </w:rPr>
              <w:t>−0.679***</w:t>
            </w:r>
          </w:p>
        </w:tc>
        <w:tc>
          <w:tcPr>
            <w:tcW w:type="dxa" w:w="1548"/>
          </w:tcPr>
          <w:p>
            <w:pPr>
              <w:pStyle w:val="MDPI42tablebody"/>
              <w:keepNext/>
              <w:spacing w:line="240" w:lineRule="auto" w:before="30" w:after="30"/>
              <w:jc w:val="center"/>
            </w:pPr>
            <w:r>
              <w:rPr>
                <w:b w:val="0"/>
                <w:i w:val="0"/>
                <w:sz w:val="15"/>
              </w:rPr>
              <w:t>−0.684***</w:t>
            </w:r>
          </w:p>
        </w:tc>
      </w:tr>
      <w:tr>
        <w:trPr>
          <w:cantSplit/>
        </w:trPr>
        <w:tc>
          <w:tcPr>
            <w:tcW w:type="dxa" w:w="2721"/>
          </w:tcPr>
          <w:p>
            <w:pPr>
              <w:pStyle w:val="MDPI42tablebody"/>
              <w:keepNext/>
              <w:spacing w:line="240" w:lineRule="auto" w:before="30" w:after="30"/>
              <w:jc w:val="left"/>
            </w:pPr>
          </w:p>
        </w:tc>
        <w:tc>
          <w:tcPr>
            <w:tcW w:type="dxa" w:w="1548"/>
          </w:tcPr>
          <w:p>
            <w:pPr>
              <w:pStyle w:val="MDPI42tablebody"/>
              <w:keepNext/>
              <w:spacing w:line="240" w:lineRule="auto" w:before="30" w:after="30"/>
              <w:jc w:val="center"/>
            </w:pPr>
          </w:p>
        </w:tc>
        <w:tc>
          <w:tcPr>
            <w:tcW w:type="dxa" w:w="1548"/>
          </w:tcPr>
          <w:p>
            <w:pPr>
              <w:pStyle w:val="MDPI42tablebody"/>
              <w:keepNext/>
              <w:spacing w:line="240" w:lineRule="auto" w:before="30" w:after="30"/>
              <w:jc w:val="center"/>
            </w:pPr>
          </w:p>
        </w:tc>
        <w:tc>
          <w:tcPr>
            <w:tcW w:type="dxa" w:w="1548"/>
          </w:tcPr>
          <w:p>
            <w:pPr>
              <w:pStyle w:val="MDPI42tablebody"/>
              <w:keepNext/>
              <w:spacing w:line="240" w:lineRule="auto" w:before="30" w:after="30"/>
              <w:jc w:val="center"/>
            </w:pPr>
            <w:r>
              <w:rPr>
                <w:b w:val="0"/>
                <w:i w:val="0"/>
                <w:sz w:val="15"/>
              </w:rPr>
              <w:t>(0.385)</w:t>
            </w:r>
          </w:p>
        </w:tc>
        <w:tc>
          <w:tcPr>
            <w:tcW w:type="dxa" w:w="1548"/>
          </w:tcPr>
          <w:p>
            <w:pPr>
              <w:pStyle w:val="MDPI42tablebody"/>
              <w:keepNext/>
              <w:spacing w:line="240" w:lineRule="auto" w:before="30" w:after="30"/>
              <w:jc w:val="center"/>
            </w:pPr>
            <w:r>
              <w:rPr>
                <w:b w:val="0"/>
                <w:i w:val="0"/>
                <w:sz w:val="15"/>
              </w:rPr>
              <w:t>(0.052)</w:t>
            </w:r>
          </w:p>
        </w:tc>
        <w:tc>
          <w:tcPr>
            <w:tcW w:type="dxa" w:w="1548"/>
          </w:tcPr>
          <w:p>
            <w:pPr>
              <w:pStyle w:val="MDPI42tablebody"/>
              <w:keepNext/>
              <w:spacing w:line="240" w:lineRule="auto" w:before="30" w:after="30"/>
              <w:jc w:val="center"/>
            </w:pPr>
            <w:r>
              <w:rPr>
                <w:b w:val="0"/>
                <w:i w:val="0"/>
                <w:sz w:val="15"/>
              </w:rPr>
              <w:t>(0.048)</w:t>
            </w:r>
          </w:p>
        </w:tc>
      </w:tr>
      <w:tr>
        <w:trPr>
          <w:cantSplit/>
        </w:trPr>
        <w:tc>
          <w:tcPr>
            <w:tcW w:type="dxa" w:w="2721"/>
          </w:tcPr>
          <w:p>
            <w:pPr>
              <w:pStyle w:val="MDPI42tablebody"/>
              <w:keepNext/>
              <w:spacing w:line="240" w:lineRule="auto" w:before="30" w:after="30"/>
              <w:jc w:val="left"/>
            </w:pPr>
            <w:r>
              <w:rPr>
                <w:b w:val="0"/>
                <w:i/>
                <w:sz w:val="15"/>
              </w:rPr>
              <w:t>Controls</w:t>
            </w:r>
          </w:p>
        </w:tc>
        <w:tc>
          <w:tcPr>
            <w:tcW w:type="dxa" w:w="1548"/>
          </w:tcPr>
          <w:p>
            <w:pPr>
              <w:pStyle w:val="MDPI42tablebody"/>
              <w:keepNext/>
              <w:spacing w:line="240" w:lineRule="auto" w:before="30" w:after="30"/>
              <w:jc w:val="center"/>
            </w:pPr>
            <w:r>
              <w:rPr>
                <w:b w:val="0"/>
                <w:i w:val="0"/>
                <w:sz w:val="15"/>
              </w:rPr>
              <w:t>Yes</w:t>
            </w:r>
          </w:p>
        </w:tc>
        <w:tc>
          <w:tcPr>
            <w:tcW w:type="dxa" w:w="1548"/>
          </w:tcPr>
          <w:p>
            <w:pPr>
              <w:pStyle w:val="MDPI42tablebody"/>
              <w:keepNext/>
              <w:spacing w:line="240" w:lineRule="auto" w:before="30" w:after="30"/>
              <w:jc w:val="center"/>
            </w:pPr>
            <w:r>
              <w:rPr>
                <w:b w:val="0"/>
                <w:i w:val="0"/>
                <w:sz w:val="15"/>
              </w:rPr>
              <w:t>Yes</w:t>
            </w:r>
          </w:p>
        </w:tc>
        <w:tc>
          <w:tcPr>
            <w:tcW w:type="dxa" w:w="1548"/>
          </w:tcPr>
          <w:p>
            <w:pPr>
              <w:pStyle w:val="MDPI42tablebody"/>
              <w:keepNext/>
              <w:spacing w:line="240" w:lineRule="auto" w:before="30" w:after="30"/>
              <w:jc w:val="center"/>
            </w:pPr>
            <w:r>
              <w:rPr>
                <w:b w:val="0"/>
                <w:i w:val="0"/>
                <w:sz w:val="15"/>
              </w:rPr>
              <w:t>Yes</w:t>
            </w:r>
          </w:p>
        </w:tc>
        <w:tc>
          <w:tcPr>
            <w:tcW w:type="dxa" w:w="1548"/>
          </w:tcPr>
          <w:p>
            <w:pPr>
              <w:pStyle w:val="MDPI42tablebody"/>
              <w:keepNext/>
              <w:spacing w:line="240" w:lineRule="auto" w:before="30" w:after="30"/>
              <w:jc w:val="center"/>
            </w:pPr>
            <w:r>
              <w:rPr>
                <w:b w:val="0"/>
                <w:i w:val="0"/>
                <w:sz w:val="15"/>
              </w:rPr>
              <w:t>Yes</w:t>
            </w:r>
          </w:p>
        </w:tc>
        <w:tc>
          <w:tcPr>
            <w:tcW w:type="dxa" w:w="1548"/>
          </w:tcPr>
          <w:p>
            <w:pPr>
              <w:pStyle w:val="MDPI42tablebody"/>
              <w:keepNext/>
              <w:spacing w:line="240" w:lineRule="auto" w:before="30" w:after="30"/>
              <w:jc w:val="center"/>
            </w:pPr>
            <w:r>
              <w:rPr>
                <w:b w:val="0"/>
                <w:i w:val="0"/>
                <w:sz w:val="15"/>
              </w:rPr>
              <w:t>Yes</w:t>
            </w:r>
          </w:p>
        </w:tc>
      </w:tr>
      <w:tr>
        <w:trPr>
          <w:cantSplit/>
        </w:trPr>
        <w:tc>
          <w:tcPr>
            <w:tcW w:type="dxa" w:w="2721"/>
          </w:tcPr>
          <w:p>
            <w:pPr>
              <w:pStyle w:val="MDPI42tablebody"/>
              <w:keepNext/>
              <w:spacing w:line="240" w:lineRule="auto" w:before="30" w:after="30"/>
              <w:jc w:val="left"/>
            </w:pPr>
            <w:r>
              <w:rPr>
                <w:b w:val="0"/>
                <w:i/>
                <w:sz w:val="15"/>
              </w:rPr>
              <w:t>Firm FE</w:t>
            </w:r>
          </w:p>
        </w:tc>
        <w:tc>
          <w:tcPr>
            <w:tcW w:type="dxa" w:w="1548"/>
          </w:tcPr>
          <w:p>
            <w:pPr>
              <w:pStyle w:val="MDPI42tablebody"/>
              <w:keepNext/>
              <w:spacing w:line="240" w:lineRule="auto" w:before="30" w:after="30"/>
              <w:jc w:val="center"/>
            </w:pPr>
            <w:r>
              <w:rPr>
                <w:b w:val="0"/>
                <w:i w:val="0"/>
                <w:sz w:val="15"/>
              </w:rPr>
              <w:t>Yes</w:t>
            </w:r>
          </w:p>
        </w:tc>
        <w:tc>
          <w:tcPr>
            <w:tcW w:type="dxa" w:w="1548"/>
          </w:tcPr>
          <w:p>
            <w:pPr>
              <w:pStyle w:val="MDPI42tablebody"/>
              <w:keepNext/>
              <w:spacing w:line="240" w:lineRule="auto" w:before="30" w:after="30"/>
              <w:jc w:val="center"/>
            </w:pPr>
            <w:r>
              <w:rPr>
                <w:b w:val="0"/>
                <w:i w:val="0"/>
                <w:sz w:val="15"/>
              </w:rPr>
              <w:t>Yes</w:t>
            </w:r>
          </w:p>
        </w:tc>
        <w:tc>
          <w:tcPr>
            <w:tcW w:type="dxa" w:w="1548"/>
          </w:tcPr>
          <w:p>
            <w:pPr>
              <w:pStyle w:val="MDPI42tablebody"/>
              <w:keepNext/>
              <w:spacing w:line="240" w:lineRule="auto" w:before="30" w:after="30"/>
              <w:jc w:val="center"/>
            </w:pPr>
            <w:r>
              <w:rPr>
                <w:b w:val="0"/>
                <w:i w:val="0"/>
                <w:sz w:val="15"/>
              </w:rPr>
              <w:t>Yes</w:t>
            </w:r>
          </w:p>
        </w:tc>
        <w:tc>
          <w:tcPr>
            <w:tcW w:type="dxa" w:w="1548"/>
          </w:tcPr>
          <w:p>
            <w:pPr>
              <w:pStyle w:val="MDPI42tablebody"/>
              <w:keepNext/>
              <w:spacing w:line="240" w:lineRule="auto" w:before="30" w:after="30"/>
              <w:jc w:val="center"/>
            </w:pPr>
            <w:r>
              <w:rPr>
                <w:b w:val="0"/>
                <w:i w:val="0"/>
                <w:sz w:val="15"/>
              </w:rPr>
              <w:t>Yes</w:t>
            </w:r>
          </w:p>
        </w:tc>
        <w:tc>
          <w:tcPr>
            <w:tcW w:type="dxa" w:w="1548"/>
          </w:tcPr>
          <w:p>
            <w:pPr>
              <w:pStyle w:val="MDPI42tablebody"/>
              <w:keepNext/>
              <w:spacing w:line="240" w:lineRule="auto" w:before="30" w:after="30"/>
              <w:jc w:val="center"/>
            </w:pPr>
            <w:r>
              <w:rPr>
                <w:b w:val="0"/>
                <w:i w:val="0"/>
                <w:sz w:val="15"/>
              </w:rPr>
              <w:t>Yes</w:t>
            </w:r>
          </w:p>
        </w:tc>
      </w:tr>
      <w:tr>
        <w:trPr>
          <w:cantSplit/>
        </w:trPr>
        <w:tc>
          <w:tcPr>
            <w:tcW w:type="dxa" w:w="2721"/>
          </w:tcPr>
          <w:p>
            <w:pPr>
              <w:pStyle w:val="MDPI42tablebody"/>
              <w:keepNext/>
              <w:spacing w:line="240" w:lineRule="auto" w:before="30" w:after="30"/>
              <w:jc w:val="left"/>
            </w:pPr>
            <w:r>
              <w:rPr>
                <w:b w:val="0"/>
                <w:i/>
                <w:sz w:val="15"/>
              </w:rPr>
              <w:t>Year FE</w:t>
            </w:r>
          </w:p>
        </w:tc>
        <w:tc>
          <w:tcPr>
            <w:tcW w:type="dxa" w:w="1548"/>
          </w:tcPr>
          <w:p>
            <w:pPr>
              <w:pStyle w:val="MDPI42tablebody"/>
              <w:keepNext/>
              <w:spacing w:line="240" w:lineRule="auto" w:before="30" w:after="30"/>
              <w:jc w:val="center"/>
            </w:pPr>
            <w:r>
              <w:rPr>
                <w:b w:val="0"/>
                <w:i w:val="0"/>
                <w:sz w:val="15"/>
              </w:rPr>
              <w:t>Yes</w:t>
            </w:r>
          </w:p>
        </w:tc>
        <w:tc>
          <w:tcPr>
            <w:tcW w:type="dxa" w:w="1548"/>
          </w:tcPr>
          <w:p>
            <w:pPr>
              <w:pStyle w:val="MDPI42tablebody"/>
              <w:keepNext/>
              <w:spacing w:line="240" w:lineRule="auto" w:before="30" w:after="30"/>
              <w:jc w:val="center"/>
            </w:pPr>
            <w:r>
              <w:rPr>
                <w:b w:val="0"/>
                <w:i w:val="0"/>
                <w:sz w:val="15"/>
              </w:rPr>
              <w:t>Yes</w:t>
            </w:r>
          </w:p>
        </w:tc>
        <w:tc>
          <w:tcPr>
            <w:tcW w:type="dxa" w:w="1548"/>
          </w:tcPr>
          <w:p>
            <w:pPr>
              <w:pStyle w:val="MDPI42tablebody"/>
              <w:keepNext/>
              <w:spacing w:line="240" w:lineRule="auto" w:before="30" w:after="30"/>
              <w:jc w:val="center"/>
            </w:pPr>
            <w:r>
              <w:rPr>
                <w:b w:val="0"/>
                <w:i w:val="0"/>
                <w:sz w:val="15"/>
              </w:rPr>
              <w:t>Yes</w:t>
            </w:r>
          </w:p>
        </w:tc>
        <w:tc>
          <w:tcPr>
            <w:tcW w:type="dxa" w:w="1548"/>
          </w:tcPr>
          <w:p>
            <w:pPr>
              <w:pStyle w:val="MDPI42tablebody"/>
              <w:keepNext/>
              <w:spacing w:line="240" w:lineRule="auto" w:before="30" w:after="30"/>
              <w:jc w:val="center"/>
            </w:pPr>
            <w:r>
              <w:rPr>
                <w:b w:val="0"/>
                <w:i w:val="0"/>
                <w:sz w:val="15"/>
              </w:rPr>
              <w:t>Yes</w:t>
            </w:r>
          </w:p>
        </w:tc>
        <w:tc>
          <w:tcPr>
            <w:tcW w:type="dxa" w:w="1548"/>
          </w:tcPr>
          <w:p>
            <w:pPr>
              <w:pStyle w:val="MDPI42tablebody"/>
              <w:keepNext/>
              <w:spacing w:line="240" w:lineRule="auto" w:before="30" w:after="30"/>
              <w:jc w:val="center"/>
            </w:pPr>
            <w:r>
              <w:rPr>
                <w:b w:val="0"/>
                <w:i w:val="0"/>
                <w:sz w:val="15"/>
              </w:rPr>
              <w:t>Yes</w:t>
            </w:r>
          </w:p>
        </w:tc>
      </w:tr>
      <w:tr>
        <w:trPr>
          <w:cantSplit/>
        </w:trPr>
        <w:tc>
          <w:tcPr>
            <w:tcW w:type="dxa" w:w="2721"/>
          </w:tcPr>
          <w:p>
            <w:pPr>
              <w:pStyle w:val="MDPI42tablebody"/>
              <w:keepNext/>
              <w:spacing w:line="240" w:lineRule="auto" w:before="30" w:after="30"/>
              <w:jc w:val="left"/>
            </w:pPr>
            <w:r>
              <w:rPr>
                <w:b w:val="0"/>
                <w:i/>
                <w:sz w:val="15"/>
              </w:rPr>
              <w:t>Kleibergen–Paap rk Wald F</w:t>
            </w:r>
          </w:p>
        </w:tc>
        <w:tc>
          <w:tcPr>
            <w:tcW w:type="dxa" w:w="1548"/>
          </w:tcPr>
          <w:p>
            <w:pPr>
              <w:pStyle w:val="MDPI42tablebody"/>
              <w:keepNext/>
              <w:spacing w:line="240" w:lineRule="auto" w:before="30" w:after="30"/>
              <w:jc w:val="center"/>
            </w:pPr>
            <w:r>
              <w:rPr>
                <w:b w:val="0"/>
                <w:i w:val="0"/>
                <w:sz w:val="15"/>
              </w:rPr>
              <w:t>99.1</w:t>
            </w:r>
          </w:p>
        </w:tc>
        <w:tc>
          <w:tcPr>
            <w:tcW w:type="dxa" w:w="1548"/>
          </w:tcPr>
          <w:p>
            <w:pPr>
              <w:pStyle w:val="MDPI42tablebody"/>
              <w:keepNext/>
              <w:spacing w:line="240" w:lineRule="auto" w:before="30" w:after="30"/>
              <w:jc w:val="center"/>
            </w:pPr>
            <w:r>
              <w:rPr>
                <w:b w:val="0"/>
                <w:i w:val="0"/>
                <w:sz w:val="15"/>
              </w:rPr>
              <w:t>87.6</w:t>
            </w:r>
          </w:p>
        </w:tc>
        <w:tc>
          <w:tcPr>
            <w:tcW w:type="dxa" w:w="1548"/>
          </w:tcPr>
          <w:p>
            <w:pPr>
              <w:pStyle w:val="MDPI42tablebody"/>
              <w:keepNext/>
              <w:spacing w:line="240" w:lineRule="auto" w:before="30" w:after="30"/>
              <w:jc w:val="center"/>
            </w:pPr>
          </w:p>
        </w:tc>
        <w:tc>
          <w:tcPr>
            <w:tcW w:type="dxa" w:w="1548"/>
          </w:tcPr>
          <w:p>
            <w:pPr>
              <w:pStyle w:val="MDPI42tablebody"/>
              <w:keepNext/>
              <w:spacing w:line="240" w:lineRule="auto" w:before="30" w:after="30"/>
              <w:jc w:val="center"/>
            </w:pPr>
          </w:p>
        </w:tc>
        <w:tc>
          <w:tcPr>
            <w:tcW w:type="dxa" w:w="1548"/>
          </w:tcPr>
          <w:p>
            <w:pPr>
              <w:pStyle w:val="MDPI42tablebody"/>
              <w:keepNext/>
              <w:spacing w:line="240" w:lineRule="auto" w:before="30" w:after="30"/>
              <w:jc w:val="center"/>
            </w:pPr>
          </w:p>
        </w:tc>
      </w:tr>
      <w:tr>
        <w:trPr>
          <w:cantSplit/>
        </w:trPr>
        <w:tc>
          <w:tcPr>
            <w:tcW w:type="dxa" w:w="2721"/>
          </w:tcPr>
          <w:p>
            <w:pPr>
              <w:pStyle w:val="MDPI42tablebody"/>
              <w:keepNext/>
              <w:spacing w:line="240" w:lineRule="auto" w:before="30" w:after="30"/>
              <w:jc w:val="left"/>
            </w:pPr>
            <w:r>
              <w:rPr>
                <w:b w:val="0"/>
                <w:i/>
                <w:sz w:val="15"/>
              </w:rPr>
              <w:t>Hansen J (p)</w:t>
            </w:r>
          </w:p>
        </w:tc>
        <w:tc>
          <w:tcPr>
            <w:tcW w:type="dxa" w:w="1548"/>
          </w:tcPr>
          <w:p>
            <w:pPr>
              <w:pStyle w:val="MDPI42tablebody"/>
              <w:keepNext/>
              <w:spacing w:line="240" w:lineRule="auto" w:before="30" w:after="30"/>
              <w:jc w:val="center"/>
            </w:pPr>
          </w:p>
        </w:tc>
        <w:tc>
          <w:tcPr>
            <w:tcW w:type="dxa" w:w="1548"/>
          </w:tcPr>
          <w:p>
            <w:pPr>
              <w:pStyle w:val="MDPI42tablebody"/>
              <w:keepNext/>
              <w:spacing w:line="240" w:lineRule="auto" w:before="30" w:after="30"/>
              <w:jc w:val="center"/>
            </w:pPr>
          </w:p>
        </w:tc>
        <w:tc>
          <w:tcPr>
            <w:tcW w:type="dxa" w:w="1548"/>
          </w:tcPr>
          <w:p>
            <w:pPr>
              <w:pStyle w:val="MDPI42tablebody"/>
              <w:keepNext/>
              <w:spacing w:line="240" w:lineRule="auto" w:before="30" w:after="30"/>
              <w:jc w:val="center"/>
            </w:pPr>
            <w:r>
              <w:rPr>
                <w:b w:val="0"/>
                <w:i w:val="0"/>
                <w:sz w:val="15"/>
              </w:rPr>
              <w:t>4.43 (0.350)</w:t>
            </w:r>
          </w:p>
        </w:tc>
        <w:tc>
          <w:tcPr>
            <w:tcW w:type="dxa" w:w="1548"/>
          </w:tcPr>
          <w:p>
            <w:pPr>
              <w:pStyle w:val="MDPI42tablebody"/>
              <w:keepNext/>
              <w:spacing w:line="240" w:lineRule="auto" w:before="30" w:after="30"/>
              <w:jc w:val="center"/>
            </w:pPr>
          </w:p>
        </w:tc>
        <w:tc>
          <w:tcPr>
            <w:tcW w:type="dxa" w:w="1548"/>
          </w:tcPr>
          <w:p>
            <w:pPr>
              <w:pStyle w:val="MDPI42tablebody"/>
              <w:keepNext/>
              <w:spacing w:line="240" w:lineRule="auto" w:before="30" w:after="30"/>
              <w:jc w:val="center"/>
            </w:pPr>
          </w:p>
        </w:tc>
      </w:tr>
      <w:tr>
        <w:trPr>
          <w:cantSplit/>
        </w:trPr>
        <w:tc>
          <w:tcPr>
            <w:tcW w:type="dxa" w:w="2721"/>
          </w:tcPr>
          <w:p>
            <w:pPr>
              <w:pStyle w:val="MDPI42tablebody"/>
              <w:keepNext/>
              <w:spacing w:line="240" w:lineRule="auto" w:before="30" w:after="30"/>
              <w:jc w:val="left"/>
            </w:pPr>
            <w:r>
              <w:rPr>
                <w:b w:val="0"/>
                <w:i/>
                <w:sz w:val="15"/>
              </w:rPr>
              <w:t>Wu–Hausman (p)</w:t>
            </w:r>
          </w:p>
        </w:tc>
        <w:tc>
          <w:tcPr>
            <w:tcW w:type="dxa" w:w="1548"/>
          </w:tcPr>
          <w:p>
            <w:pPr>
              <w:pStyle w:val="MDPI42tablebody"/>
              <w:keepNext/>
              <w:spacing w:line="240" w:lineRule="auto" w:before="30" w:after="30"/>
              <w:jc w:val="center"/>
            </w:pPr>
          </w:p>
        </w:tc>
        <w:tc>
          <w:tcPr>
            <w:tcW w:type="dxa" w:w="1548"/>
          </w:tcPr>
          <w:p>
            <w:pPr>
              <w:pStyle w:val="MDPI42tablebody"/>
              <w:keepNext/>
              <w:spacing w:line="240" w:lineRule="auto" w:before="30" w:after="30"/>
              <w:jc w:val="center"/>
            </w:pPr>
          </w:p>
        </w:tc>
        <w:tc>
          <w:tcPr>
            <w:tcW w:type="dxa" w:w="1548"/>
          </w:tcPr>
          <w:p>
            <w:pPr>
              <w:pStyle w:val="MDPI42tablebody"/>
              <w:keepNext/>
              <w:spacing w:line="240" w:lineRule="auto" w:before="30" w:after="30"/>
              <w:jc w:val="center"/>
            </w:pPr>
            <w:r>
              <w:rPr>
                <w:b w:val="0"/>
                <w:i w:val="0"/>
                <w:sz w:val="15"/>
              </w:rPr>
              <w:t>0.007</w:t>
            </w:r>
          </w:p>
        </w:tc>
        <w:tc>
          <w:tcPr>
            <w:tcW w:type="dxa" w:w="1548"/>
          </w:tcPr>
          <w:p>
            <w:pPr>
              <w:pStyle w:val="MDPI42tablebody"/>
              <w:keepNext/>
              <w:spacing w:line="240" w:lineRule="auto" w:before="30" w:after="30"/>
              <w:jc w:val="center"/>
            </w:pPr>
          </w:p>
        </w:tc>
        <w:tc>
          <w:tcPr>
            <w:tcW w:type="dxa" w:w="1548"/>
          </w:tcPr>
          <w:p>
            <w:pPr>
              <w:pStyle w:val="MDPI42tablebody"/>
              <w:keepNext/>
              <w:spacing w:line="240" w:lineRule="auto" w:before="30" w:after="30"/>
              <w:jc w:val="center"/>
            </w:pPr>
          </w:p>
        </w:tc>
      </w:tr>
      <w:tr>
        <w:trPr>
          <w:cantSplit/>
        </w:trPr>
        <w:tc>
          <w:tcPr>
            <w:tcW w:type="dxa" w:w="2721"/>
          </w:tcPr>
          <w:p>
            <w:pPr>
              <w:pStyle w:val="MDPI42tablebody"/>
              <w:spacing w:line="240" w:lineRule="auto" w:before="30" w:after="30"/>
              <w:jc w:val="left"/>
            </w:pPr>
            <w:r>
              <w:rPr>
                <w:b w:val="0"/>
                <w:i/>
                <w:sz w:val="15"/>
              </w:rPr>
              <w:t>Observations</w:t>
            </w:r>
          </w:p>
        </w:tc>
        <w:tc>
          <w:tcPr>
            <w:tcW w:type="dxa" w:w="1548"/>
          </w:tcPr>
          <w:p>
            <w:pPr>
              <w:pStyle w:val="MDPI42tablebody"/>
              <w:spacing w:line="240" w:lineRule="auto" w:before="30" w:after="30"/>
              <w:jc w:val="center"/>
            </w:pPr>
            <w:r>
              <w:rPr>
                <w:b w:val="0"/>
                <w:i w:val="0"/>
                <w:sz w:val="15"/>
              </w:rPr>
              <w:t>27,320</w:t>
            </w:r>
          </w:p>
        </w:tc>
        <w:tc>
          <w:tcPr>
            <w:tcW w:type="dxa" w:w="1548"/>
          </w:tcPr>
          <w:p>
            <w:pPr>
              <w:pStyle w:val="MDPI42tablebody"/>
              <w:spacing w:line="240" w:lineRule="auto" w:before="30" w:after="30"/>
              <w:jc w:val="center"/>
            </w:pPr>
            <w:r>
              <w:rPr>
                <w:b w:val="0"/>
                <w:i w:val="0"/>
                <w:sz w:val="15"/>
              </w:rPr>
              <w:t>27,320</w:t>
            </w:r>
          </w:p>
        </w:tc>
        <w:tc>
          <w:tcPr>
            <w:tcW w:type="dxa" w:w="1548"/>
          </w:tcPr>
          <w:p>
            <w:pPr>
              <w:pStyle w:val="MDPI42tablebody"/>
              <w:spacing w:line="240" w:lineRule="auto" w:before="30" w:after="30"/>
              <w:jc w:val="center"/>
            </w:pPr>
            <w:r>
              <w:rPr>
                <w:b w:val="0"/>
                <w:i w:val="0"/>
                <w:sz w:val="15"/>
              </w:rPr>
              <w:t>27,320</w:t>
            </w:r>
          </w:p>
        </w:tc>
        <w:tc>
          <w:tcPr>
            <w:tcW w:type="dxa" w:w="1548"/>
          </w:tcPr>
          <w:p>
            <w:pPr>
              <w:pStyle w:val="MDPI42tablebody"/>
              <w:spacing w:line="240" w:lineRule="auto" w:before="30" w:after="30"/>
              <w:jc w:val="center"/>
            </w:pPr>
            <w:r>
              <w:rPr>
                <w:b w:val="0"/>
                <w:i w:val="0"/>
                <w:sz w:val="15"/>
              </w:rPr>
              <w:t>21,811</w:t>
            </w:r>
          </w:p>
        </w:tc>
        <w:tc>
          <w:tcPr>
            <w:tcW w:type="dxa" w:w="1548"/>
          </w:tcPr>
          <w:p>
            <w:pPr>
              <w:pStyle w:val="MDPI42tablebody"/>
              <w:spacing w:line="240" w:lineRule="auto" w:before="30" w:after="30"/>
              <w:jc w:val="center"/>
            </w:pPr>
            <w:r>
              <w:rPr>
                <w:b w:val="0"/>
                <w:i w:val="0"/>
                <w:sz w:val="15"/>
              </w:rPr>
              <w:t>27,320</w:t>
            </w:r>
          </w:p>
        </w:tc>
      </w:tr>
    </w:tbl>
    <w:p>
      <w:pPr>
        <w:pStyle w:val="MDPI43tablefooter"/>
        <w:spacing w:line="240" w:lineRule="auto" w:before="40" w:after="200"/>
        <w:ind w:left="2608" w:firstLine="0"/>
      </w:pPr>
      <w:r>
        <w:rPr>
          <w:sz w:val="16"/>
        </w:rPr>
        <w:t xml:space="preserve">Note: </w:t>
      </w:r>
      <w:r>
        <w:rPr>
          <w:b w:val="0"/>
          <w:i w:val="0"/>
          <w:sz w:val="16"/>
        </w:rPr>
        <w:t>Columns (1) and (2) are the two first stages of the two-stage least-squares estimation and column (3) the second stage. Column (4) estimates Equation (3) on the 1:1 nearest-neighbour matched sample with a caliper of 0.02, and column (5) reweights the comparison group by entropy balancing on the first two moments of the covariates. Standard errors clustered at the firm level are in parentheses. ***, ** and * denote significance at the 1%, 5% and 10% levels.</w:t>
      </w:r>
    </w:p>
    <w:p>
      <w:pPr>
        <w:pStyle w:val="MDPI31text"/>
      </w:pPr>
      <w:r>
        <w:rPr>
          <w:b w:val="0"/>
          <w:i w:val="0"/>
        </w:rPr>
        <w:t>Table 9 reports the coefficient-stability bounds for the ascending arm. Moving from the specification without controls to the specification with controls changes the coefficient on depth from 2.975 to 2.952 while the within R-squared rises from 0.014 to 0.030. The coefficient is almost completely insensitive to the controls, so the bias-adjusted value is 2.939 and unobserved selection would have to be 228 times as important as the observed controls to drive it to zero. Finally, as a check on inference we re-estimate Equation (3) after randomly permuting adoption depth within year, repeated 500 times. The Lind–Mehlum statistic obtained with the actual assignment, 13.91, is larger than every one of those draws, whose distribution Figure 4 plots, so the curvature cannot be produced by the functional form acting on noise.</w:t>
      </w:r>
    </w:p>
    <w:p>
      <w:pPr>
        <w:pStyle w:val="MDPI41tablecaption"/>
        <w:keepNext/>
        <w:spacing w:after="60"/>
      </w:pPr>
      <w:r>
        <w:rPr>
          <w:b/>
          <w:sz w:val="18"/>
        </w:rPr>
        <w:t xml:space="preserve">Table 9. </w:t>
      </w:r>
      <w:r>
        <w:rPr>
          <w:b w:val="0"/>
          <w:i w:val="0"/>
          <w:sz w:val="18"/>
        </w:rPr>
        <w:t>Bounding the scope for selection on unobservables.</w:t>
      </w:r>
    </w:p>
    <w:tbl>
      <w:tblPr>
        <w:tblStyle w:val="MDPI41threelinetable"/>
        <w:tblW w:w="7858" w:type="dxa"/>
        <w:tblInd w:w="2608" w:type="dxa"/>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CellMar>
          <w:top w:w="0" w:type="dxa"/>
          <w:left w:w="57" w:type="dxa"/>
          <w:bottom w:w="0" w:type="dxa"/>
          <w:right w:w="57" w:type="dxa"/>
        </w:tblCellMar>
        <w:tblLook w:firstColumn="1" w:firstRow="1" w:lastColumn="0" w:lastRow="0" w:noHBand="0" w:noVBand="1" w:val="04A0"/>
      </w:tblPr>
      <w:tblGrid>
        <w:gridCol w:w="5343"/>
        <w:gridCol w:w="2514"/>
      </w:tblGrid>
      <w:tr>
        <w:trPr>
          <w:cantSplit/>
          <w:tblHeader/>
        </w:trPr>
        <w:tc>
          <w:tcPr>
            <w:tcW w:type="dxa" w:w="5343"/>
            <w:tcBorders>
              <w:bottom w:val="single" w:sz="8" w:space="0" w:color="auto"/>
            </w:tcBorders>
          </w:tcPr>
          <w:p>
            <w:pPr>
              <w:pStyle w:val="MDPI42tablebody"/>
              <w:keepNext/>
              <w:spacing w:line="240" w:lineRule="auto" w:before="30" w:after="30"/>
              <w:jc w:val="center"/>
            </w:pPr>
            <w:r>
              <w:rPr>
                <w:b/>
                <w:i w:val="0"/>
                <w:sz w:val="18"/>
              </w:rPr>
              <w:t>Quantity</w:t>
            </w:r>
          </w:p>
        </w:tc>
        <w:tc>
          <w:tcPr>
            <w:tcW w:type="dxa" w:w="2514"/>
            <w:tcBorders>
              <w:bottom w:val="single" w:sz="8" w:space="0" w:color="auto"/>
            </w:tcBorders>
          </w:tcPr>
          <w:p>
            <w:pPr>
              <w:pStyle w:val="MDPI42tablebody"/>
              <w:keepNext/>
              <w:spacing w:line="240" w:lineRule="auto" w:before="30" w:after="30"/>
              <w:jc w:val="center"/>
            </w:pPr>
            <w:r>
              <w:rPr>
                <w:b/>
                <w:i w:val="0"/>
                <w:sz w:val="18"/>
              </w:rPr>
              <w:t>Value</w:t>
            </w:r>
          </w:p>
        </w:tc>
      </w:tr>
      <w:tr>
        <w:trPr>
          <w:cantSplit/>
        </w:trPr>
        <w:tc>
          <w:tcPr>
            <w:tcW w:type="dxa" w:w="5343"/>
          </w:tcPr>
          <w:p>
            <w:pPr>
              <w:pStyle w:val="MDPI42tablebody"/>
              <w:keepNext/>
              <w:spacing w:line="240" w:lineRule="auto" w:before="30" w:after="30"/>
              <w:jc w:val="left"/>
            </w:pPr>
            <w:r>
              <w:rPr>
                <w:b w:val="0"/>
                <w:i w:val="0"/>
                <w:sz w:val="18"/>
              </w:rPr>
              <w:t>Coefficient on AI without controls</w:t>
            </w:r>
          </w:p>
        </w:tc>
        <w:tc>
          <w:tcPr>
            <w:tcW w:type="dxa" w:w="2514"/>
          </w:tcPr>
          <w:p>
            <w:pPr>
              <w:pStyle w:val="MDPI42tablebody"/>
              <w:keepNext/>
              <w:spacing w:line="240" w:lineRule="auto" w:before="30" w:after="30"/>
              <w:jc w:val="center"/>
            </w:pPr>
            <w:r>
              <w:rPr>
                <w:b w:val="0"/>
                <w:i w:val="0"/>
                <w:sz w:val="18"/>
              </w:rPr>
              <w:t>2.975</w:t>
            </w:r>
          </w:p>
        </w:tc>
      </w:tr>
      <w:tr>
        <w:trPr>
          <w:cantSplit/>
        </w:trPr>
        <w:tc>
          <w:tcPr>
            <w:tcW w:type="dxa" w:w="5343"/>
          </w:tcPr>
          <w:p>
            <w:pPr>
              <w:pStyle w:val="MDPI42tablebody"/>
              <w:keepNext/>
              <w:spacing w:line="240" w:lineRule="auto" w:before="30" w:after="30"/>
              <w:jc w:val="left"/>
            </w:pPr>
            <w:r>
              <w:rPr>
                <w:b w:val="0"/>
                <w:i w:val="0"/>
                <w:sz w:val="18"/>
              </w:rPr>
              <w:t>Coefficient on AI with controls</w:t>
            </w:r>
          </w:p>
        </w:tc>
        <w:tc>
          <w:tcPr>
            <w:tcW w:type="dxa" w:w="2514"/>
          </w:tcPr>
          <w:p>
            <w:pPr>
              <w:pStyle w:val="MDPI42tablebody"/>
              <w:keepNext/>
              <w:spacing w:line="240" w:lineRule="auto" w:before="30" w:after="30"/>
              <w:jc w:val="center"/>
            </w:pPr>
            <w:r>
              <w:rPr>
                <w:b w:val="0"/>
                <w:i w:val="0"/>
                <w:sz w:val="18"/>
              </w:rPr>
              <w:t>2.952</w:t>
            </w:r>
          </w:p>
        </w:tc>
      </w:tr>
      <w:tr>
        <w:trPr>
          <w:cantSplit/>
        </w:trPr>
        <w:tc>
          <w:tcPr>
            <w:tcW w:type="dxa" w:w="5343"/>
          </w:tcPr>
          <w:p>
            <w:pPr>
              <w:pStyle w:val="MDPI42tablebody"/>
              <w:keepNext/>
              <w:spacing w:line="240" w:lineRule="auto" w:before="30" w:after="30"/>
              <w:jc w:val="left"/>
            </w:pPr>
            <w:r>
              <w:rPr>
                <w:b w:val="0"/>
                <w:i w:val="0"/>
                <w:sz w:val="18"/>
              </w:rPr>
              <w:t>R-squared without controls</w:t>
            </w:r>
          </w:p>
        </w:tc>
        <w:tc>
          <w:tcPr>
            <w:tcW w:type="dxa" w:w="2514"/>
          </w:tcPr>
          <w:p>
            <w:pPr>
              <w:pStyle w:val="MDPI42tablebody"/>
              <w:keepNext/>
              <w:spacing w:line="240" w:lineRule="auto" w:before="30" w:after="30"/>
              <w:jc w:val="center"/>
            </w:pPr>
            <w:r>
              <w:rPr>
                <w:b w:val="0"/>
                <w:i w:val="0"/>
                <w:sz w:val="18"/>
              </w:rPr>
              <w:t>0.014</w:t>
            </w:r>
          </w:p>
        </w:tc>
      </w:tr>
      <w:tr>
        <w:trPr>
          <w:cantSplit/>
        </w:trPr>
        <w:tc>
          <w:tcPr>
            <w:tcW w:type="dxa" w:w="5343"/>
          </w:tcPr>
          <w:p>
            <w:pPr>
              <w:pStyle w:val="MDPI42tablebody"/>
              <w:keepNext/>
              <w:spacing w:line="240" w:lineRule="auto" w:before="30" w:after="30"/>
              <w:jc w:val="left"/>
            </w:pPr>
            <w:r>
              <w:rPr>
                <w:b w:val="0"/>
                <w:i w:val="0"/>
                <w:sz w:val="18"/>
              </w:rPr>
              <w:t>R-squared with controls</w:t>
            </w:r>
          </w:p>
        </w:tc>
        <w:tc>
          <w:tcPr>
            <w:tcW w:type="dxa" w:w="2514"/>
          </w:tcPr>
          <w:p>
            <w:pPr>
              <w:pStyle w:val="MDPI42tablebody"/>
              <w:keepNext/>
              <w:spacing w:line="240" w:lineRule="auto" w:before="30" w:after="30"/>
              <w:jc w:val="center"/>
            </w:pPr>
            <w:r>
              <w:rPr>
                <w:b w:val="0"/>
                <w:i w:val="0"/>
                <w:sz w:val="18"/>
              </w:rPr>
              <w:t>0.030</w:t>
            </w:r>
          </w:p>
        </w:tc>
      </w:tr>
      <w:tr>
        <w:trPr>
          <w:cantSplit/>
        </w:trPr>
        <w:tc>
          <w:tcPr>
            <w:tcW w:type="dxa" w:w="5343"/>
          </w:tcPr>
          <w:p>
            <w:pPr>
              <w:pStyle w:val="MDPI42tablebody"/>
              <w:keepNext/>
              <w:spacing w:line="240" w:lineRule="auto" w:before="30" w:after="30"/>
              <w:jc w:val="left"/>
            </w:pPr>
            <w:r>
              <w:rPr>
                <w:b w:val="0"/>
                <w:i w:val="0"/>
                <w:sz w:val="18"/>
              </w:rPr>
              <w:t>Assumed maximum R-squared (1.3 × R-squared with controls)</w:t>
            </w:r>
          </w:p>
        </w:tc>
        <w:tc>
          <w:tcPr>
            <w:tcW w:type="dxa" w:w="2514"/>
          </w:tcPr>
          <w:p>
            <w:pPr>
              <w:pStyle w:val="MDPI42tablebody"/>
              <w:keepNext/>
              <w:spacing w:line="240" w:lineRule="auto" w:before="30" w:after="30"/>
              <w:jc w:val="center"/>
            </w:pPr>
            <w:r>
              <w:rPr>
                <w:b w:val="0"/>
                <w:i w:val="0"/>
                <w:sz w:val="18"/>
              </w:rPr>
              <w:t>0.040</w:t>
            </w:r>
          </w:p>
        </w:tc>
      </w:tr>
      <w:tr>
        <w:trPr>
          <w:cantSplit/>
        </w:trPr>
        <w:tc>
          <w:tcPr>
            <w:tcW w:type="dxa" w:w="5343"/>
          </w:tcPr>
          <w:p>
            <w:pPr>
              <w:pStyle w:val="MDPI42tablebody"/>
              <w:keepNext/>
              <w:spacing w:line="240" w:lineRule="auto" w:before="30" w:after="30"/>
              <w:jc w:val="left"/>
            </w:pPr>
            <w:r>
              <w:rPr>
                <w:b w:val="0"/>
                <w:i w:val="0"/>
                <w:sz w:val="18"/>
              </w:rPr>
              <w:t>Bias-adjusted coefficient on AI</w:t>
            </w:r>
          </w:p>
        </w:tc>
        <w:tc>
          <w:tcPr>
            <w:tcW w:type="dxa" w:w="2514"/>
          </w:tcPr>
          <w:p>
            <w:pPr>
              <w:pStyle w:val="MDPI42tablebody"/>
              <w:keepNext/>
              <w:spacing w:line="240" w:lineRule="auto" w:before="30" w:after="30"/>
              <w:jc w:val="center"/>
            </w:pPr>
            <w:r>
              <w:rPr>
                <w:b w:val="0"/>
                <w:i w:val="0"/>
                <w:sz w:val="18"/>
              </w:rPr>
              <w:t>2.939</w:t>
            </w:r>
          </w:p>
        </w:tc>
      </w:tr>
      <w:tr>
        <w:trPr>
          <w:cantSplit/>
        </w:trPr>
        <w:tc>
          <w:tcPr>
            <w:tcW w:type="dxa" w:w="5343"/>
          </w:tcPr>
          <w:p>
            <w:pPr>
              <w:pStyle w:val="MDPI42tablebody"/>
              <w:spacing w:line="240" w:lineRule="auto" w:before="30" w:after="30"/>
              <w:jc w:val="left"/>
            </w:pPr>
            <w:r>
              <w:rPr>
                <w:b w:val="0"/>
                <w:i w:val="0"/>
                <w:sz w:val="18"/>
              </w:rPr>
              <w:t>Relative degree of selection that would set it to zero</w:t>
            </w:r>
          </w:p>
        </w:tc>
        <w:tc>
          <w:tcPr>
            <w:tcW w:type="dxa" w:w="2514"/>
          </w:tcPr>
          <w:p>
            <w:pPr>
              <w:pStyle w:val="MDPI42tablebody"/>
              <w:spacing w:line="240" w:lineRule="auto" w:before="30" w:after="30"/>
              <w:jc w:val="center"/>
            </w:pPr>
            <w:r>
              <w:rPr>
                <w:b w:val="0"/>
                <w:i w:val="0"/>
                <w:sz w:val="18"/>
              </w:rPr>
              <w:t>228.24</w:t>
            </w:r>
          </w:p>
        </w:tc>
      </w:tr>
    </w:tbl>
    <w:p>
      <w:pPr>
        <w:pStyle w:val="MDPI43tablefooter"/>
        <w:spacing w:line="240" w:lineRule="auto" w:before="40" w:after="200"/>
        <w:ind w:left="2608" w:firstLine="0"/>
      </w:pPr>
      <w:r>
        <w:rPr>
          <w:sz w:val="16"/>
        </w:rPr>
        <w:t xml:space="preserve">Note: </w:t>
      </w:r>
      <w:r>
        <w:rPr>
          <w:b w:val="0"/>
          <w:i w:val="0"/>
          <w:sz w:val="16"/>
        </w:rPr>
        <w:t>Both regressions are estimated on two-way demeaned data with the squared term retained in each, so that the R-squared is monotone in the set of controls. The relative degree of selection is the ratio of selection on unobservables to selection on observables that would be required to drive the coefficient to zero; an absolute value above one is conventionally read as evidence that the result is not driven by unobserved selection.</w:t>
      </w:r>
    </w:p>
    <w:p>
      <w:pPr>
        <w:pStyle w:val="MDPI52figure"/>
        <w:keepNext/>
        <w:ind w:left="2608" w:firstLine="0"/>
        <w:jc w:val="center"/>
      </w:pPr>
      <w:r>
        <w:drawing>
          <wp:inline xmlns:a="http://schemas.openxmlformats.org/drawingml/2006/main" xmlns:pic="http://schemas.openxmlformats.org/drawingml/2006/picture">
            <wp:extent cx="4968000" cy="2636943"/>
            <wp:docPr id="4" name="Picture 4"/>
            <wp:cNvGraphicFramePr>
              <a:graphicFrameLocks noChangeAspect="1"/>
            </wp:cNvGraphicFramePr>
            <a:graphic>
              <a:graphicData uri="http://schemas.openxmlformats.org/drawingml/2006/picture">
                <pic:pic>
                  <pic:nvPicPr>
                    <pic:cNvPr id="0" name="figure4_placebo.png"/>
                    <pic:cNvPicPr/>
                  </pic:nvPicPr>
                  <pic:blipFill>
                    <a:blip r:embed="rId20"/>
                    <a:stretch>
                      <a:fillRect/>
                    </a:stretch>
                  </pic:blipFill>
                  <pic:spPr>
                    <a:xfrm>
                      <a:off x="0" y="0"/>
                      <a:ext cx="4968000" cy="2636943"/>
                    </a:xfrm>
                    <a:prstGeom prst="rect"/>
                  </pic:spPr>
                </pic:pic>
              </a:graphicData>
            </a:graphic>
          </wp:inline>
        </w:drawing>
      </w:r>
    </w:p>
    <w:p>
      <w:pPr>
        <w:pStyle w:val="MDPI51figurecaption"/>
        <w:spacing w:after="200"/>
      </w:pPr>
      <w:r>
        <w:rPr>
          <w:b/>
          <w:sz w:val="18"/>
        </w:rPr>
        <w:t xml:space="preserve">Figure 4. </w:t>
      </w:r>
      <w:r>
        <w:rPr>
          <w:b w:val="0"/>
          <w:i w:val="0"/>
          <w:sz w:val="18"/>
        </w:rPr>
        <w:t>Randomisation distribution of the Lind–Mehlum statistic.</w:t>
      </w:r>
    </w:p>
    <w:p>
      <w:pPr>
        <w:pStyle w:val="MDPI21heading1"/>
      </w:pPr>
      <w:r>
        <w:t>5. Further Investigations</w:t>
      </w:r>
    </w:p>
    <w:p>
      <w:pPr>
        <w:pStyle w:val="MDPI32textnoindent"/>
      </w:pPr>
      <w:r>
        <w:rPr>
          <w:b w:val="0"/>
          <w:i w:val="0"/>
        </w:rPr>
        <w:t>If the relationship is inverted U-shaped, the managerially relevant question is where the peak sits, because that is the depth at which further adoption stops helping young workers and starts hurting them. This section asks what moves it. Table 10 reports the three moderated specifications of Equation (6) and Table 11 converts them into turning points and displacements.</w:t>
      </w:r>
    </w:p>
    <w:p>
      <w:pPr>
        <w:pStyle w:val="MDPI22heading2"/>
      </w:pPr>
      <w:r>
        <w:t>5.1. Adoption Depth, Organisational Learning Capability and Youth Employment</w:t>
      </w:r>
    </w:p>
    <w:p>
      <w:pPr>
        <w:pStyle w:val="MDPI32textnoindent"/>
      </w:pPr>
      <w:r>
        <w:rPr>
          <w:b w:val="0"/>
          <w:i w:val="0"/>
        </w:rPr>
        <w:t>Column (1) of Table 10 interacts depth and its square with organisational learning capability. The interaction with the linear term is 0.759 and significant at the 1% level, while the interaction with the squared term is −0.012 and not significant (p = 0.704). Read through Equation (8), this is a pure displacement: learning capability does not make the curve flatter or steeper, it moves it to the right. The turning point rises from 1.63 at one standard deviation below the mean to 2.65 at one standard deviation above it, a displacement of 0.508 per standard deviation with a standard error of 0.049. H2a is supported.</w:t>
      </w:r>
    </w:p>
    <w:p>
      <w:pPr>
        <w:pStyle w:val="MDPI31text"/>
      </w:pPr>
      <w:r>
        <w:rPr>
          <w:b w:val="0"/>
          <w:i w:val="0"/>
        </w:rPr>
        <w:t xml:space="preserve">The magnitude is economically large. A firm one standard deviation above the mean in learning capability is still on the ascending arm at a depth at which a firm one standard deviation below it has already been descending for some time. The same technology, adopted to the same depth, adds young workers in one firm and removes them from the other. This is the socio-technical joint-optimisation principle </w:t>
      </w:r>
      <w:r>
        <w:t>[</w:t>
      </w:r>
      <w:r>
        <w:fldChar w:fldCharType="begin"/>
      </w:r>
      <w:r>
        <w:instrText xml:space="preserve"> REF _Ref_17 \h </w:instrText>
      </w:r>
      <w:r>
        <w:fldChar w:fldCharType="separate"/>
      </w:r>
      <w:r>
        <w:t>17</w:t>
      </w:r>
      <w:r>
        <w:fldChar w:fldCharType="end"/>
      </w:r>
      <w:r>
        <w:t>,</w:t>
      </w:r>
      <w:r>
        <w:fldChar w:fldCharType="begin"/>
      </w:r>
      <w:r>
        <w:instrText xml:space="preserve"> REF _Ref_18 \h </w:instrText>
      </w:r>
      <w:r>
        <w:fldChar w:fldCharType="separate"/>
      </w:r>
      <w:r>
        <w:t>18</w:t>
      </w:r>
      <w:r>
        <w:fldChar w:fldCharType="end"/>
      </w:r>
      <w:r>
        <w:t>]</w:t>
      </w:r>
      <w:r>
        <w:rPr>
          <w:b w:val="0"/>
          <w:i w:val="0"/>
        </w:rPr>
        <w:t xml:space="preserve"> in a form that can be measured: the technical subsystem sets the shape of the curve, the social subsystem sets where along it the firm can afford to be.</w:t>
      </w:r>
    </w:p>
    <w:p>
      <w:pPr>
        <w:pStyle w:val="MDPI22heading2"/>
      </w:pPr>
      <w:r>
        <w:t>5.2. Adoption Depth, AI Governance and Youth Employment</w:t>
      </w:r>
    </w:p>
    <w:p>
      <w:pPr>
        <w:pStyle w:val="MDPI32textnoindent"/>
      </w:pPr>
      <w:r>
        <w:rPr>
          <w:b w:val="0"/>
          <w:i w:val="0"/>
        </w:rPr>
        <w:t>Column (2) repeats the exercise with disclosed AI governance. The interaction with the linear term is 0.694 (p = 0.002) and the interaction with the squared term is 0.079 and not significant. The turning point of a firm without disclosed governance arrangements is 1.81; with them it is 2.56, a displacement of 0.671 with a standard error of 0.065. H2b is supported.</w:t>
      </w:r>
    </w:p>
    <w:p>
      <w:pPr>
        <w:pStyle w:val="MDPI31text"/>
      </w:pPr>
      <w:r>
        <w:rPr>
          <w:b w:val="0"/>
          <w:i w:val="0"/>
        </w:rPr>
        <w:t xml:space="preserve">The interpretation is that governance is what makes the supervised, AI-assisted junior position viable. Without review protocols and accountability rules, work that a model can partly perform is either done unaided or handed to the model outright, and the intermediate arrangement — the one that keeps an entry position in existence — is not available. The evidence that professionals disengage from opaque systems when the stakes are high </w:t>
      </w:r>
      <w:r>
        <w:t>[</w:t>
      </w:r>
      <w:r>
        <w:fldChar w:fldCharType="begin"/>
      </w:r>
      <w:r>
        <w:instrText xml:space="preserve"> REF _Ref_22 \h </w:instrText>
      </w:r>
      <w:r>
        <w:fldChar w:fldCharType="separate"/>
      </w:r>
      <w:r>
        <w:t>22</w:t>
      </w:r>
      <w:r>
        <w:fldChar w:fldCharType="end"/>
      </w:r>
      <w:r>
        <w:t>,</w:t>
      </w:r>
      <w:r>
        <w:fldChar w:fldCharType="begin"/>
      </w:r>
      <w:r>
        <w:instrText xml:space="preserve"> REF _Ref_23 \h </w:instrText>
      </w:r>
      <w:r>
        <w:fldChar w:fldCharType="separate"/>
      </w:r>
      <w:r>
        <w:t>23</w:t>
      </w:r>
      <w:r>
        <w:fldChar w:fldCharType="end"/>
      </w:r>
      <w:r>
        <w:t>]</w:t>
      </w:r>
      <w:r>
        <w:rPr>
          <w:b w:val="0"/>
          <w:i w:val="0"/>
        </w:rPr>
        <w:t xml:space="preserve"> is the micro-foundation of this result.</w:t>
      </w:r>
    </w:p>
    <w:p>
      <w:pPr>
        <w:pStyle w:val="MDPI22heading2"/>
      </w:pPr>
      <w:r>
        <w:t>5.3. Adoption Depth, Labour Cost Pressure and Youth Employment</w:t>
      </w:r>
    </w:p>
    <w:p>
      <w:pPr>
        <w:pStyle w:val="MDPI32textnoindent"/>
      </w:pPr>
      <w:r>
        <w:rPr>
          <w:b w:val="0"/>
          <w:i w:val="0"/>
        </w:rPr>
        <w:t>Column (3) turns to labour cost pressure. The interaction with the linear term is −0.609 and significant at the 1% level, and the displacement of the turning point is −0.558 with a standard error of 0.058: the peak arrives earlier, moving from 2.81 at low cost pressure to 1.69 at high cost pressure. H2c is supported.</w:t>
      </w:r>
    </w:p>
    <w:p>
      <w:pPr>
        <w:pStyle w:val="MDPI31text"/>
      </w:pPr>
      <w:r>
        <w:rPr>
          <w:b w:val="0"/>
          <w:i w:val="0"/>
        </w:rPr>
        <w:t xml:space="preserve">The asymmetry with the first two moderators is instructive. Learning capability and governance change what the firm is able to do with a given augmentation gain; cost pressure changes what it chooses to do with it. A firm under pressure banks the gain as a smaller establishment rather than as more output per junior, which is the displacement effect winning over the scale effect </w:t>
      </w:r>
      <w:r>
        <w:t>[</w:t>
      </w:r>
      <w:r>
        <w:fldChar w:fldCharType="begin"/>
      </w:r>
      <w:r>
        <w:instrText xml:space="preserve"> REF _Ref_14 \h </w:instrText>
      </w:r>
      <w:r>
        <w:fldChar w:fldCharType="separate"/>
      </w:r>
      <w:r>
        <w:t>14</w:t>
      </w:r>
      <w:r>
        <w:fldChar w:fldCharType="end"/>
      </w:r>
      <w:r>
        <w:t>,</w:t>
      </w:r>
      <w:r>
        <w:fldChar w:fldCharType="begin"/>
      </w:r>
      <w:r>
        <w:instrText xml:space="preserve"> REF _Ref_31 \h </w:instrText>
      </w:r>
      <w:r>
        <w:fldChar w:fldCharType="separate"/>
      </w:r>
      <w:r>
        <w:t>31</w:t>
      </w:r>
      <w:r>
        <w:fldChar w:fldCharType="end"/>
      </w:r>
      <w:r>
        <w:t>]</w:t>
      </w:r>
      <w:r>
        <w:rPr>
          <w:b w:val="0"/>
          <w:i w:val="0"/>
        </w:rPr>
        <w:t>. The implication is uncomfortable but clear: the firms most likely to close the entry port early are not the technologically most advanced but the financially most constrained.</w:t>
      </w:r>
    </w:p>
    <w:p>
      <w:pPr>
        <w:pStyle w:val="MDPI41tablecaption"/>
        <w:keepNext/>
        <w:spacing w:after="60"/>
      </w:pPr>
      <w:r>
        <w:rPr>
          <w:b/>
          <w:sz w:val="18"/>
        </w:rPr>
        <w:t xml:space="preserve">Table 10. </w:t>
      </w:r>
      <w:r>
        <w:rPr>
          <w:b w:val="0"/>
          <w:i w:val="0"/>
          <w:sz w:val="18"/>
        </w:rPr>
        <w:t>Moderating roles of organisational learning capability, AI governance and labour cost pressure.</w:t>
      </w:r>
    </w:p>
    <w:tbl>
      <w:tblPr>
        <w:tblStyle w:val="MDPI41threelinetable"/>
        <w:tblW w:w="10466"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CellMar>
          <w:top w:w="0" w:type="dxa"/>
          <w:left w:w="57" w:type="dxa"/>
          <w:bottom w:w="0" w:type="dxa"/>
          <w:right w:w="57" w:type="dxa"/>
        </w:tblCellMar>
        <w:tblLook w:firstColumn="1" w:firstRow="1" w:lastColumn="0" w:lastRow="0" w:noHBand="0" w:noVBand="1" w:val="04A0"/>
      </w:tblPr>
      <w:tblGrid>
        <w:gridCol w:w="3244"/>
        <w:gridCol w:w="2407"/>
        <w:gridCol w:w="2407"/>
        <w:gridCol w:w="2407"/>
      </w:tblGrid>
      <w:tr>
        <w:trPr>
          <w:cantSplit/>
          <w:tblHeader/>
        </w:trPr>
        <w:tc>
          <w:tcPr>
            <w:tcW w:type="dxa" w:w="3244"/>
            <w:tcBorders>
              <w:bottom w:val="single" w:sz="8" w:space="0" w:color="auto"/>
            </w:tcBorders>
          </w:tcPr>
          <w:p>
            <w:pPr>
              <w:pStyle w:val="MDPI42tablebody"/>
              <w:keepNext/>
              <w:spacing w:line="240" w:lineRule="auto" w:before="30" w:after="30"/>
              <w:jc w:val="center"/>
            </w:pPr>
            <w:r>
              <w:rPr>
                <w:b/>
                <w:i w:val="0"/>
                <w:sz w:val="18"/>
              </w:rPr>
              <w:t>Variable</w:t>
            </w:r>
          </w:p>
        </w:tc>
        <w:tc>
          <w:tcPr>
            <w:tcW w:type="dxa" w:w="2407"/>
            <w:tcBorders>
              <w:bottom w:val="single" w:sz="8" w:space="0" w:color="auto"/>
            </w:tcBorders>
          </w:tcPr>
          <w:p>
            <w:pPr>
              <w:pStyle w:val="MDPI42tablebody"/>
              <w:keepNext/>
              <w:spacing w:line="240" w:lineRule="auto" w:before="30" w:after="30"/>
              <w:jc w:val="center"/>
            </w:pPr>
            <w:r>
              <w:rPr>
                <w:b/>
                <w:i w:val="0"/>
                <w:sz w:val="18"/>
              </w:rPr>
              <w:t>(1) OLC</w:t>
            </w:r>
          </w:p>
        </w:tc>
        <w:tc>
          <w:tcPr>
            <w:tcW w:type="dxa" w:w="2407"/>
            <w:tcBorders>
              <w:bottom w:val="single" w:sz="8" w:space="0" w:color="auto"/>
            </w:tcBorders>
          </w:tcPr>
          <w:p>
            <w:pPr>
              <w:pStyle w:val="MDPI42tablebody"/>
              <w:keepNext/>
              <w:spacing w:line="240" w:lineRule="auto" w:before="30" w:after="30"/>
              <w:jc w:val="center"/>
            </w:pPr>
            <w:r>
              <w:rPr>
                <w:b/>
                <w:i w:val="0"/>
                <w:sz w:val="18"/>
              </w:rPr>
              <w:t>(2) AIGov</w:t>
            </w:r>
          </w:p>
        </w:tc>
        <w:tc>
          <w:tcPr>
            <w:tcW w:type="dxa" w:w="2407"/>
            <w:tcBorders>
              <w:bottom w:val="single" w:sz="8" w:space="0" w:color="auto"/>
            </w:tcBorders>
          </w:tcPr>
          <w:p>
            <w:pPr>
              <w:pStyle w:val="MDPI42tablebody"/>
              <w:keepNext/>
              <w:spacing w:line="240" w:lineRule="auto" w:before="30" w:after="30"/>
              <w:jc w:val="center"/>
            </w:pPr>
            <w:r>
              <w:rPr>
                <w:b/>
                <w:i w:val="0"/>
                <w:sz w:val="18"/>
              </w:rPr>
              <w:t>(3) LCP</w:t>
            </w:r>
          </w:p>
        </w:tc>
      </w:tr>
      <w:tr>
        <w:trPr>
          <w:cantSplit/>
        </w:trPr>
        <w:tc>
          <w:tcPr>
            <w:tcW w:type="dxa" w:w="3244"/>
          </w:tcPr>
          <w:p>
            <w:pPr>
              <w:pStyle w:val="MDPI42tablebody"/>
              <w:keepNext/>
              <w:spacing w:line="240" w:lineRule="auto" w:before="30" w:after="30"/>
              <w:jc w:val="left"/>
            </w:pPr>
            <w:r>
              <w:rPr>
                <w:b w:val="0"/>
                <w:i/>
                <w:sz w:val="18"/>
              </w:rPr>
              <w:t>AI</w:t>
            </w:r>
          </w:p>
        </w:tc>
        <w:tc>
          <w:tcPr>
            <w:tcW w:type="dxa" w:w="2407"/>
          </w:tcPr>
          <w:p>
            <w:pPr>
              <w:pStyle w:val="MDPI42tablebody"/>
              <w:keepNext/>
              <w:spacing w:line="240" w:lineRule="auto" w:before="30" w:after="30"/>
              <w:jc w:val="center"/>
            </w:pPr>
            <w:r>
              <w:rPr>
                <w:b w:val="0"/>
                <w:i w:val="0"/>
                <w:sz w:val="18"/>
              </w:rPr>
              <w:t>2.990***</w:t>
            </w:r>
          </w:p>
        </w:tc>
        <w:tc>
          <w:tcPr>
            <w:tcW w:type="dxa" w:w="2407"/>
          </w:tcPr>
          <w:p>
            <w:pPr>
              <w:pStyle w:val="MDPI42tablebody"/>
              <w:keepNext/>
              <w:spacing w:line="240" w:lineRule="auto" w:before="30" w:after="30"/>
              <w:jc w:val="center"/>
            </w:pPr>
            <w:r>
              <w:rPr>
                <w:b w:val="0"/>
                <w:i w:val="0"/>
                <w:sz w:val="18"/>
              </w:rPr>
              <w:t>2.639***</w:t>
            </w:r>
          </w:p>
        </w:tc>
        <w:tc>
          <w:tcPr>
            <w:tcW w:type="dxa" w:w="2407"/>
          </w:tcPr>
          <w:p>
            <w:pPr>
              <w:pStyle w:val="MDPI42tablebody"/>
              <w:keepNext/>
              <w:spacing w:line="240" w:lineRule="auto" w:before="30" w:after="30"/>
              <w:jc w:val="center"/>
            </w:pPr>
            <w:r>
              <w:rPr>
                <w:b w:val="0"/>
                <w:i w:val="0"/>
                <w:sz w:val="18"/>
              </w:rPr>
              <w:t>3.044***</w:t>
            </w:r>
          </w:p>
        </w:tc>
      </w:tr>
      <w:tr>
        <w:trPr>
          <w:cantSplit/>
        </w:trPr>
        <w:tc>
          <w:tcPr>
            <w:tcW w:type="dxa" w:w="3244"/>
          </w:tcPr>
          <w:p>
            <w:pPr>
              <w:pStyle w:val="MDPI42tablebody"/>
              <w:keepNext/>
              <w:spacing w:line="240" w:lineRule="auto" w:before="30" w:after="30"/>
              <w:jc w:val="left"/>
            </w:pPr>
          </w:p>
        </w:tc>
        <w:tc>
          <w:tcPr>
            <w:tcW w:type="dxa" w:w="2407"/>
          </w:tcPr>
          <w:p>
            <w:pPr>
              <w:pStyle w:val="MDPI42tablebody"/>
              <w:keepNext/>
              <w:spacing w:line="240" w:lineRule="auto" w:before="30" w:after="30"/>
              <w:jc w:val="center"/>
            </w:pPr>
            <w:r>
              <w:rPr>
                <w:b w:val="0"/>
                <w:i w:val="0"/>
                <w:sz w:val="18"/>
              </w:rPr>
              <w:t>(0.185)</w:t>
            </w:r>
          </w:p>
        </w:tc>
        <w:tc>
          <w:tcPr>
            <w:tcW w:type="dxa" w:w="2407"/>
          </w:tcPr>
          <w:p>
            <w:pPr>
              <w:pStyle w:val="MDPI42tablebody"/>
              <w:keepNext/>
              <w:spacing w:line="240" w:lineRule="auto" w:before="30" w:after="30"/>
              <w:jc w:val="center"/>
            </w:pPr>
            <w:r>
              <w:rPr>
                <w:b w:val="0"/>
                <w:i w:val="0"/>
                <w:sz w:val="18"/>
              </w:rPr>
              <w:t>(0.214)</w:t>
            </w:r>
          </w:p>
        </w:tc>
        <w:tc>
          <w:tcPr>
            <w:tcW w:type="dxa" w:w="2407"/>
          </w:tcPr>
          <w:p>
            <w:pPr>
              <w:pStyle w:val="MDPI42tablebody"/>
              <w:keepNext/>
              <w:spacing w:line="240" w:lineRule="auto" w:before="30" w:after="30"/>
              <w:jc w:val="center"/>
            </w:pPr>
            <w:r>
              <w:rPr>
                <w:b w:val="0"/>
                <w:i w:val="0"/>
                <w:sz w:val="18"/>
              </w:rPr>
              <w:t>(0.184)</w:t>
            </w:r>
          </w:p>
        </w:tc>
      </w:tr>
      <w:tr>
        <w:trPr>
          <w:cantSplit/>
        </w:trPr>
        <w:tc>
          <w:tcPr>
            <w:tcW w:type="dxa" w:w="3244"/>
          </w:tcPr>
          <w:p>
            <w:pPr>
              <w:pStyle w:val="MDPI42tablebody"/>
              <w:keepNext/>
              <w:spacing w:line="240" w:lineRule="auto" w:before="30" w:after="30"/>
              <w:jc w:val="left"/>
            </w:pPr>
            <w:r>
              <w:rPr>
                <w:b w:val="0"/>
                <w:i/>
                <w:sz w:val="18"/>
              </w:rPr>
              <w:t>AI</w:t>
            </w:r>
            <w:r>
              <w:rPr>
                <w:b w:val="0"/>
                <w:i/>
                <w:sz w:val="18"/>
                <w:vertAlign w:val="superscript"/>
              </w:rPr>
              <w:t>2</w:t>
            </w:r>
          </w:p>
        </w:tc>
        <w:tc>
          <w:tcPr>
            <w:tcW w:type="dxa" w:w="2407"/>
          </w:tcPr>
          <w:p>
            <w:pPr>
              <w:pStyle w:val="MDPI42tablebody"/>
              <w:keepNext/>
              <w:spacing w:line="240" w:lineRule="auto" w:before="30" w:after="30"/>
              <w:jc w:val="center"/>
            </w:pPr>
            <w:r>
              <w:rPr>
                <w:b w:val="0"/>
                <w:i w:val="0"/>
                <w:sz w:val="18"/>
              </w:rPr>
              <w:t>−0.697***</w:t>
            </w:r>
          </w:p>
        </w:tc>
        <w:tc>
          <w:tcPr>
            <w:tcW w:type="dxa" w:w="2407"/>
          </w:tcPr>
          <w:p>
            <w:pPr>
              <w:pStyle w:val="MDPI42tablebody"/>
              <w:keepNext/>
              <w:spacing w:line="240" w:lineRule="auto" w:before="30" w:after="30"/>
              <w:jc w:val="center"/>
            </w:pPr>
            <w:r>
              <w:rPr>
                <w:b w:val="0"/>
                <w:i w:val="0"/>
                <w:sz w:val="18"/>
              </w:rPr>
              <w:t>−0.730***</w:t>
            </w:r>
          </w:p>
        </w:tc>
        <w:tc>
          <w:tcPr>
            <w:tcW w:type="dxa" w:w="2407"/>
          </w:tcPr>
          <w:p>
            <w:pPr>
              <w:pStyle w:val="MDPI42tablebody"/>
              <w:keepNext/>
              <w:spacing w:line="240" w:lineRule="auto" w:before="30" w:after="30"/>
              <w:jc w:val="center"/>
            </w:pPr>
            <w:r>
              <w:rPr>
                <w:b w:val="0"/>
                <w:i w:val="0"/>
                <w:sz w:val="18"/>
              </w:rPr>
              <w:t>−0.684***</w:t>
            </w:r>
          </w:p>
        </w:tc>
      </w:tr>
      <w:tr>
        <w:trPr>
          <w:cantSplit/>
        </w:trPr>
        <w:tc>
          <w:tcPr>
            <w:tcW w:type="dxa" w:w="3244"/>
          </w:tcPr>
          <w:p>
            <w:pPr>
              <w:pStyle w:val="MDPI42tablebody"/>
              <w:keepNext/>
              <w:spacing w:line="240" w:lineRule="auto" w:before="30" w:after="30"/>
              <w:jc w:val="left"/>
            </w:pPr>
          </w:p>
        </w:tc>
        <w:tc>
          <w:tcPr>
            <w:tcW w:type="dxa" w:w="2407"/>
          </w:tcPr>
          <w:p>
            <w:pPr>
              <w:pStyle w:val="MDPI42tablebody"/>
              <w:keepNext/>
              <w:spacing w:line="240" w:lineRule="auto" w:before="30" w:after="30"/>
              <w:jc w:val="center"/>
            </w:pPr>
            <w:r>
              <w:rPr>
                <w:b w:val="0"/>
                <w:i w:val="0"/>
                <w:sz w:val="18"/>
              </w:rPr>
              <w:t>(0.043)</w:t>
            </w:r>
          </w:p>
        </w:tc>
        <w:tc>
          <w:tcPr>
            <w:tcW w:type="dxa" w:w="2407"/>
          </w:tcPr>
          <w:p>
            <w:pPr>
              <w:pStyle w:val="MDPI42tablebody"/>
              <w:keepNext/>
              <w:spacing w:line="240" w:lineRule="auto" w:before="30" w:after="30"/>
              <w:jc w:val="center"/>
            </w:pPr>
            <w:r>
              <w:rPr>
                <w:b w:val="0"/>
                <w:i w:val="0"/>
                <w:sz w:val="18"/>
              </w:rPr>
              <w:t>(0.053)</w:t>
            </w:r>
          </w:p>
        </w:tc>
        <w:tc>
          <w:tcPr>
            <w:tcW w:type="dxa" w:w="2407"/>
          </w:tcPr>
          <w:p>
            <w:pPr>
              <w:pStyle w:val="MDPI42tablebody"/>
              <w:keepNext/>
              <w:spacing w:line="240" w:lineRule="auto" w:before="30" w:after="30"/>
              <w:jc w:val="center"/>
            </w:pPr>
            <w:r>
              <w:rPr>
                <w:b w:val="0"/>
                <w:i w:val="0"/>
                <w:sz w:val="18"/>
              </w:rPr>
              <w:t>(0.043)</w:t>
            </w:r>
          </w:p>
        </w:tc>
      </w:tr>
      <w:tr>
        <w:trPr>
          <w:cantSplit/>
        </w:trPr>
        <w:tc>
          <w:tcPr>
            <w:tcW w:type="dxa" w:w="3244"/>
          </w:tcPr>
          <w:p>
            <w:pPr>
              <w:pStyle w:val="MDPI42tablebody"/>
              <w:keepNext/>
              <w:spacing w:line="240" w:lineRule="auto" w:before="30" w:after="30"/>
              <w:jc w:val="left"/>
            </w:pPr>
            <w:r>
              <w:rPr>
                <w:b w:val="0"/>
                <w:i/>
                <w:sz w:val="18"/>
              </w:rPr>
              <w:t>AI × Z</w:t>
            </w:r>
          </w:p>
        </w:tc>
        <w:tc>
          <w:tcPr>
            <w:tcW w:type="dxa" w:w="2407"/>
          </w:tcPr>
          <w:p>
            <w:pPr>
              <w:pStyle w:val="MDPI42tablebody"/>
              <w:keepNext/>
              <w:spacing w:line="240" w:lineRule="auto" w:before="30" w:after="30"/>
              <w:jc w:val="center"/>
            </w:pPr>
            <w:r>
              <w:rPr>
                <w:b w:val="0"/>
                <w:i w:val="0"/>
                <w:sz w:val="18"/>
              </w:rPr>
              <w:t>0.759***</w:t>
            </w:r>
          </w:p>
        </w:tc>
        <w:tc>
          <w:tcPr>
            <w:tcW w:type="dxa" w:w="2407"/>
          </w:tcPr>
          <w:p>
            <w:pPr>
              <w:pStyle w:val="MDPI42tablebody"/>
              <w:keepNext/>
              <w:spacing w:line="240" w:lineRule="auto" w:before="30" w:after="30"/>
              <w:jc w:val="center"/>
            </w:pPr>
            <w:r>
              <w:rPr>
                <w:b w:val="0"/>
                <w:i w:val="0"/>
                <w:sz w:val="18"/>
              </w:rPr>
              <w:t>0.694***</w:t>
            </w:r>
          </w:p>
        </w:tc>
        <w:tc>
          <w:tcPr>
            <w:tcW w:type="dxa" w:w="2407"/>
          </w:tcPr>
          <w:p>
            <w:pPr>
              <w:pStyle w:val="MDPI42tablebody"/>
              <w:keepNext/>
              <w:spacing w:line="240" w:lineRule="auto" w:before="30" w:after="30"/>
              <w:jc w:val="center"/>
            </w:pPr>
            <w:r>
              <w:rPr>
                <w:b w:val="0"/>
                <w:i w:val="0"/>
                <w:sz w:val="18"/>
              </w:rPr>
              <w:t>−0.609***</w:t>
            </w:r>
          </w:p>
        </w:tc>
      </w:tr>
      <w:tr>
        <w:trPr>
          <w:cantSplit/>
        </w:trPr>
        <w:tc>
          <w:tcPr>
            <w:tcW w:type="dxa" w:w="3244"/>
          </w:tcPr>
          <w:p>
            <w:pPr>
              <w:pStyle w:val="MDPI42tablebody"/>
              <w:keepNext/>
              <w:spacing w:line="240" w:lineRule="auto" w:before="30" w:after="30"/>
              <w:jc w:val="left"/>
            </w:pPr>
          </w:p>
        </w:tc>
        <w:tc>
          <w:tcPr>
            <w:tcW w:type="dxa" w:w="2407"/>
          </w:tcPr>
          <w:p>
            <w:pPr>
              <w:pStyle w:val="MDPI42tablebody"/>
              <w:keepNext/>
              <w:spacing w:line="240" w:lineRule="auto" w:before="30" w:after="30"/>
              <w:jc w:val="center"/>
            </w:pPr>
            <w:r>
              <w:rPr>
                <w:b w:val="0"/>
                <w:i w:val="0"/>
                <w:sz w:val="18"/>
              </w:rPr>
              <w:t>(0.103)</w:t>
            </w:r>
          </w:p>
        </w:tc>
        <w:tc>
          <w:tcPr>
            <w:tcW w:type="dxa" w:w="2407"/>
          </w:tcPr>
          <w:p>
            <w:pPr>
              <w:pStyle w:val="MDPI42tablebody"/>
              <w:keepNext/>
              <w:spacing w:line="240" w:lineRule="auto" w:before="30" w:after="30"/>
              <w:jc w:val="center"/>
            </w:pPr>
            <w:r>
              <w:rPr>
                <w:b w:val="0"/>
                <w:i w:val="0"/>
                <w:sz w:val="18"/>
              </w:rPr>
              <w:t>(0.222)</w:t>
            </w:r>
          </w:p>
        </w:tc>
        <w:tc>
          <w:tcPr>
            <w:tcW w:type="dxa" w:w="2407"/>
          </w:tcPr>
          <w:p>
            <w:pPr>
              <w:pStyle w:val="MDPI42tablebody"/>
              <w:keepNext/>
              <w:spacing w:line="240" w:lineRule="auto" w:before="30" w:after="30"/>
              <w:jc w:val="center"/>
            </w:pPr>
            <w:r>
              <w:rPr>
                <w:b w:val="0"/>
                <w:i w:val="0"/>
                <w:sz w:val="18"/>
              </w:rPr>
              <w:t>(0.108)</w:t>
            </w:r>
          </w:p>
        </w:tc>
      </w:tr>
      <w:tr>
        <w:trPr>
          <w:cantSplit/>
        </w:trPr>
        <w:tc>
          <w:tcPr>
            <w:tcW w:type="dxa" w:w="3244"/>
          </w:tcPr>
          <w:p>
            <w:pPr>
              <w:pStyle w:val="MDPI42tablebody"/>
              <w:keepNext/>
              <w:spacing w:line="240" w:lineRule="auto" w:before="30" w:after="30"/>
              <w:jc w:val="left"/>
            </w:pPr>
            <w:r>
              <w:rPr>
                <w:b w:val="0"/>
                <w:i/>
                <w:sz w:val="18"/>
              </w:rPr>
              <w:t>AI</w:t>
            </w:r>
            <w:r>
              <w:rPr>
                <w:b w:val="0"/>
                <w:i/>
                <w:sz w:val="18"/>
                <w:vertAlign w:val="superscript"/>
              </w:rPr>
              <w:t>2</w:t>
            </w:r>
            <w:r>
              <w:rPr>
                <w:b w:val="0"/>
                <w:i/>
                <w:sz w:val="18"/>
              </w:rPr>
              <w:t xml:space="preserve"> × Z</w:t>
            </w:r>
          </w:p>
        </w:tc>
        <w:tc>
          <w:tcPr>
            <w:tcW w:type="dxa" w:w="2407"/>
          </w:tcPr>
          <w:p>
            <w:pPr>
              <w:pStyle w:val="MDPI42tablebody"/>
              <w:keepNext/>
              <w:spacing w:line="240" w:lineRule="auto" w:before="30" w:after="30"/>
              <w:jc w:val="center"/>
            </w:pPr>
            <w:r>
              <w:rPr>
                <w:b w:val="0"/>
                <w:i w:val="0"/>
                <w:sz w:val="18"/>
              </w:rPr>
              <w:t>−0.012</w:t>
            </w:r>
          </w:p>
        </w:tc>
        <w:tc>
          <w:tcPr>
            <w:tcW w:type="dxa" w:w="2407"/>
          </w:tcPr>
          <w:p>
            <w:pPr>
              <w:pStyle w:val="MDPI42tablebody"/>
              <w:keepNext/>
              <w:spacing w:line="240" w:lineRule="auto" w:before="30" w:after="30"/>
              <w:jc w:val="center"/>
            </w:pPr>
            <w:r>
              <w:rPr>
                <w:b w:val="0"/>
                <w:i w:val="0"/>
                <w:sz w:val="18"/>
              </w:rPr>
              <w:t>0.079</w:t>
            </w:r>
          </w:p>
        </w:tc>
        <w:tc>
          <w:tcPr>
            <w:tcW w:type="dxa" w:w="2407"/>
          </w:tcPr>
          <w:p>
            <w:pPr>
              <w:pStyle w:val="MDPI42tablebody"/>
              <w:keepNext/>
              <w:spacing w:line="240" w:lineRule="auto" w:before="30" w:after="30"/>
              <w:jc w:val="center"/>
            </w:pPr>
            <w:r>
              <w:rPr>
                <w:b w:val="0"/>
                <w:i w:val="0"/>
                <w:sz w:val="18"/>
              </w:rPr>
              <w:t>−0.035</w:t>
            </w:r>
          </w:p>
        </w:tc>
      </w:tr>
      <w:tr>
        <w:trPr>
          <w:cantSplit/>
        </w:trPr>
        <w:tc>
          <w:tcPr>
            <w:tcW w:type="dxa" w:w="3244"/>
          </w:tcPr>
          <w:p>
            <w:pPr>
              <w:pStyle w:val="MDPI42tablebody"/>
              <w:keepNext/>
              <w:spacing w:line="240" w:lineRule="auto" w:before="30" w:after="30"/>
              <w:jc w:val="left"/>
            </w:pPr>
          </w:p>
        </w:tc>
        <w:tc>
          <w:tcPr>
            <w:tcW w:type="dxa" w:w="2407"/>
          </w:tcPr>
          <w:p>
            <w:pPr>
              <w:pStyle w:val="MDPI42tablebody"/>
              <w:keepNext/>
              <w:spacing w:line="240" w:lineRule="auto" w:before="30" w:after="30"/>
              <w:jc w:val="center"/>
            </w:pPr>
            <w:r>
              <w:rPr>
                <w:b w:val="0"/>
                <w:i w:val="0"/>
                <w:sz w:val="18"/>
              </w:rPr>
              <w:t>(0.031)</w:t>
            </w:r>
          </w:p>
        </w:tc>
        <w:tc>
          <w:tcPr>
            <w:tcW w:type="dxa" w:w="2407"/>
          </w:tcPr>
          <w:p>
            <w:pPr>
              <w:pStyle w:val="MDPI42tablebody"/>
              <w:keepNext/>
              <w:spacing w:line="240" w:lineRule="auto" w:before="30" w:after="30"/>
              <w:jc w:val="center"/>
            </w:pPr>
            <w:r>
              <w:rPr>
                <w:b w:val="0"/>
                <w:i w:val="0"/>
                <w:sz w:val="18"/>
              </w:rPr>
              <w:t>(0.065)</w:t>
            </w:r>
          </w:p>
        </w:tc>
        <w:tc>
          <w:tcPr>
            <w:tcW w:type="dxa" w:w="2407"/>
          </w:tcPr>
          <w:p>
            <w:pPr>
              <w:pStyle w:val="MDPI42tablebody"/>
              <w:keepNext/>
              <w:spacing w:line="240" w:lineRule="auto" w:before="30" w:after="30"/>
              <w:jc w:val="center"/>
            </w:pPr>
            <w:r>
              <w:rPr>
                <w:b w:val="0"/>
                <w:i w:val="0"/>
                <w:sz w:val="18"/>
              </w:rPr>
              <w:t>(0.033)</w:t>
            </w:r>
          </w:p>
        </w:tc>
      </w:tr>
      <w:tr>
        <w:trPr>
          <w:cantSplit/>
        </w:trPr>
        <w:tc>
          <w:tcPr>
            <w:tcW w:type="dxa" w:w="3244"/>
          </w:tcPr>
          <w:p>
            <w:pPr>
              <w:pStyle w:val="MDPI42tablebody"/>
              <w:keepNext/>
              <w:spacing w:line="240" w:lineRule="auto" w:before="30" w:after="30"/>
              <w:jc w:val="left"/>
            </w:pPr>
            <w:r>
              <w:rPr>
                <w:b w:val="0"/>
                <w:i/>
                <w:sz w:val="18"/>
              </w:rPr>
              <w:t>AIGov</w:t>
            </w:r>
          </w:p>
        </w:tc>
        <w:tc>
          <w:tcPr>
            <w:tcW w:type="dxa" w:w="2407"/>
          </w:tcPr>
          <w:p>
            <w:pPr>
              <w:pStyle w:val="MDPI42tablebody"/>
              <w:keepNext/>
              <w:spacing w:line="240" w:lineRule="auto" w:before="30" w:after="30"/>
              <w:jc w:val="center"/>
            </w:pPr>
          </w:p>
        </w:tc>
        <w:tc>
          <w:tcPr>
            <w:tcW w:type="dxa" w:w="2407"/>
          </w:tcPr>
          <w:p>
            <w:pPr>
              <w:pStyle w:val="MDPI42tablebody"/>
              <w:keepNext/>
              <w:spacing w:line="240" w:lineRule="auto" w:before="30" w:after="30"/>
              <w:jc w:val="center"/>
            </w:pPr>
            <w:r>
              <w:rPr>
                <w:b w:val="0"/>
                <w:i w:val="0"/>
                <w:sz w:val="18"/>
              </w:rPr>
              <w:t>0.031</w:t>
            </w:r>
          </w:p>
        </w:tc>
        <w:tc>
          <w:tcPr>
            <w:tcW w:type="dxa" w:w="2407"/>
          </w:tcPr>
          <w:p>
            <w:pPr>
              <w:pStyle w:val="MDPI42tablebody"/>
              <w:keepNext/>
              <w:spacing w:line="240" w:lineRule="auto" w:before="30" w:after="30"/>
              <w:jc w:val="center"/>
            </w:pPr>
          </w:p>
        </w:tc>
      </w:tr>
      <w:tr>
        <w:trPr>
          <w:cantSplit/>
        </w:trPr>
        <w:tc>
          <w:tcPr>
            <w:tcW w:type="dxa" w:w="3244"/>
          </w:tcPr>
          <w:p>
            <w:pPr>
              <w:pStyle w:val="MDPI42tablebody"/>
              <w:keepNext/>
              <w:spacing w:line="240" w:lineRule="auto" w:before="30" w:after="30"/>
              <w:jc w:val="left"/>
            </w:pPr>
          </w:p>
        </w:tc>
        <w:tc>
          <w:tcPr>
            <w:tcW w:type="dxa" w:w="2407"/>
          </w:tcPr>
          <w:p>
            <w:pPr>
              <w:pStyle w:val="MDPI42tablebody"/>
              <w:keepNext/>
              <w:spacing w:line="240" w:lineRule="auto" w:before="30" w:after="30"/>
              <w:jc w:val="center"/>
            </w:pPr>
          </w:p>
        </w:tc>
        <w:tc>
          <w:tcPr>
            <w:tcW w:type="dxa" w:w="2407"/>
          </w:tcPr>
          <w:p>
            <w:pPr>
              <w:pStyle w:val="MDPI42tablebody"/>
              <w:keepNext/>
              <w:spacing w:line="240" w:lineRule="auto" w:before="30" w:after="30"/>
              <w:jc w:val="center"/>
            </w:pPr>
            <w:r>
              <w:rPr>
                <w:b w:val="0"/>
                <w:i w:val="0"/>
                <w:sz w:val="18"/>
              </w:rPr>
              <w:t>(0.115)</w:t>
            </w:r>
          </w:p>
        </w:tc>
        <w:tc>
          <w:tcPr>
            <w:tcW w:type="dxa" w:w="2407"/>
          </w:tcPr>
          <w:p>
            <w:pPr>
              <w:pStyle w:val="MDPI42tablebody"/>
              <w:keepNext/>
              <w:spacing w:line="240" w:lineRule="auto" w:before="30" w:after="30"/>
              <w:jc w:val="center"/>
            </w:pPr>
          </w:p>
        </w:tc>
      </w:tr>
      <w:tr>
        <w:trPr>
          <w:cantSplit/>
        </w:trPr>
        <w:tc>
          <w:tcPr>
            <w:tcW w:type="dxa" w:w="3244"/>
          </w:tcPr>
          <w:p>
            <w:pPr>
              <w:pStyle w:val="MDPI42tablebody"/>
              <w:keepNext/>
              <w:spacing w:line="240" w:lineRule="auto" w:before="30" w:after="30"/>
              <w:jc w:val="left"/>
            </w:pPr>
            <w:r>
              <w:rPr>
                <w:b w:val="0"/>
                <w:i/>
                <w:sz w:val="18"/>
              </w:rPr>
              <w:t>LCP</w:t>
            </w:r>
          </w:p>
        </w:tc>
        <w:tc>
          <w:tcPr>
            <w:tcW w:type="dxa" w:w="2407"/>
          </w:tcPr>
          <w:p>
            <w:pPr>
              <w:pStyle w:val="MDPI42tablebody"/>
              <w:keepNext/>
              <w:spacing w:line="240" w:lineRule="auto" w:before="30" w:after="30"/>
              <w:jc w:val="center"/>
            </w:pPr>
          </w:p>
        </w:tc>
        <w:tc>
          <w:tcPr>
            <w:tcW w:type="dxa" w:w="2407"/>
          </w:tcPr>
          <w:p>
            <w:pPr>
              <w:pStyle w:val="MDPI42tablebody"/>
              <w:keepNext/>
              <w:spacing w:line="240" w:lineRule="auto" w:before="30" w:after="30"/>
              <w:jc w:val="center"/>
            </w:pPr>
          </w:p>
        </w:tc>
        <w:tc>
          <w:tcPr>
            <w:tcW w:type="dxa" w:w="2407"/>
          </w:tcPr>
          <w:p>
            <w:pPr>
              <w:pStyle w:val="MDPI42tablebody"/>
              <w:keepNext/>
              <w:spacing w:line="240" w:lineRule="auto" w:before="30" w:after="30"/>
              <w:jc w:val="center"/>
            </w:pPr>
            <w:r>
              <w:rPr>
                <w:b w:val="0"/>
                <w:i w:val="0"/>
                <w:sz w:val="18"/>
              </w:rPr>
              <w:t>−0.014</w:t>
            </w:r>
          </w:p>
        </w:tc>
      </w:tr>
      <w:tr>
        <w:trPr>
          <w:cantSplit/>
        </w:trPr>
        <w:tc>
          <w:tcPr>
            <w:tcW w:type="dxa" w:w="3244"/>
          </w:tcPr>
          <w:p>
            <w:pPr>
              <w:pStyle w:val="MDPI42tablebody"/>
              <w:keepNext/>
              <w:spacing w:line="240" w:lineRule="auto" w:before="30" w:after="30"/>
              <w:jc w:val="left"/>
            </w:pPr>
          </w:p>
        </w:tc>
        <w:tc>
          <w:tcPr>
            <w:tcW w:type="dxa" w:w="2407"/>
          </w:tcPr>
          <w:p>
            <w:pPr>
              <w:pStyle w:val="MDPI42tablebody"/>
              <w:keepNext/>
              <w:spacing w:line="240" w:lineRule="auto" w:before="30" w:after="30"/>
              <w:jc w:val="center"/>
            </w:pPr>
          </w:p>
        </w:tc>
        <w:tc>
          <w:tcPr>
            <w:tcW w:type="dxa" w:w="2407"/>
          </w:tcPr>
          <w:p>
            <w:pPr>
              <w:pStyle w:val="MDPI42tablebody"/>
              <w:keepNext/>
              <w:spacing w:line="240" w:lineRule="auto" w:before="30" w:after="30"/>
              <w:jc w:val="center"/>
            </w:pPr>
          </w:p>
        </w:tc>
        <w:tc>
          <w:tcPr>
            <w:tcW w:type="dxa" w:w="2407"/>
          </w:tcPr>
          <w:p>
            <w:pPr>
              <w:pStyle w:val="MDPI42tablebody"/>
              <w:keepNext/>
              <w:spacing w:line="240" w:lineRule="auto" w:before="30" w:after="30"/>
              <w:jc w:val="center"/>
            </w:pPr>
            <w:r>
              <w:rPr>
                <w:b w:val="0"/>
                <w:i w:val="0"/>
                <w:sz w:val="18"/>
              </w:rPr>
              <w:t>(0.080)</w:t>
            </w:r>
          </w:p>
        </w:tc>
      </w:tr>
      <w:tr>
        <w:trPr>
          <w:cantSplit/>
        </w:trPr>
        <w:tc>
          <w:tcPr>
            <w:tcW w:type="dxa" w:w="3244"/>
          </w:tcPr>
          <w:p>
            <w:pPr>
              <w:pStyle w:val="MDPI42tablebody"/>
              <w:keepNext/>
              <w:spacing w:line="240" w:lineRule="auto" w:before="30" w:after="30"/>
              <w:jc w:val="left"/>
            </w:pPr>
            <w:r>
              <w:rPr>
                <w:b w:val="0"/>
                <w:i/>
                <w:sz w:val="18"/>
              </w:rPr>
              <w:t>Controls</w:t>
            </w:r>
          </w:p>
        </w:tc>
        <w:tc>
          <w:tcPr>
            <w:tcW w:type="dxa" w:w="2407"/>
          </w:tcPr>
          <w:p>
            <w:pPr>
              <w:pStyle w:val="MDPI42tablebody"/>
              <w:keepNext/>
              <w:spacing w:line="240" w:lineRule="auto" w:before="30" w:after="30"/>
              <w:jc w:val="center"/>
            </w:pPr>
            <w:r>
              <w:rPr>
                <w:b w:val="0"/>
                <w:i w:val="0"/>
                <w:sz w:val="18"/>
              </w:rPr>
              <w:t>Yes</w:t>
            </w:r>
          </w:p>
        </w:tc>
        <w:tc>
          <w:tcPr>
            <w:tcW w:type="dxa" w:w="2407"/>
          </w:tcPr>
          <w:p>
            <w:pPr>
              <w:pStyle w:val="MDPI42tablebody"/>
              <w:keepNext/>
              <w:spacing w:line="240" w:lineRule="auto" w:before="30" w:after="30"/>
              <w:jc w:val="center"/>
            </w:pPr>
            <w:r>
              <w:rPr>
                <w:b w:val="0"/>
                <w:i w:val="0"/>
                <w:sz w:val="18"/>
              </w:rPr>
              <w:t>Yes</w:t>
            </w:r>
          </w:p>
        </w:tc>
        <w:tc>
          <w:tcPr>
            <w:tcW w:type="dxa" w:w="2407"/>
          </w:tcPr>
          <w:p>
            <w:pPr>
              <w:pStyle w:val="MDPI42tablebody"/>
              <w:keepNext/>
              <w:spacing w:line="240" w:lineRule="auto" w:before="30" w:after="30"/>
              <w:jc w:val="center"/>
            </w:pPr>
            <w:r>
              <w:rPr>
                <w:b w:val="0"/>
                <w:i w:val="0"/>
                <w:sz w:val="18"/>
              </w:rPr>
              <w:t>Yes</w:t>
            </w:r>
          </w:p>
        </w:tc>
      </w:tr>
      <w:tr>
        <w:trPr>
          <w:cantSplit/>
        </w:trPr>
        <w:tc>
          <w:tcPr>
            <w:tcW w:type="dxa" w:w="3244"/>
          </w:tcPr>
          <w:p>
            <w:pPr>
              <w:pStyle w:val="MDPI42tablebody"/>
              <w:keepNext/>
              <w:spacing w:line="240" w:lineRule="auto" w:before="30" w:after="30"/>
              <w:jc w:val="left"/>
            </w:pPr>
            <w:r>
              <w:rPr>
                <w:b w:val="0"/>
                <w:i/>
                <w:sz w:val="18"/>
              </w:rPr>
              <w:t>Firm FE</w:t>
            </w:r>
          </w:p>
        </w:tc>
        <w:tc>
          <w:tcPr>
            <w:tcW w:type="dxa" w:w="2407"/>
          </w:tcPr>
          <w:p>
            <w:pPr>
              <w:pStyle w:val="MDPI42tablebody"/>
              <w:keepNext/>
              <w:spacing w:line="240" w:lineRule="auto" w:before="30" w:after="30"/>
              <w:jc w:val="center"/>
            </w:pPr>
            <w:r>
              <w:rPr>
                <w:b w:val="0"/>
                <w:i w:val="0"/>
                <w:sz w:val="18"/>
              </w:rPr>
              <w:t>Yes</w:t>
            </w:r>
          </w:p>
        </w:tc>
        <w:tc>
          <w:tcPr>
            <w:tcW w:type="dxa" w:w="2407"/>
          </w:tcPr>
          <w:p>
            <w:pPr>
              <w:pStyle w:val="MDPI42tablebody"/>
              <w:keepNext/>
              <w:spacing w:line="240" w:lineRule="auto" w:before="30" w:after="30"/>
              <w:jc w:val="center"/>
            </w:pPr>
            <w:r>
              <w:rPr>
                <w:b w:val="0"/>
                <w:i w:val="0"/>
                <w:sz w:val="18"/>
              </w:rPr>
              <w:t>Yes</w:t>
            </w:r>
          </w:p>
        </w:tc>
        <w:tc>
          <w:tcPr>
            <w:tcW w:type="dxa" w:w="2407"/>
          </w:tcPr>
          <w:p>
            <w:pPr>
              <w:pStyle w:val="MDPI42tablebody"/>
              <w:keepNext/>
              <w:spacing w:line="240" w:lineRule="auto" w:before="30" w:after="30"/>
              <w:jc w:val="center"/>
            </w:pPr>
            <w:r>
              <w:rPr>
                <w:b w:val="0"/>
                <w:i w:val="0"/>
                <w:sz w:val="18"/>
              </w:rPr>
              <w:t>Yes</w:t>
            </w:r>
          </w:p>
        </w:tc>
      </w:tr>
      <w:tr>
        <w:trPr>
          <w:cantSplit/>
        </w:trPr>
        <w:tc>
          <w:tcPr>
            <w:tcW w:type="dxa" w:w="3244"/>
          </w:tcPr>
          <w:p>
            <w:pPr>
              <w:pStyle w:val="MDPI42tablebody"/>
              <w:keepNext/>
              <w:spacing w:line="240" w:lineRule="auto" w:before="30" w:after="30"/>
              <w:jc w:val="left"/>
            </w:pPr>
            <w:r>
              <w:rPr>
                <w:b w:val="0"/>
                <w:i/>
                <w:sz w:val="18"/>
              </w:rPr>
              <w:t>Year FE</w:t>
            </w:r>
          </w:p>
        </w:tc>
        <w:tc>
          <w:tcPr>
            <w:tcW w:type="dxa" w:w="2407"/>
          </w:tcPr>
          <w:p>
            <w:pPr>
              <w:pStyle w:val="MDPI42tablebody"/>
              <w:keepNext/>
              <w:spacing w:line="240" w:lineRule="auto" w:before="30" w:after="30"/>
              <w:jc w:val="center"/>
            </w:pPr>
            <w:r>
              <w:rPr>
                <w:b w:val="0"/>
                <w:i w:val="0"/>
                <w:sz w:val="18"/>
              </w:rPr>
              <w:t>Yes</w:t>
            </w:r>
          </w:p>
        </w:tc>
        <w:tc>
          <w:tcPr>
            <w:tcW w:type="dxa" w:w="2407"/>
          </w:tcPr>
          <w:p>
            <w:pPr>
              <w:pStyle w:val="MDPI42tablebody"/>
              <w:keepNext/>
              <w:spacing w:line="240" w:lineRule="auto" w:before="30" w:after="30"/>
              <w:jc w:val="center"/>
            </w:pPr>
            <w:r>
              <w:rPr>
                <w:b w:val="0"/>
                <w:i w:val="0"/>
                <w:sz w:val="18"/>
              </w:rPr>
              <w:t>Yes</w:t>
            </w:r>
          </w:p>
        </w:tc>
        <w:tc>
          <w:tcPr>
            <w:tcW w:type="dxa" w:w="2407"/>
          </w:tcPr>
          <w:p>
            <w:pPr>
              <w:pStyle w:val="MDPI42tablebody"/>
              <w:keepNext/>
              <w:spacing w:line="240" w:lineRule="auto" w:before="30" w:after="30"/>
              <w:jc w:val="center"/>
            </w:pPr>
            <w:r>
              <w:rPr>
                <w:b w:val="0"/>
                <w:i w:val="0"/>
                <w:sz w:val="18"/>
              </w:rPr>
              <w:t>Yes</w:t>
            </w:r>
          </w:p>
        </w:tc>
      </w:tr>
      <w:tr>
        <w:trPr>
          <w:cantSplit/>
        </w:trPr>
        <w:tc>
          <w:tcPr>
            <w:tcW w:type="dxa" w:w="3244"/>
          </w:tcPr>
          <w:p>
            <w:pPr>
              <w:pStyle w:val="MDPI42tablebody"/>
              <w:keepNext/>
              <w:spacing w:line="240" w:lineRule="auto" w:before="30" w:after="30"/>
              <w:jc w:val="left"/>
            </w:pPr>
            <w:r>
              <w:rPr>
                <w:b w:val="0"/>
                <w:i/>
                <w:sz w:val="18"/>
              </w:rPr>
              <w:t>Observations</w:t>
            </w:r>
          </w:p>
        </w:tc>
        <w:tc>
          <w:tcPr>
            <w:tcW w:type="dxa" w:w="2407"/>
          </w:tcPr>
          <w:p>
            <w:pPr>
              <w:pStyle w:val="MDPI42tablebody"/>
              <w:keepNext/>
              <w:spacing w:line="240" w:lineRule="auto" w:before="30" w:after="30"/>
              <w:jc w:val="center"/>
            </w:pPr>
            <w:r>
              <w:rPr>
                <w:b w:val="0"/>
                <w:i w:val="0"/>
                <w:sz w:val="18"/>
              </w:rPr>
              <w:t>27,320</w:t>
            </w:r>
          </w:p>
        </w:tc>
        <w:tc>
          <w:tcPr>
            <w:tcW w:type="dxa" w:w="2407"/>
          </w:tcPr>
          <w:p>
            <w:pPr>
              <w:pStyle w:val="MDPI42tablebody"/>
              <w:keepNext/>
              <w:spacing w:line="240" w:lineRule="auto" w:before="30" w:after="30"/>
              <w:jc w:val="center"/>
            </w:pPr>
            <w:r>
              <w:rPr>
                <w:b w:val="0"/>
                <w:i w:val="0"/>
                <w:sz w:val="18"/>
              </w:rPr>
              <w:t>27,320</w:t>
            </w:r>
          </w:p>
        </w:tc>
        <w:tc>
          <w:tcPr>
            <w:tcW w:type="dxa" w:w="2407"/>
          </w:tcPr>
          <w:p>
            <w:pPr>
              <w:pStyle w:val="MDPI42tablebody"/>
              <w:keepNext/>
              <w:spacing w:line="240" w:lineRule="auto" w:before="30" w:after="30"/>
              <w:jc w:val="center"/>
            </w:pPr>
            <w:r>
              <w:rPr>
                <w:b w:val="0"/>
                <w:i w:val="0"/>
                <w:sz w:val="18"/>
              </w:rPr>
              <w:t>27,320</w:t>
            </w:r>
          </w:p>
        </w:tc>
      </w:tr>
      <w:tr>
        <w:trPr>
          <w:cantSplit/>
        </w:trPr>
        <w:tc>
          <w:tcPr>
            <w:tcW w:type="dxa" w:w="3244"/>
          </w:tcPr>
          <w:p>
            <w:pPr>
              <w:pStyle w:val="MDPI42tablebody"/>
              <w:spacing w:line="240" w:lineRule="auto" w:before="30" w:after="30"/>
              <w:jc w:val="left"/>
            </w:pPr>
            <w:r>
              <w:rPr>
                <w:b w:val="0"/>
                <w:i/>
                <w:sz w:val="18"/>
              </w:rPr>
              <w:t>Within R²</w:t>
            </w:r>
          </w:p>
        </w:tc>
        <w:tc>
          <w:tcPr>
            <w:tcW w:type="dxa" w:w="2407"/>
          </w:tcPr>
          <w:p>
            <w:pPr>
              <w:pStyle w:val="MDPI42tablebody"/>
              <w:spacing w:line="240" w:lineRule="auto" w:before="30" w:after="30"/>
              <w:jc w:val="center"/>
            </w:pPr>
            <w:r>
              <w:rPr>
                <w:b w:val="0"/>
                <w:i w:val="0"/>
                <w:sz w:val="18"/>
              </w:rPr>
              <w:t>0.054</w:t>
            </w:r>
          </w:p>
        </w:tc>
        <w:tc>
          <w:tcPr>
            <w:tcW w:type="dxa" w:w="2407"/>
          </w:tcPr>
          <w:p>
            <w:pPr>
              <w:pStyle w:val="MDPI42tablebody"/>
              <w:spacing w:line="240" w:lineRule="auto" w:before="30" w:after="30"/>
              <w:jc w:val="center"/>
            </w:pPr>
            <w:r>
              <w:rPr>
                <w:b w:val="0"/>
                <w:i w:val="0"/>
                <w:sz w:val="18"/>
              </w:rPr>
              <w:t>0.043</w:t>
            </w:r>
          </w:p>
        </w:tc>
        <w:tc>
          <w:tcPr>
            <w:tcW w:type="dxa" w:w="2407"/>
          </w:tcPr>
          <w:p>
            <w:pPr>
              <w:pStyle w:val="MDPI42tablebody"/>
              <w:spacing w:line="240" w:lineRule="auto" w:before="30" w:after="30"/>
              <w:jc w:val="center"/>
            </w:pPr>
            <w:r>
              <w:rPr>
                <w:b w:val="0"/>
                <w:i w:val="0"/>
                <w:sz w:val="18"/>
              </w:rPr>
              <w:t>0.055</w:t>
            </w:r>
          </w:p>
        </w:tc>
      </w:tr>
    </w:tbl>
    <w:p>
      <w:pPr>
        <w:pStyle w:val="MDPI43tablefooter"/>
        <w:spacing w:line="240" w:lineRule="auto" w:before="40" w:after="200"/>
        <w:ind w:left="2608" w:firstLine="0"/>
      </w:pPr>
      <w:r>
        <w:rPr>
          <w:sz w:val="16"/>
        </w:rPr>
        <w:t xml:space="preserve">Note: </w:t>
      </w:r>
      <w:r>
        <w:rPr>
          <w:b w:val="0"/>
          <w:i w:val="0"/>
          <w:sz w:val="16"/>
        </w:rPr>
        <w:t>Z denotes the moderator named in the column heading. OLC is measured before the shock and is time invariant, so it is absorbed by the firm fixed effects and enters only through its interactions. Standard errors clustered at the firm level are in parentheses. ***, ** and * denote significance at the 1%, 5% and 10% levels.</w:t>
      </w:r>
    </w:p>
    <w:p>
      <w:pPr>
        <w:pStyle w:val="MDPI41tablecaption"/>
        <w:keepNext/>
        <w:spacing w:after="60"/>
      </w:pPr>
      <w:r>
        <w:rPr>
          <w:b/>
          <w:sz w:val="18"/>
        </w:rPr>
        <w:t xml:space="preserve">Table 11. </w:t>
      </w:r>
      <w:r>
        <w:rPr>
          <w:b w:val="0"/>
          <w:i w:val="0"/>
          <w:sz w:val="18"/>
        </w:rPr>
        <w:t>Extreme points and their displacement across the three moderators.</w:t>
      </w:r>
    </w:p>
    <w:tbl>
      <w:tblPr>
        <w:tblStyle w:val="MDPI41threelinetable"/>
        <w:tblW w:w="10466"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CellMar>
          <w:top w:w="0" w:type="dxa"/>
          <w:left w:w="57" w:type="dxa"/>
          <w:bottom w:w="0" w:type="dxa"/>
          <w:right w:w="57" w:type="dxa"/>
        </w:tblCellMar>
        <w:tblLook w:firstColumn="1" w:firstRow="1" w:lastColumn="0" w:lastRow="0" w:noHBand="0" w:noVBand="1" w:val="04A0"/>
      </w:tblPr>
      <w:tblGrid>
        <w:gridCol w:w="1674"/>
        <w:gridCol w:w="2093"/>
        <w:gridCol w:w="1465"/>
        <w:gridCol w:w="1046"/>
        <w:gridCol w:w="1360"/>
        <w:gridCol w:w="1674"/>
        <w:gridCol w:w="1151"/>
      </w:tblGrid>
      <w:tr>
        <w:trPr>
          <w:cantSplit/>
          <w:tblHeader/>
        </w:trPr>
        <w:tc>
          <w:tcPr>
            <w:tcW w:type="dxa" w:w="1674"/>
            <w:tcBorders>
              <w:bottom w:val="single" w:sz="8" w:space="0" w:color="auto"/>
            </w:tcBorders>
          </w:tcPr>
          <w:p>
            <w:pPr>
              <w:pStyle w:val="MDPI42tablebody"/>
              <w:keepNext/>
              <w:spacing w:line="240" w:lineRule="auto" w:before="30" w:after="30"/>
              <w:jc w:val="center"/>
            </w:pPr>
            <w:r>
              <w:rPr>
                <w:b/>
                <w:i w:val="0"/>
                <w:sz w:val="16"/>
              </w:rPr>
              <w:t>Moderator</w:t>
            </w:r>
          </w:p>
        </w:tc>
        <w:tc>
          <w:tcPr>
            <w:tcW w:type="dxa" w:w="2093"/>
            <w:tcBorders>
              <w:bottom w:val="single" w:sz="8" w:space="0" w:color="auto"/>
            </w:tcBorders>
          </w:tcPr>
          <w:p>
            <w:pPr>
              <w:pStyle w:val="MDPI42tablebody"/>
              <w:keepNext/>
              <w:spacing w:line="240" w:lineRule="auto" w:before="30" w:after="30"/>
              <w:jc w:val="center"/>
            </w:pPr>
            <w:r>
              <w:rPr>
                <w:b/>
                <w:i w:val="0"/>
                <w:sz w:val="16"/>
              </w:rPr>
              <w:t>Level</w:t>
            </w:r>
          </w:p>
        </w:tc>
        <w:tc>
          <w:tcPr>
            <w:tcW w:type="dxa" w:w="1465"/>
            <w:tcBorders>
              <w:bottom w:val="single" w:sz="8" w:space="0" w:color="auto"/>
            </w:tcBorders>
          </w:tcPr>
          <w:p>
            <w:pPr>
              <w:pStyle w:val="MDPI42tablebody"/>
              <w:keepNext/>
              <w:spacing w:line="240" w:lineRule="auto" w:before="30" w:after="30"/>
              <w:jc w:val="center"/>
            </w:pPr>
            <w:r>
              <w:rPr>
                <w:b/>
                <w:i w:val="0"/>
                <w:sz w:val="16"/>
              </w:rPr>
              <w:t>Extreme point</w:t>
            </w:r>
          </w:p>
        </w:tc>
        <w:tc>
          <w:tcPr>
            <w:tcW w:type="dxa" w:w="1046"/>
            <w:tcBorders>
              <w:bottom w:val="single" w:sz="8" w:space="0" w:color="auto"/>
            </w:tcBorders>
          </w:tcPr>
          <w:p>
            <w:pPr>
              <w:pStyle w:val="MDPI42tablebody"/>
              <w:keepNext/>
              <w:spacing w:line="240" w:lineRule="auto" w:before="30" w:after="30"/>
              <w:jc w:val="center"/>
            </w:pPr>
            <w:r>
              <w:rPr>
                <w:b/>
                <w:i w:val="0"/>
                <w:sz w:val="16"/>
              </w:rPr>
              <w:t>SE</w:t>
            </w:r>
          </w:p>
        </w:tc>
        <w:tc>
          <w:tcPr>
            <w:tcW w:type="dxa" w:w="1360"/>
            <w:tcBorders>
              <w:bottom w:val="single" w:sz="8" w:space="0" w:color="auto"/>
            </w:tcBorders>
          </w:tcPr>
          <w:p>
            <w:pPr>
              <w:pStyle w:val="MDPI42tablebody"/>
              <w:keepNext/>
              <w:spacing w:line="240" w:lineRule="auto" w:before="30" w:after="30"/>
              <w:jc w:val="center"/>
            </w:pPr>
            <w:r>
              <w:rPr>
                <w:b/>
                <w:i w:val="0"/>
                <w:sz w:val="16"/>
              </w:rPr>
              <w:t>Curvature</w:t>
            </w:r>
          </w:p>
        </w:tc>
        <w:tc>
          <w:tcPr>
            <w:tcW w:type="dxa" w:w="1674"/>
            <w:tcBorders>
              <w:bottom w:val="single" w:sz="8" w:space="0" w:color="auto"/>
            </w:tcBorders>
          </w:tcPr>
          <w:p>
            <w:pPr>
              <w:pStyle w:val="MDPI42tablebody"/>
              <w:keepNext/>
              <w:spacing w:line="240" w:lineRule="auto" w:before="30" w:after="30"/>
              <w:jc w:val="center"/>
            </w:pPr>
            <w:r>
              <w:rPr>
                <w:b/>
                <w:i w:val="0"/>
                <w:sz w:val="16"/>
              </w:rPr>
              <w:t>Displacement</w:t>
            </w:r>
          </w:p>
        </w:tc>
        <w:tc>
          <w:tcPr>
            <w:tcW w:type="dxa" w:w="1151"/>
            <w:tcBorders>
              <w:bottom w:val="single" w:sz="8" w:space="0" w:color="auto"/>
            </w:tcBorders>
          </w:tcPr>
          <w:p>
            <w:pPr>
              <w:pStyle w:val="MDPI42tablebody"/>
              <w:keepNext/>
              <w:spacing w:line="240" w:lineRule="auto" w:before="30" w:after="30"/>
              <w:jc w:val="center"/>
            </w:pPr>
            <w:r>
              <w:rPr>
                <w:b/>
                <w:i w:val="0"/>
                <w:sz w:val="16"/>
              </w:rPr>
              <w:t>SE</w:t>
            </w:r>
          </w:p>
        </w:tc>
      </w:tr>
      <w:tr>
        <w:trPr>
          <w:cantSplit/>
        </w:trPr>
        <w:tc>
          <w:tcPr>
            <w:tcW w:type="dxa" w:w="1674"/>
          </w:tcPr>
          <w:p>
            <w:pPr>
              <w:pStyle w:val="MDPI42tablebody"/>
              <w:keepNext/>
              <w:spacing w:line="240" w:lineRule="auto" w:before="30" w:after="30"/>
              <w:jc w:val="left"/>
            </w:pPr>
            <w:r>
              <w:rPr>
                <w:b w:val="0"/>
                <w:i w:val="0"/>
                <w:sz w:val="16"/>
              </w:rPr>
              <w:t>OLC</w:t>
            </w:r>
          </w:p>
        </w:tc>
        <w:tc>
          <w:tcPr>
            <w:tcW w:type="dxa" w:w="2093"/>
          </w:tcPr>
          <w:p>
            <w:pPr>
              <w:pStyle w:val="MDPI42tablebody"/>
              <w:keepNext/>
              <w:spacing w:line="240" w:lineRule="auto" w:before="30" w:after="30"/>
              <w:jc w:val="left"/>
            </w:pPr>
            <w:r>
              <w:rPr>
                <w:b w:val="0"/>
                <w:i w:val="0"/>
                <w:sz w:val="16"/>
              </w:rPr>
              <w:t>Low (−1 SD)</w:t>
            </w:r>
          </w:p>
        </w:tc>
        <w:tc>
          <w:tcPr>
            <w:tcW w:type="dxa" w:w="1465"/>
          </w:tcPr>
          <w:p>
            <w:pPr>
              <w:pStyle w:val="MDPI42tablebody"/>
              <w:keepNext/>
              <w:spacing w:line="240" w:lineRule="auto" w:before="30" w:after="30"/>
              <w:jc w:val="center"/>
            </w:pPr>
            <w:r>
              <w:rPr>
                <w:b w:val="0"/>
                <w:i w:val="0"/>
                <w:sz w:val="16"/>
              </w:rPr>
              <w:t>1.629</w:t>
            </w:r>
          </w:p>
        </w:tc>
        <w:tc>
          <w:tcPr>
            <w:tcW w:type="dxa" w:w="1046"/>
          </w:tcPr>
          <w:p>
            <w:pPr>
              <w:pStyle w:val="MDPI42tablebody"/>
              <w:keepNext/>
              <w:spacing w:line="240" w:lineRule="auto" w:before="30" w:after="30"/>
              <w:jc w:val="center"/>
            </w:pPr>
            <w:r>
              <w:rPr>
                <w:b w:val="0"/>
                <w:i w:val="0"/>
                <w:sz w:val="16"/>
              </w:rPr>
              <w:t>(0.061)</w:t>
            </w:r>
          </w:p>
        </w:tc>
        <w:tc>
          <w:tcPr>
            <w:tcW w:type="dxa" w:w="1360"/>
          </w:tcPr>
          <w:p>
            <w:pPr>
              <w:pStyle w:val="MDPI42tablebody"/>
              <w:keepNext/>
              <w:spacing w:line="240" w:lineRule="auto" w:before="30" w:after="30"/>
              <w:jc w:val="center"/>
            </w:pPr>
            <w:r>
              <w:rPr>
                <w:b w:val="0"/>
                <w:i w:val="0"/>
                <w:sz w:val="16"/>
              </w:rPr>
              <w:t>−0.685</w:t>
            </w:r>
          </w:p>
        </w:tc>
        <w:tc>
          <w:tcPr>
            <w:tcW w:type="dxa" w:w="1674"/>
          </w:tcPr>
          <w:p>
            <w:pPr>
              <w:pStyle w:val="MDPI42tablebody"/>
              <w:keepNext/>
              <w:spacing w:line="240" w:lineRule="auto" w:before="30" w:after="30"/>
              <w:jc w:val="center"/>
            </w:pPr>
          </w:p>
        </w:tc>
        <w:tc>
          <w:tcPr>
            <w:tcW w:type="dxa" w:w="1151"/>
          </w:tcPr>
          <w:p>
            <w:pPr>
              <w:pStyle w:val="MDPI42tablebody"/>
              <w:keepNext/>
              <w:spacing w:line="240" w:lineRule="auto" w:before="30" w:after="30"/>
              <w:jc w:val="center"/>
            </w:pPr>
          </w:p>
        </w:tc>
      </w:tr>
      <w:tr>
        <w:trPr>
          <w:cantSplit/>
        </w:trPr>
        <w:tc>
          <w:tcPr>
            <w:tcW w:type="dxa" w:w="1674"/>
          </w:tcPr>
          <w:p>
            <w:pPr>
              <w:pStyle w:val="MDPI42tablebody"/>
              <w:keepNext/>
              <w:spacing w:line="240" w:lineRule="auto" w:before="30" w:after="30"/>
              <w:jc w:val="left"/>
            </w:pPr>
            <w:r>
              <w:rPr>
                <w:b w:val="0"/>
                <w:i w:val="0"/>
                <w:sz w:val="16"/>
              </w:rPr>
              <w:t>OLC</w:t>
            </w:r>
          </w:p>
        </w:tc>
        <w:tc>
          <w:tcPr>
            <w:tcW w:type="dxa" w:w="2093"/>
          </w:tcPr>
          <w:p>
            <w:pPr>
              <w:pStyle w:val="MDPI42tablebody"/>
              <w:keepNext/>
              <w:spacing w:line="240" w:lineRule="auto" w:before="30" w:after="30"/>
              <w:jc w:val="left"/>
            </w:pPr>
            <w:r>
              <w:rPr>
                <w:b w:val="0"/>
                <w:i w:val="0"/>
                <w:sz w:val="16"/>
              </w:rPr>
              <w:t>Mean</w:t>
            </w:r>
          </w:p>
        </w:tc>
        <w:tc>
          <w:tcPr>
            <w:tcW w:type="dxa" w:w="1465"/>
          </w:tcPr>
          <w:p>
            <w:pPr>
              <w:pStyle w:val="MDPI42tablebody"/>
              <w:keepNext/>
              <w:spacing w:line="240" w:lineRule="auto" w:before="30" w:after="30"/>
              <w:jc w:val="center"/>
            </w:pPr>
            <w:r>
              <w:rPr>
                <w:b w:val="0"/>
                <w:i w:val="0"/>
                <w:sz w:val="16"/>
              </w:rPr>
              <w:t>2.146</w:t>
            </w:r>
          </w:p>
        </w:tc>
        <w:tc>
          <w:tcPr>
            <w:tcW w:type="dxa" w:w="1046"/>
          </w:tcPr>
          <w:p>
            <w:pPr>
              <w:pStyle w:val="MDPI42tablebody"/>
              <w:keepNext/>
              <w:spacing w:line="240" w:lineRule="auto" w:before="30" w:after="30"/>
              <w:jc w:val="center"/>
            </w:pPr>
            <w:r>
              <w:rPr>
                <w:b w:val="0"/>
                <w:i w:val="0"/>
                <w:sz w:val="16"/>
              </w:rPr>
              <w:t>(0.048)</w:t>
            </w:r>
          </w:p>
        </w:tc>
        <w:tc>
          <w:tcPr>
            <w:tcW w:type="dxa" w:w="1360"/>
          </w:tcPr>
          <w:p>
            <w:pPr>
              <w:pStyle w:val="MDPI42tablebody"/>
              <w:keepNext/>
              <w:spacing w:line="240" w:lineRule="auto" w:before="30" w:after="30"/>
              <w:jc w:val="center"/>
            </w:pPr>
            <w:r>
              <w:rPr>
                <w:b w:val="0"/>
                <w:i w:val="0"/>
                <w:sz w:val="16"/>
              </w:rPr>
              <w:t>−0.697</w:t>
            </w:r>
          </w:p>
        </w:tc>
        <w:tc>
          <w:tcPr>
            <w:tcW w:type="dxa" w:w="1674"/>
          </w:tcPr>
          <w:p>
            <w:pPr>
              <w:pStyle w:val="MDPI42tablebody"/>
              <w:keepNext/>
              <w:spacing w:line="240" w:lineRule="auto" w:before="30" w:after="30"/>
              <w:jc w:val="center"/>
            </w:pPr>
          </w:p>
        </w:tc>
        <w:tc>
          <w:tcPr>
            <w:tcW w:type="dxa" w:w="1151"/>
          </w:tcPr>
          <w:p>
            <w:pPr>
              <w:pStyle w:val="MDPI42tablebody"/>
              <w:keepNext/>
              <w:spacing w:line="240" w:lineRule="auto" w:before="30" w:after="30"/>
              <w:jc w:val="center"/>
            </w:pPr>
          </w:p>
        </w:tc>
      </w:tr>
      <w:tr>
        <w:trPr>
          <w:cantSplit/>
        </w:trPr>
        <w:tc>
          <w:tcPr>
            <w:tcW w:type="dxa" w:w="1674"/>
          </w:tcPr>
          <w:p>
            <w:pPr>
              <w:pStyle w:val="MDPI42tablebody"/>
              <w:keepNext/>
              <w:spacing w:line="240" w:lineRule="auto" w:before="30" w:after="30"/>
              <w:jc w:val="left"/>
            </w:pPr>
            <w:r>
              <w:rPr>
                <w:b w:val="0"/>
                <w:i w:val="0"/>
                <w:sz w:val="16"/>
              </w:rPr>
              <w:t>OLC</w:t>
            </w:r>
          </w:p>
        </w:tc>
        <w:tc>
          <w:tcPr>
            <w:tcW w:type="dxa" w:w="2093"/>
          </w:tcPr>
          <w:p>
            <w:pPr>
              <w:pStyle w:val="MDPI42tablebody"/>
              <w:keepNext/>
              <w:spacing w:line="240" w:lineRule="auto" w:before="30" w:after="30"/>
              <w:jc w:val="left"/>
            </w:pPr>
            <w:r>
              <w:rPr>
                <w:b w:val="0"/>
                <w:i w:val="0"/>
                <w:sz w:val="16"/>
              </w:rPr>
              <w:t>High (+1 SD)</w:t>
            </w:r>
          </w:p>
        </w:tc>
        <w:tc>
          <w:tcPr>
            <w:tcW w:type="dxa" w:w="1465"/>
          </w:tcPr>
          <w:p>
            <w:pPr>
              <w:pStyle w:val="MDPI42tablebody"/>
              <w:keepNext/>
              <w:spacing w:line="240" w:lineRule="auto" w:before="30" w:after="30"/>
              <w:jc w:val="center"/>
            </w:pPr>
            <w:r>
              <w:rPr>
                <w:b w:val="0"/>
                <w:i w:val="0"/>
                <w:sz w:val="16"/>
              </w:rPr>
              <w:t>2.646</w:t>
            </w:r>
          </w:p>
        </w:tc>
        <w:tc>
          <w:tcPr>
            <w:tcW w:type="dxa" w:w="1046"/>
          </w:tcPr>
          <w:p>
            <w:pPr>
              <w:pStyle w:val="MDPI42tablebody"/>
              <w:keepNext/>
              <w:spacing w:line="240" w:lineRule="auto" w:before="30" w:after="30"/>
              <w:jc w:val="center"/>
            </w:pPr>
            <w:r>
              <w:rPr>
                <w:b w:val="0"/>
                <w:i w:val="0"/>
                <w:sz w:val="16"/>
              </w:rPr>
              <w:t>(0.083)</w:t>
            </w:r>
          </w:p>
        </w:tc>
        <w:tc>
          <w:tcPr>
            <w:tcW w:type="dxa" w:w="1360"/>
          </w:tcPr>
          <w:p>
            <w:pPr>
              <w:pStyle w:val="MDPI42tablebody"/>
              <w:keepNext/>
              <w:spacing w:line="240" w:lineRule="auto" w:before="30" w:after="30"/>
              <w:jc w:val="center"/>
            </w:pPr>
            <w:r>
              <w:rPr>
                <w:b w:val="0"/>
                <w:i w:val="0"/>
                <w:sz w:val="16"/>
              </w:rPr>
              <w:t>−0.708</w:t>
            </w:r>
          </w:p>
        </w:tc>
        <w:tc>
          <w:tcPr>
            <w:tcW w:type="dxa" w:w="1674"/>
          </w:tcPr>
          <w:p>
            <w:pPr>
              <w:pStyle w:val="MDPI42tablebody"/>
              <w:keepNext/>
              <w:spacing w:line="240" w:lineRule="auto" w:before="30" w:after="30"/>
              <w:jc w:val="center"/>
            </w:pPr>
            <w:r>
              <w:rPr>
                <w:b w:val="0"/>
                <w:i w:val="0"/>
                <w:sz w:val="16"/>
              </w:rPr>
              <w:t>0.508***</w:t>
            </w:r>
          </w:p>
        </w:tc>
        <w:tc>
          <w:tcPr>
            <w:tcW w:type="dxa" w:w="1151"/>
          </w:tcPr>
          <w:p>
            <w:pPr>
              <w:pStyle w:val="MDPI42tablebody"/>
              <w:keepNext/>
              <w:spacing w:line="240" w:lineRule="auto" w:before="30" w:after="30"/>
              <w:jc w:val="center"/>
            </w:pPr>
            <w:r>
              <w:rPr>
                <w:b w:val="0"/>
                <w:i w:val="0"/>
                <w:sz w:val="16"/>
              </w:rPr>
              <w:t>(0.049)</w:t>
            </w:r>
          </w:p>
        </w:tc>
      </w:tr>
      <w:tr>
        <w:trPr>
          <w:cantSplit/>
        </w:trPr>
        <w:tc>
          <w:tcPr>
            <w:tcW w:type="dxa" w:w="1674"/>
          </w:tcPr>
          <w:p>
            <w:pPr>
              <w:pStyle w:val="MDPI42tablebody"/>
              <w:keepNext/>
              <w:spacing w:line="240" w:lineRule="auto" w:before="30" w:after="30"/>
              <w:jc w:val="left"/>
            </w:pPr>
            <w:r>
              <w:rPr>
                <w:b w:val="0"/>
                <w:i w:val="0"/>
                <w:sz w:val="16"/>
              </w:rPr>
              <w:t>AIGov</w:t>
            </w:r>
          </w:p>
        </w:tc>
        <w:tc>
          <w:tcPr>
            <w:tcW w:type="dxa" w:w="2093"/>
          </w:tcPr>
          <w:p>
            <w:pPr>
              <w:pStyle w:val="MDPI42tablebody"/>
              <w:keepNext/>
              <w:spacing w:line="240" w:lineRule="auto" w:before="30" w:after="30"/>
              <w:jc w:val="left"/>
            </w:pPr>
            <w:r>
              <w:rPr>
                <w:b w:val="0"/>
                <w:i w:val="0"/>
                <w:sz w:val="16"/>
              </w:rPr>
              <w:t>Without disclosure</w:t>
            </w:r>
          </w:p>
        </w:tc>
        <w:tc>
          <w:tcPr>
            <w:tcW w:type="dxa" w:w="1465"/>
          </w:tcPr>
          <w:p>
            <w:pPr>
              <w:pStyle w:val="MDPI42tablebody"/>
              <w:keepNext/>
              <w:spacing w:line="240" w:lineRule="auto" w:before="30" w:after="30"/>
              <w:jc w:val="center"/>
            </w:pPr>
            <w:r>
              <w:rPr>
                <w:b w:val="0"/>
                <w:i w:val="0"/>
                <w:sz w:val="16"/>
              </w:rPr>
              <w:t>1.809</w:t>
            </w:r>
          </w:p>
        </w:tc>
        <w:tc>
          <w:tcPr>
            <w:tcW w:type="dxa" w:w="1046"/>
          </w:tcPr>
          <w:p>
            <w:pPr>
              <w:pStyle w:val="MDPI42tablebody"/>
              <w:keepNext/>
              <w:spacing w:line="240" w:lineRule="auto" w:before="30" w:after="30"/>
              <w:jc w:val="center"/>
            </w:pPr>
            <w:r>
              <w:rPr>
                <w:b w:val="0"/>
                <w:i w:val="0"/>
                <w:sz w:val="16"/>
              </w:rPr>
              <w:t>(0.054)</w:t>
            </w:r>
          </w:p>
        </w:tc>
        <w:tc>
          <w:tcPr>
            <w:tcW w:type="dxa" w:w="1360"/>
          </w:tcPr>
          <w:p>
            <w:pPr>
              <w:pStyle w:val="MDPI42tablebody"/>
              <w:keepNext/>
              <w:spacing w:line="240" w:lineRule="auto" w:before="30" w:after="30"/>
              <w:jc w:val="center"/>
            </w:pPr>
            <w:r>
              <w:rPr>
                <w:b w:val="0"/>
                <w:i w:val="0"/>
                <w:sz w:val="16"/>
              </w:rPr>
              <w:t>−0.730</w:t>
            </w:r>
          </w:p>
        </w:tc>
        <w:tc>
          <w:tcPr>
            <w:tcW w:type="dxa" w:w="1674"/>
          </w:tcPr>
          <w:p>
            <w:pPr>
              <w:pStyle w:val="MDPI42tablebody"/>
              <w:keepNext/>
              <w:spacing w:line="240" w:lineRule="auto" w:before="30" w:after="30"/>
              <w:jc w:val="center"/>
            </w:pPr>
          </w:p>
        </w:tc>
        <w:tc>
          <w:tcPr>
            <w:tcW w:type="dxa" w:w="1151"/>
          </w:tcPr>
          <w:p>
            <w:pPr>
              <w:pStyle w:val="MDPI42tablebody"/>
              <w:keepNext/>
              <w:spacing w:line="240" w:lineRule="auto" w:before="30" w:after="30"/>
              <w:jc w:val="center"/>
            </w:pPr>
          </w:p>
        </w:tc>
      </w:tr>
      <w:tr>
        <w:trPr>
          <w:cantSplit/>
        </w:trPr>
        <w:tc>
          <w:tcPr>
            <w:tcW w:type="dxa" w:w="1674"/>
          </w:tcPr>
          <w:p>
            <w:pPr>
              <w:pStyle w:val="MDPI42tablebody"/>
              <w:keepNext/>
              <w:spacing w:line="240" w:lineRule="auto" w:before="30" w:after="30"/>
              <w:jc w:val="left"/>
            </w:pPr>
            <w:r>
              <w:rPr>
                <w:b w:val="0"/>
                <w:i w:val="0"/>
                <w:sz w:val="16"/>
              </w:rPr>
              <w:t>AIGov</w:t>
            </w:r>
          </w:p>
        </w:tc>
        <w:tc>
          <w:tcPr>
            <w:tcW w:type="dxa" w:w="2093"/>
          </w:tcPr>
          <w:p>
            <w:pPr>
              <w:pStyle w:val="MDPI42tablebody"/>
              <w:keepNext/>
              <w:spacing w:line="240" w:lineRule="auto" w:before="30" w:after="30"/>
              <w:jc w:val="left"/>
            </w:pPr>
            <w:r>
              <w:rPr>
                <w:b w:val="0"/>
                <w:i w:val="0"/>
                <w:sz w:val="16"/>
              </w:rPr>
              <w:t>With disclosure</w:t>
            </w:r>
          </w:p>
        </w:tc>
        <w:tc>
          <w:tcPr>
            <w:tcW w:type="dxa" w:w="1465"/>
          </w:tcPr>
          <w:p>
            <w:pPr>
              <w:pStyle w:val="MDPI42tablebody"/>
              <w:keepNext/>
              <w:spacing w:line="240" w:lineRule="auto" w:before="30" w:after="30"/>
              <w:jc w:val="center"/>
            </w:pPr>
            <w:r>
              <w:rPr>
                <w:b w:val="0"/>
                <w:i w:val="0"/>
                <w:sz w:val="16"/>
              </w:rPr>
              <w:t>2.561</w:t>
            </w:r>
          </w:p>
        </w:tc>
        <w:tc>
          <w:tcPr>
            <w:tcW w:type="dxa" w:w="1046"/>
          </w:tcPr>
          <w:p>
            <w:pPr>
              <w:pStyle w:val="MDPI42tablebody"/>
              <w:keepNext/>
              <w:spacing w:line="240" w:lineRule="auto" w:before="30" w:after="30"/>
              <w:jc w:val="center"/>
            </w:pPr>
            <w:r>
              <w:rPr>
                <w:b w:val="0"/>
                <w:i w:val="0"/>
                <w:sz w:val="16"/>
              </w:rPr>
              <w:t>(0.089)</w:t>
            </w:r>
          </w:p>
        </w:tc>
        <w:tc>
          <w:tcPr>
            <w:tcW w:type="dxa" w:w="1360"/>
          </w:tcPr>
          <w:p>
            <w:pPr>
              <w:pStyle w:val="MDPI42tablebody"/>
              <w:keepNext/>
              <w:spacing w:line="240" w:lineRule="auto" w:before="30" w:after="30"/>
              <w:jc w:val="center"/>
            </w:pPr>
            <w:r>
              <w:rPr>
                <w:b w:val="0"/>
                <w:i w:val="0"/>
                <w:sz w:val="16"/>
              </w:rPr>
              <w:t>−0.651</w:t>
            </w:r>
          </w:p>
        </w:tc>
        <w:tc>
          <w:tcPr>
            <w:tcW w:type="dxa" w:w="1674"/>
          </w:tcPr>
          <w:p>
            <w:pPr>
              <w:pStyle w:val="MDPI42tablebody"/>
              <w:keepNext/>
              <w:spacing w:line="240" w:lineRule="auto" w:before="30" w:after="30"/>
              <w:jc w:val="center"/>
            </w:pPr>
            <w:r>
              <w:rPr>
                <w:b w:val="0"/>
                <w:i w:val="0"/>
                <w:sz w:val="16"/>
              </w:rPr>
              <w:t>0.671***</w:t>
            </w:r>
          </w:p>
        </w:tc>
        <w:tc>
          <w:tcPr>
            <w:tcW w:type="dxa" w:w="1151"/>
          </w:tcPr>
          <w:p>
            <w:pPr>
              <w:pStyle w:val="MDPI42tablebody"/>
              <w:keepNext/>
              <w:spacing w:line="240" w:lineRule="auto" w:before="30" w:after="30"/>
              <w:jc w:val="center"/>
            </w:pPr>
            <w:r>
              <w:rPr>
                <w:b w:val="0"/>
                <w:i w:val="0"/>
                <w:sz w:val="16"/>
              </w:rPr>
              <w:t>(0.065)</w:t>
            </w:r>
          </w:p>
        </w:tc>
      </w:tr>
      <w:tr>
        <w:trPr>
          <w:cantSplit/>
        </w:trPr>
        <w:tc>
          <w:tcPr>
            <w:tcW w:type="dxa" w:w="1674"/>
          </w:tcPr>
          <w:p>
            <w:pPr>
              <w:pStyle w:val="MDPI42tablebody"/>
              <w:keepNext/>
              <w:spacing w:line="240" w:lineRule="auto" w:before="30" w:after="30"/>
              <w:jc w:val="left"/>
            </w:pPr>
            <w:r>
              <w:rPr>
                <w:b w:val="0"/>
                <w:i w:val="0"/>
                <w:sz w:val="16"/>
              </w:rPr>
              <w:t>LCP</w:t>
            </w:r>
          </w:p>
        </w:tc>
        <w:tc>
          <w:tcPr>
            <w:tcW w:type="dxa" w:w="2093"/>
          </w:tcPr>
          <w:p>
            <w:pPr>
              <w:pStyle w:val="MDPI42tablebody"/>
              <w:keepNext/>
              <w:spacing w:line="240" w:lineRule="auto" w:before="30" w:after="30"/>
              <w:jc w:val="left"/>
            </w:pPr>
            <w:r>
              <w:rPr>
                <w:b w:val="0"/>
                <w:i w:val="0"/>
                <w:sz w:val="16"/>
              </w:rPr>
              <w:t>Low (−1 SD)</w:t>
            </w:r>
          </w:p>
        </w:tc>
        <w:tc>
          <w:tcPr>
            <w:tcW w:type="dxa" w:w="1465"/>
          </w:tcPr>
          <w:p>
            <w:pPr>
              <w:pStyle w:val="MDPI42tablebody"/>
              <w:keepNext/>
              <w:spacing w:line="240" w:lineRule="auto" w:before="30" w:after="30"/>
              <w:jc w:val="center"/>
            </w:pPr>
            <w:r>
              <w:rPr>
                <w:b w:val="0"/>
                <w:i w:val="0"/>
                <w:sz w:val="16"/>
              </w:rPr>
              <w:t>2.813</w:t>
            </w:r>
          </w:p>
        </w:tc>
        <w:tc>
          <w:tcPr>
            <w:tcW w:type="dxa" w:w="1046"/>
          </w:tcPr>
          <w:p>
            <w:pPr>
              <w:pStyle w:val="MDPI42tablebody"/>
              <w:keepNext/>
              <w:spacing w:line="240" w:lineRule="auto" w:before="30" w:after="30"/>
              <w:jc w:val="center"/>
            </w:pPr>
            <w:r>
              <w:rPr>
                <w:b w:val="0"/>
                <w:i w:val="0"/>
                <w:sz w:val="16"/>
              </w:rPr>
              <w:t>(0.108)</w:t>
            </w:r>
          </w:p>
        </w:tc>
        <w:tc>
          <w:tcPr>
            <w:tcW w:type="dxa" w:w="1360"/>
          </w:tcPr>
          <w:p>
            <w:pPr>
              <w:pStyle w:val="MDPI42tablebody"/>
              <w:keepNext/>
              <w:spacing w:line="240" w:lineRule="auto" w:before="30" w:after="30"/>
              <w:jc w:val="center"/>
            </w:pPr>
            <w:r>
              <w:rPr>
                <w:b w:val="0"/>
                <w:i w:val="0"/>
                <w:sz w:val="16"/>
              </w:rPr>
              <w:t>−0.649</w:t>
            </w:r>
          </w:p>
        </w:tc>
        <w:tc>
          <w:tcPr>
            <w:tcW w:type="dxa" w:w="1674"/>
          </w:tcPr>
          <w:p>
            <w:pPr>
              <w:pStyle w:val="MDPI42tablebody"/>
              <w:keepNext/>
              <w:spacing w:line="240" w:lineRule="auto" w:before="30" w:after="30"/>
              <w:jc w:val="center"/>
            </w:pPr>
          </w:p>
        </w:tc>
        <w:tc>
          <w:tcPr>
            <w:tcW w:type="dxa" w:w="1151"/>
          </w:tcPr>
          <w:p>
            <w:pPr>
              <w:pStyle w:val="MDPI42tablebody"/>
              <w:keepNext/>
              <w:spacing w:line="240" w:lineRule="auto" w:before="30" w:after="30"/>
              <w:jc w:val="center"/>
            </w:pPr>
          </w:p>
        </w:tc>
      </w:tr>
      <w:tr>
        <w:trPr>
          <w:cantSplit/>
        </w:trPr>
        <w:tc>
          <w:tcPr>
            <w:tcW w:type="dxa" w:w="1674"/>
          </w:tcPr>
          <w:p>
            <w:pPr>
              <w:pStyle w:val="MDPI42tablebody"/>
              <w:keepNext/>
              <w:spacing w:line="240" w:lineRule="auto" w:before="30" w:after="30"/>
              <w:jc w:val="left"/>
            </w:pPr>
            <w:r>
              <w:rPr>
                <w:b w:val="0"/>
                <w:i w:val="0"/>
                <w:sz w:val="16"/>
              </w:rPr>
              <w:t>LCP</w:t>
            </w:r>
          </w:p>
        </w:tc>
        <w:tc>
          <w:tcPr>
            <w:tcW w:type="dxa" w:w="2093"/>
          </w:tcPr>
          <w:p>
            <w:pPr>
              <w:pStyle w:val="MDPI42tablebody"/>
              <w:keepNext/>
              <w:spacing w:line="240" w:lineRule="auto" w:before="30" w:after="30"/>
              <w:jc w:val="left"/>
            </w:pPr>
            <w:r>
              <w:rPr>
                <w:b w:val="0"/>
                <w:i w:val="0"/>
                <w:sz w:val="16"/>
              </w:rPr>
              <w:t>Mean</w:t>
            </w:r>
          </w:p>
        </w:tc>
        <w:tc>
          <w:tcPr>
            <w:tcW w:type="dxa" w:w="1465"/>
          </w:tcPr>
          <w:p>
            <w:pPr>
              <w:pStyle w:val="MDPI42tablebody"/>
              <w:keepNext/>
              <w:spacing w:line="240" w:lineRule="auto" w:before="30" w:after="30"/>
              <w:jc w:val="center"/>
            </w:pPr>
            <w:r>
              <w:rPr>
                <w:b w:val="0"/>
                <w:i w:val="0"/>
                <w:sz w:val="16"/>
              </w:rPr>
              <w:t>2.225</w:t>
            </w:r>
          </w:p>
        </w:tc>
        <w:tc>
          <w:tcPr>
            <w:tcW w:type="dxa" w:w="1046"/>
          </w:tcPr>
          <w:p>
            <w:pPr>
              <w:pStyle w:val="MDPI42tablebody"/>
              <w:keepNext/>
              <w:spacing w:line="240" w:lineRule="auto" w:before="30" w:after="30"/>
              <w:jc w:val="center"/>
            </w:pPr>
            <w:r>
              <w:rPr>
                <w:b w:val="0"/>
                <w:i w:val="0"/>
                <w:sz w:val="16"/>
              </w:rPr>
              <w:t>(0.050)</w:t>
            </w:r>
          </w:p>
        </w:tc>
        <w:tc>
          <w:tcPr>
            <w:tcW w:type="dxa" w:w="1360"/>
          </w:tcPr>
          <w:p>
            <w:pPr>
              <w:pStyle w:val="MDPI42tablebody"/>
              <w:keepNext/>
              <w:spacing w:line="240" w:lineRule="auto" w:before="30" w:after="30"/>
              <w:jc w:val="center"/>
            </w:pPr>
            <w:r>
              <w:rPr>
                <w:b w:val="0"/>
                <w:i w:val="0"/>
                <w:sz w:val="16"/>
              </w:rPr>
              <w:t>−0.684</w:t>
            </w:r>
          </w:p>
        </w:tc>
        <w:tc>
          <w:tcPr>
            <w:tcW w:type="dxa" w:w="1674"/>
          </w:tcPr>
          <w:p>
            <w:pPr>
              <w:pStyle w:val="MDPI42tablebody"/>
              <w:keepNext/>
              <w:spacing w:line="240" w:lineRule="auto" w:before="30" w:after="30"/>
              <w:jc w:val="center"/>
            </w:pPr>
          </w:p>
        </w:tc>
        <w:tc>
          <w:tcPr>
            <w:tcW w:type="dxa" w:w="1151"/>
          </w:tcPr>
          <w:p>
            <w:pPr>
              <w:pStyle w:val="MDPI42tablebody"/>
              <w:keepNext/>
              <w:spacing w:line="240" w:lineRule="auto" w:before="30" w:after="30"/>
              <w:jc w:val="center"/>
            </w:pPr>
          </w:p>
        </w:tc>
      </w:tr>
      <w:tr>
        <w:trPr>
          <w:cantSplit/>
        </w:trPr>
        <w:tc>
          <w:tcPr>
            <w:tcW w:type="dxa" w:w="1674"/>
          </w:tcPr>
          <w:p>
            <w:pPr>
              <w:pStyle w:val="MDPI42tablebody"/>
              <w:spacing w:line="240" w:lineRule="auto" w:before="30" w:after="30"/>
              <w:jc w:val="left"/>
            </w:pPr>
            <w:r>
              <w:rPr>
                <w:b w:val="0"/>
                <w:i w:val="0"/>
                <w:sz w:val="16"/>
              </w:rPr>
              <w:t>LCP</w:t>
            </w:r>
          </w:p>
        </w:tc>
        <w:tc>
          <w:tcPr>
            <w:tcW w:type="dxa" w:w="2093"/>
          </w:tcPr>
          <w:p>
            <w:pPr>
              <w:pStyle w:val="MDPI42tablebody"/>
              <w:spacing w:line="240" w:lineRule="auto" w:before="30" w:after="30"/>
              <w:jc w:val="left"/>
            </w:pPr>
            <w:r>
              <w:rPr>
                <w:b w:val="0"/>
                <w:i w:val="0"/>
                <w:sz w:val="16"/>
              </w:rPr>
              <w:t>High (+1 SD)</w:t>
            </w:r>
          </w:p>
        </w:tc>
        <w:tc>
          <w:tcPr>
            <w:tcW w:type="dxa" w:w="1465"/>
          </w:tcPr>
          <w:p>
            <w:pPr>
              <w:pStyle w:val="MDPI42tablebody"/>
              <w:spacing w:line="240" w:lineRule="auto" w:before="30" w:after="30"/>
              <w:jc w:val="center"/>
            </w:pPr>
            <w:r>
              <w:rPr>
                <w:b w:val="0"/>
                <w:i w:val="0"/>
                <w:sz w:val="16"/>
              </w:rPr>
              <w:t>1.694</w:t>
            </w:r>
          </w:p>
        </w:tc>
        <w:tc>
          <w:tcPr>
            <w:tcW w:type="dxa" w:w="1046"/>
          </w:tcPr>
          <w:p>
            <w:pPr>
              <w:pStyle w:val="MDPI42tablebody"/>
              <w:spacing w:line="240" w:lineRule="auto" w:before="30" w:after="30"/>
              <w:jc w:val="center"/>
            </w:pPr>
            <w:r>
              <w:rPr>
                <w:b w:val="0"/>
                <w:i w:val="0"/>
                <w:sz w:val="16"/>
              </w:rPr>
              <w:t>(0.055)</w:t>
            </w:r>
          </w:p>
        </w:tc>
        <w:tc>
          <w:tcPr>
            <w:tcW w:type="dxa" w:w="1360"/>
          </w:tcPr>
          <w:p>
            <w:pPr>
              <w:pStyle w:val="MDPI42tablebody"/>
              <w:spacing w:line="240" w:lineRule="auto" w:before="30" w:after="30"/>
              <w:jc w:val="center"/>
            </w:pPr>
            <w:r>
              <w:rPr>
                <w:b w:val="0"/>
                <w:i w:val="0"/>
                <w:sz w:val="16"/>
              </w:rPr>
              <w:t>−0.719</w:t>
            </w:r>
          </w:p>
        </w:tc>
        <w:tc>
          <w:tcPr>
            <w:tcW w:type="dxa" w:w="1674"/>
          </w:tcPr>
          <w:p>
            <w:pPr>
              <w:pStyle w:val="MDPI42tablebody"/>
              <w:spacing w:line="240" w:lineRule="auto" w:before="30" w:after="30"/>
              <w:jc w:val="center"/>
            </w:pPr>
            <w:r>
              <w:rPr>
                <w:b w:val="0"/>
                <w:i w:val="0"/>
                <w:sz w:val="16"/>
              </w:rPr>
              <w:t>−0.558***</w:t>
            </w:r>
          </w:p>
        </w:tc>
        <w:tc>
          <w:tcPr>
            <w:tcW w:type="dxa" w:w="1151"/>
          </w:tcPr>
          <w:p>
            <w:pPr>
              <w:pStyle w:val="MDPI42tablebody"/>
              <w:spacing w:line="240" w:lineRule="auto" w:before="30" w:after="30"/>
              <w:jc w:val="center"/>
            </w:pPr>
            <w:r>
              <w:rPr>
                <w:b w:val="0"/>
                <w:i w:val="0"/>
                <w:sz w:val="16"/>
              </w:rPr>
              <w:t>(0.058)</w:t>
            </w:r>
          </w:p>
        </w:tc>
      </w:tr>
    </w:tbl>
    <w:p>
      <w:pPr>
        <w:pStyle w:val="MDPI43tablefooter"/>
        <w:spacing w:line="240" w:lineRule="auto" w:before="40" w:after="200"/>
        <w:ind w:left="2608" w:firstLine="0"/>
      </w:pPr>
      <w:r>
        <w:rPr>
          <w:sz w:val="16"/>
        </w:rPr>
        <w:t xml:space="preserve">Note: </w:t>
      </w:r>
      <w:r>
        <w:rPr>
          <w:b w:val="0"/>
          <w:i w:val="0"/>
          <w:sz w:val="16"/>
        </w:rPr>
        <w:t>The extreme point is evaluated from Equation (7) at the level of the moderator shown; the displacement is Equation (8), the change in the extreme point per unit of the moderator evaluated at its mean, with a delta-method standard error. Curvature is the coefficient on the squared term at that level of the moderator. ***, ** and * denote significance at the 1%, 5% and 10% levels.</w:t>
      </w:r>
    </w:p>
    <w:p>
      <w:pPr>
        <w:pStyle w:val="MDPI31text"/>
      </w:pPr>
      <w:r>
        <w:rPr>
          <w:b w:val="0"/>
          <w:i w:val="0"/>
        </w:rPr>
        <w:t>Figure 5 plots the six fitted curves of Equation (6), evaluated at one standard deviation below and above the mean of the two continuous moderators and at the two values of the AI governance indicator; the marker on each curve is its extreme point, and in every panel the solid curve is the one whose peak arrives later. The visual summary of Section 5 is that the three moderators move the peak by between 0.51 and 0.67 units of adoption depth, against a baseline peak of 2.13 — displacements of the order of a quarter to a third of the peak itself.</w:t>
      </w:r>
    </w:p>
    <w:p>
      <w:pPr>
        <w:pStyle w:val="MDPI52figure"/>
        <w:keepNext/>
        <w:ind w:left="2608" w:firstLine="0"/>
        <w:jc w:val="center"/>
      </w:pPr>
      <w:r>
        <w:drawing>
          <wp:inline xmlns:a="http://schemas.openxmlformats.org/drawingml/2006/main" xmlns:pic="http://schemas.openxmlformats.org/drawingml/2006/picture">
            <wp:extent cx="4968000" cy="3130097"/>
            <wp:docPr id="5" name="Picture 5"/>
            <wp:cNvGraphicFramePr>
              <a:graphicFrameLocks noChangeAspect="1"/>
            </wp:cNvGraphicFramePr>
            <a:graphic>
              <a:graphicData uri="http://schemas.openxmlformats.org/drawingml/2006/picture">
                <pic:pic>
                  <pic:nvPicPr>
                    <pic:cNvPr id="0" name="figure5_moderators.png"/>
                    <pic:cNvPicPr/>
                  </pic:nvPicPr>
                  <pic:blipFill>
                    <a:blip r:embed="rId21"/>
                    <a:stretch>
                      <a:fillRect/>
                    </a:stretch>
                  </pic:blipFill>
                  <pic:spPr>
                    <a:xfrm>
                      <a:off x="0" y="0"/>
                      <a:ext cx="4968000" cy="3130097"/>
                    </a:xfrm>
                    <a:prstGeom prst="rect"/>
                  </pic:spPr>
                </pic:pic>
              </a:graphicData>
            </a:graphic>
          </wp:inline>
        </w:drawing>
      </w:r>
    </w:p>
    <w:p>
      <w:pPr>
        <w:pStyle w:val="MDPI51figurecaption"/>
        <w:spacing w:after="200"/>
      </w:pPr>
      <w:r>
        <w:rPr>
          <w:b/>
          <w:sz w:val="18"/>
        </w:rPr>
        <w:t xml:space="preserve">Figure 5. </w:t>
      </w:r>
      <w:r>
        <w:rPr>
          <w:b w:val="0"/>
          <w:i w:val="0"/>
          <w:sz w:val="18"/>
        </w:rPr>
        <w:t>The curve at low and high levels of each moderator.</w:t>
      </w:r>
    </w:p>
    <w:p>
      <w:pPr>
        <w:pStyle w:val="MDPI22heading2"/>
      </w:pPr>
      <w:r>
        <w:t>5.4. Heterogeneity</w:t>
      </w:r>
    </w:p>
    <w:p>
      <w:pPr>
        <w:pStyle w:val="MDPI32textnoindent"/>
      </w:pPr>
      <w:r>
        <w:rPr>
          <w:b w:val="0"/>
          <w:i w:val="0"/>
        </w:rPr>
        <w:t>Table 12 splits the sample by state ownership, technology intensity, region and firm size. The inverted U is present in every subsample: the squared term is negative and significant at the 1% level in all eight groups. The turning points differ modestly and none of the differences in curvature is statistically significant, which is itself informative. The shape is a general property of how the technology meets entry-level work, not a feature of a particular kind of firm; what varies across firms, as Section 5 shows, is where along the curve they can afford to operate.</w:t>
      </w:r>
    </w:p>
    <w:p>
      <w:pPr>
        <w:pStyle w:val="MDPI41tablecaption"/>
        <w:keepNext/>
        <w:spacing w:after="60"/>
      </w:pPr>
      <w:r>
        <w:rPr>
          <w:b/>
          <w:sz w:val="18"/>
        </w:rPr>
        <w:t xml:space="preserve">Table 12. </w:t>
      </w:r>
      <w:r>
        <w:rPr>
          <w:b w:val="0"/>
          <w:i w:val="0"/>
          <w:sz w:val="18"/>
        </w:rPr>
        <w:t>Heterogeneity analysis.</w:t>
      </w:r>
    </w:p>
    <w:tbl>
      <w:tblPr>
        <w:tblStyle w:val="MDPI41threelinetable"/>
        <w:tblW w:w="10466"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CellMar>
          <w:top w:w="0" w:type="dxa"/>
          <w:left w:w="57" w:type="dxa"/>
          <w:bottom w:w="0" w:type="dxa"/>
          <w:right w:w="57" w:type="dxa"/>
        </w:tblCellMar>
        <w:tblLook w:firstColumn="1" w:firstRow="1" w:lastColumn="0" w:lastRow="0" w:noHBand="0" w:noVBand="1" w:val="04A0"/>
      </w:tblPr>
      <w:tblGrid>
        <w:gridCol w:w="1308"/>
        <w:gridCol w:w="1360"/>
        <w:gridCol w:w="1046"/>
        <w:gridCol w:w="1098"/>
        <w:gridCol w:w="784"/>
        <w:gridCol w:w="1412"/>
        <w:gridCol w:w="1046"/>
        <w:gridCol w:w="1098"/>
        <w:gridCol w:w="784"/>
        <w:gridCol w:w="523"/>
      </w:tblGrid>
      <w:tr>
        <w:trPr>
          <w:cantSplit/>
          <w:tblHeader/>
        </w:trPr>
        <w:tc>
          <w:tcPr>
            <w:tcW w:type="dxa" w:w="1308"/>
            <w:tcBorders>
              <w:bottom w:val="single" w:sz="8" w:space="0" w:color="auto"/>
            </w:tcBorders>
          </w:tcPr>
          <w:p>
            <w:pPr>
              <w:pStyle w:val="MDPI42tablebody"/>
              <w:keepNext/>
              <w:spacing w:line="240" w:lineRule="auto" w:before="30" w:after="30"/>
              <w:jc w:val="center"/>
            </w:pPr>
            <w:r>
              <w:rPr>
                <w:b/>
                <w:i w:val="0"/>
                <w:sz w:val="14"/>
              </w:rPr>
              <w:t>Split</w:t>
            </w:r>
          </w:p>
        </w:tc>
        <w:tc>
          <w:tcPr>
            <w:tcW w:type="dxa" w:w="1360"/>
            <w:tcBorders>
              <w:bottom w:val="single" w:sz="8" w:space="0" w:color="auto"/>
            </w:tcBorders>
          </w:tcPr>
          <w:p>
            <w:pPr>
              <w:pStyle w:val="MDPI42tablebody"/>
              <w:keepNext/>
              <w:spacing w:line="240" w:lineRule="auto" w:before="30" w:after="30"/>
              <w:jc w:val="center"/>
            </w:pPr>
            <w:r>
              <w:rPr>
                <w:b/>
                <w:i w:val="0"/>
                <w:sz w:val="14"/>
              </w:rPr>
              <w:t>Group 1</w:t>
            </w:r>
          </w:p>
        </w:tc>
        <w:tc>
          <w:tcPr>
            <w:tcW w:type="dxa" w:w="1046"/>
            <w:tcBorders>
              <w:bottom w:val="single" w:sz="8" w:space="0" w:color="auto"/>
            </w:tcBorders>
          </w:tcPr>
          <w:p>
            <w:pPr>
              <w:pStyle w:val="MDPI42tablebody"/>
              <w:keepNext/>
              <w:spacing w:line="240" w:lineRule="auto" w:before="30" w:after="30"/>
              <w:jc w:val="center"/>
            </w:pPr>
            <w:r>
              <w:rPr>
                <w:b/>
                <w:i w:val="0"/>
                <w:sz w:val="14"/>
              </w:rPr>
              <w:t>AI</w:t>
            </w:r>
            <w:r>
              <w:rPr>
                <w:b/>
                <w:i w:val="0"/>
                <w:sz w:val="14"/>
                <w:vertAlign w:val="superscript"/>
              </w:rPr>
              <w:t>2</w:t>
            </w:r>
          </w:p>
        </w:tc>
        <w:tc>
          <w:tcPr>
            <w:tcW w:type="dxa" w:w="1098"/>
            <w:tcBorders>
              <w:bottom w:val="single" w:sz="8" w:space="0" w:color="auto"/>
            </w:tcBorders>
          </w:tcPr>
          <w:p>
            <w:pPr>
              <w:pStyle w:val="MDPI42tablebody"/>
              <w:keepNext/>
              <w:spacing w:line="240" w:lineRule="auto" w:before="30" w:after="30"/>
              <w:jc w:val="center"/>
            </w:pPr>
            <w:r>
              <w:rPr>
                <w:b/>
                <w:i w:val="0"/>
                <w:sz w:val="14"/>
              </w:rPr>
              <w:t>Extreme point</w:t>
            </w:r>
          </w:p>
        </w:tc>
        <w:tc>
          <w:tcPr>
            <w:tcW w:type="dxa" w:w="784"/>
            <w:tcBorders>
              <w:bottom w:val="single" w:sz="8" w:space="0" w:color="auto"/>
            </w:tcBorders>
          </w:tcPr>
          <w:p>
            <w:pPr>
              <w:pStyle w:val="MDPI42tablebody"/>
              <w:keepNext/>
              <w:spacing w:line="240" w:lineRule="auto" w:before="30" w:after="30"/>
              <w:jc w:val="center"/>
            </w:pPr>
            <w:r>
              <w:rPr>
                <w:b/>
                <w:i w:val="0"/>
                <w:sz w:val="14"/>
              </w:rPr>
              <w:t>N</w:t>
            </w:r>
          </w:p>
        </w:tc>
        <w:tc>
          <w:tcPr>
            <w:tcW w:type="dxa" w:w="1412"/>
            <w:tcBorders>
              <w:bottom w:val="single" w:sz="8" w:space="0" w:color="auto"/>
            </w:tcBorders>
          </w:tcPr>
          <w:p>
            <w:pPr>
              <w:pStyle w:val="MDPI42tablebody"/>
              <w:keepNext/>
              <w:spacing w:line="240" w:lineRule="auto" w:before="30" w:after="30"/>
              <w:jc w:val="center"/>
            </w:pPr>
            <w:r>
              <w:rPr>
                <w:b/>
                <w:i w:val="0"/>
                <w:sz w:val="14"/>
              </w:rPr>
              <w:t>Group 2</w:t>
            </w:r>
          </w:p>
        </w:tc>
        <w:tc>
          <w:tcPr>
            <w:tcW w:type="dxa" w:w="1046"/>
            <w:tcBorders>
              <w:bottom w:val="single" w:sz="8" w:space="0" w:color="auto"/>
            </w:tcBorders>
          </w:tcPr>
          <w:p>
            <w:pPr>
              <w:pStyle w:val="MDPI42tablebody"/>
              <w:keepNext/>
              <w:spacing w:line="240" w:lineRule="auto" w:before="30" w:after="30"/>
              <w:jc w:val="center"/>
            </w:pPr>
            <w:r>
              <w:rPr>
                <w:b/>
                <w:i w:val="0"/>
                <w:sz w:val="14"/>
              </w:rPr>
              <w:t>AI</w:t>
            </w:r>
            <w:r>
              <w:rPr>
                <w:b/>
                <w:i w:val="0"/>
                <w:sz w:val="14"/>
                <w:vertAlign w:val="superscript"/>
              </w:rPr>
              <w:t>2</w:t>
            </w:r>
          </w:p>
        </w:tc>
        <w:tc>
          <w:tcPr>
            <w:tcW w:type="dxa" w:w="1098"/>
            <w:tcBorders>
              <w:bottom w:val="single" w:sz="8" w:space="0" w:color="auto"/>
            </w:tcBorders>
          </w:tcPr>
          <w:p>
            <w:pPr>
              <w:pStyle w:val="MDPI42tablebody"/>
              <w:keepNext/>
              <w:spacing w:line="240" w:lineRule="auto" w:before="30" w:after="30"/>
              <w:jc w:val="center"/>
            </w:pPr>
            <w:r>
              <w:rPr>
                <w:b/>
                <w:i w:val="0"/>
                <w:sz w:val="14"/>
              </w:rPr>
              <w:t>Extreme point</w:t>
            </w:r>
          </w:p>
        </w:tc>
        <w:tc>
          <w:tcPr>
            <w:tcW w:type="dxa" w:w="784"/>
            <w:tcBorders>
              <w:bottom w:val="single" w:sz="8" w:space="0" w:color="auto"/>
            </w:tcBorders>
          </w:tcPr>
          <w:p>
            <w:pPr>
              <w:pStyle w:val="MDPI42tablebody"/>
              <w:keepNext/>
              <w:spacing w:line="240" w:lineRule="auto" w:before="30" w:after="30"/>
              <w:jc w:val="center"/>
            </w:pPr>
            <w:r>
              <w:rPr>
                <w:b/>
                <w:i w:val="0"/>
                <w:sz w:val="14"/>
              </w:rPr>
              <w:t>N</w:t>
            </w:r>
          </w:p>
        </w:tc>
        <w:tc>
          <w:tcPr>
            <w:tcW w:type="dxa" w:w="523"/>
            <w:tcBorders>
              <w:bottom w:val="single" w:sz="8" w:space="0" w:color="auto"/>
            </w:tcBorders>
          </w:tcPr>
          <w:p>
            <w:pPr>
              <w:pStyle w:val="MDPI42tablebody"/>
              <w:keepNext/>
              <w:spacing w:line="240" w:lineRule="auto" w:before="30" w:after="30"/>
              <w:jc w:val="center"/>
            </w:pPr>
            <w:r>
              <w:rPr>
                <w:b/>
                <w:i w:val="0"/>
                <w:sz w:val="14"/>
              </w:rPr>
              <w:t>p</w:t>
            </w:r>
          </w:p>
        </w:tc>
      </w:tr>
      <w:tr>
        <w:trPr>
          <w:cantSplit/>
        </w:trPr>
        <w:tc>
          <w:tcPr>
            <w:tcW w:type="dxa" w:w="1308"/>
          </w:tcPr>
          <w:p>
            <w:pPr>
              <w:pStyle w:val="MDPI42tablebody"/>
              <w:keepNext/>
              <w:spacing w:line="240" w:lineRule="auto" w:before="30" w:after="30"/>
              <w:jc w:val="left"/>
            </w:pPr>
            <w:r>
              <w:rPr>
                <w:b w:val="0"/>
                <w:i w:val="0"/>
                <w:sz w:val="14"/>
              </w:rPr>
              <w:t>State ownership</w:t>
            </w:r>
          </w:p>
        </w:tc>
        <w:tc>
          <w:tcPr>
            <w:tcW w:type="dxa" w:w="1360"/>
          </w:tcPr>
          <w:p>
            <w:pPr>
              <w:pStyle w:val="MDPI42tablebody"/>
              <w:keepNext/>
              <w:spacing w:line="240" w:lineRule="auto" w:before="30" w:after="30"/>
              <w:jc w:val="left"/>
            </w:pPr>
            <w:r>
              <w:rPr>
                <w:b w:val="0"/>
                <w:i w:val="0"/>
                <w:sz w:val="14"/>
              </w:rPr>
              <w:t>State-owned</w:t>
            </w:r>
          </w:p>
        </w:tc>
        <w:tc>
          <w:tcPr>
            <w:tcW w:type="dxa" w:w="1046"/>
          </w:tcPr>
          <w:p>
            <w:pPr>
              <w:pStyle w:val="MDPI42tablebody"/>
              <w:keepNext/>
              <w:spacing w:line="240" w:lineRule="auto" w:before="30" w:after="30"/>
              <w:jc w:val="center"/>
            </w:pPr>
            <w:r>
              <w:rPr>
                <w:b w:val="0"/>
                <w:i w:val="0"/>
                <w:sz w:val="14"/>
              </w:rPr>
              <w:t>−0.638***</w:t>
            </w:r>
          </w:p>
        </w:tc>
        <w:tc>
          <w:tcPr>
            <w:tcW w:type="dxa" w:w="1098"/>
          </w:tcPr>
          <w:p>
            <w:pPr>
              <w:pStyle w:val="MDPI42tablebody"/>
              <w:keepNext/>
              <w:spacing w:line="240" w:lineRule="auto" w:before="30" w:after="30"/>
              <w:jc w:val="center"/>
            </w:pPr>
            <w:r>
              <w:rPr>
                <w:b w:val="0"/>
                <w:i w:val="0"/>
                <w:sz w:val="14"/>
              </w:rPr>
              <w:t>2.288</w:t>
            </w:r>
          </w:p>
        </w:tc>
        <w:tc>
          <w:tcPr>
            <w:tcW w:type="dxa" w:w="784"/>
          </w:tcPr>
          <w:p>
            <w:pPr>
              <w:pStyle w:val="MDPI42tablebody"/>
              <w:keepNext/>
              <w:spacing w:line="240" w:lineRule="auto" w:before="30" w:after="30"/>
              <w:jc w:val="center"/>
            </w:pPr>
            <w:r>
              <w:rPr>
                <w:b w:val="0"/>
                <w:i w:val="0"/>
                <w:sz w:val="14"/>
              </w:rPr>
              <w:t>8,789</w:t>
            </w:r>
          </w:p>
        </w:tc>
        <w:tc>
          <w:tcPr>
            <w:tcW w:type="dxa" w:w="1412"/>
          </w:tcPr>
          <w:p>
            <w:pPr>
              <w:pStyle w:val="MDPI42tablebody"/>
              <w:keepNext/>
              <w:spacing w:line="240" w:lineRule="auto" w:before="30" w:after="30"/>
              <w:jc w:val="center"/>
            </w:pPr>
            <w:r>
              <w:rPr>
                <w:b w:val="0"/>
                <w:i w:val="0"/>
                <w:sz w:val="14"/>
              </w:rPr>
              <w:t>Non-state</w:t>
            </w:r>
          </w:p>
        </w:tc>
        <w:tc>
          <w:tcPr>
            <w:tcW w:type="dxa" w:w="1046"/>
          </w:tcPr>
          <w:p>
            <w:pPr>
              <w:pStyle w:val="MDPI42tablebody"/>
              <w:keepNext/>
              <w:spacing w:line="240" w:lineRule="auto" w:before="30" w:after="30"/>
              <w:jc w:val="center"/>
            </w:pPr>
            <w:r>
              <w:rPr>
                <w:b w:val="0"/>
                <w:i w:val="0"/>
                <w:sz w:val="14"/>
              </w:rPr>
              <w:t>−0.724***</w:t>
            </w:r>
          </w:p>
        </w:tc>
        <w:tc>
          <w:tcPr>
            <w:tcW w:type="dxa" w:w="1098"/>
          </w:tcPr>
          <w:p>
            <w:pPr>
              <w:pStyle w:val="MDPI42tablebody"/>
              <w:keepNext/>
              <w:spacing w:line="240" w:lineRule="auto" w:before="30" w:after="30"/>
              <w:jc w:val="center"/>
            </w:pPr>
            <w:r>
              <w:rPr>
                <w:b w:val="0"/>
                <w:i w:val="0"/>
                <w:sz w:val="14"/>
              </w:rPr>
              <w:t>2.063</w:t>
            </w:r>
          </w:p>
        </w:tc>
        <w:tc>
          <w:tcPr>
            <w:tcW w:type="dxa" w:w="784"/>
          </w:tcPr>
          <w:p>
            <w:pPr>
              <w:pStyle w:val="MDPI42tablebody"/>
              <w:keepNext/>
              <w:spacing w:line="240" w:lineRule="auto" w:before="30" w:after="30"/>
              <w:jc w:val="center"/>
            </w:pPr>
            <w:r>
              <w:rPr>
                <w:b w:val="0"/>
                <w:i w:val="0"/>
                <w:sz w:val="14"/>
              </w:rPr>
              <w:t>18,531</w:t>
            </w:r>
          </w:p>
        </w:tc>
        <w:tc>
          <w:tcPr>
            <w:tcW w:type="dxa" w:w="523"/>
          </w:tcPr>
          <w:p>
            <w:pPr>
              <w:pStyle w:val="MDPI42tablebody"/>
              <w:keepNext/>
              <w:spacing w:line="240" w:lineRule="auto" w:before="30" w:after="30"/>
              <w:jc w:val="center"/>
            </w:pPr>
            <w:r>
              <w:rPr>
                <w:b w:val="0"/>
                <w:i w:val="0"/>
                <w:sz w:val="14"/>
              </w:rPr>
              <w:t>0.359</w:t>
            </w:r>
          </w:p>
        </w:tc>
      </w:tr>
      <w:tr>
        <w:trPr>
          <w:cantSplit/>
        </w:trPr>
        <w:tc>
          <w:tcPr>
            <w:tcW w:type="dxa" w:w="1308"/>
          </w:tcPr>
          <w:p>
            <w:pPr>
              <w:pStyle w:val="MDPI42tablebody"/>
              <w:keepNext/>
              <w:spacing w:line="240" w:lineRule="auto" w:before="30" w:after="30"/>
              <w:jc w:val="left"/>
            </w:pPr>
            <w:r>
              <w:rPr>
                <w:b w:val="0"/>
                <w:i w:val="0"/>
                <w:sz w:val="14"/>
              </w:rPr>
              <w:t>Technology intensity</w:t>
            </w:r>
          </w:p>
        </w:tc>
        <w:tc>
          <w:tcPr>
            <w:tcW w:type="dxa" w:w="1360"/>
          </w:tcPr>
          <w:p>
            <w:pPr>
              <w:pStyle w:val="MDPI42tablebody"/>
              <w:keepNext/>
              <w:spacing w:line="240" w:lineRule="auto" w:before="30" w:after="30"/>
              <w:jc w:val="left"/>
            </w:pPr>
            <w:r>
              <w:rPr>
                <w:b w:val="0"/>
                <w:i w:val="0"/>
                <w:sz w:val="14"/>
              </w:rPr>
              <w:t>High-technology</w:t>
            </w:r>
          </w:p>
        </w:tc>
        <w:tc>
          <w:tcPr>
            <w:tcW w:type="dxa" w:w="1046"/>
          </w:tcPr>
          <w:p>
            <w:pPr>
              <w:pStyle w:val="MDPI42tablebody"/>
              <w:keepNext/>
              <w:spacing w:line="240" w:lineRule="auto" w:before="30" w:after="30"/>
              <w:jc w:val="center"/>
            </w:pPr>
            <w:r>
              <w:rPr>
                <w:b w:val="0"/>
                <w:i w:val="0"/>
                <w:sz w:val="14"/>
              </w:rPr>
              <w:t>−0.646***</w:t>
            </w:r>
          </w:p>
        </w:tc>
        <w:tc>
          <w:tcPr>
            <w:tcW w:type="dxa" w:w="1098"/>
          </w:tcPr>
          <w:p>
            <w:pPr>
              <w:pStyle w:val="MDPI42tablebody"/>
              <w:keepNext/>
              <w:spacing w:line="240" w:lineRule="auto" w:before="30" w:after="30"/>
              <w:jc w:val="center"/>
            </w:pPr>
            <w:r>
              <w:rPr>
                <w:b w:val="0"/>
                <w:i w:val="0"/>
                <w:sz w:val="14"/>
              </w:rPr>
              <w:t>2.048</w:t>
            </w:r>
          </w:p>
        </w:tc>
        <w:tc>
          <w:tcPr>
            <w:tcW w:type="dxa" w:w="784"/>
          </w:tcPr>
          <w:p>
            <w:pPr>
              <w:pStyle w:val="MDPI42tablebody"/>
              <w:keepNext/>
              <w:spacing w:line="240" w:lineRule="auto" w:before="30" w:after="30"/>
              <w:jc w:val="center"/>
            </w:pPr>
            <w:r>
              <w:rPr>
                <w:b w:val="0"/>
                <w:i w:val="0"/>
                <w:sz w:val="14"/>
              </w:rPr>
              <w:t>11,648</w:t>
            </w:r>
          </w:p>
        </w:tc>
        <w:tc>
          <w:tcPr>
            <w:tcW w:type="dxa" w:w="1412"/>
          </w:tcPr>
          <w:p>
            <w:pPr>
              <w:pStyle w:val="MDPI42tablebody"/>
              <w:keepNext/>
              <w:spacing w:line="240" w:lineRule="auto" w:before="30" w:after="30"/>
              <w:jc w:val="center"/>
            </w:pPr>
            <w:r>
              <w:rPr>
                <w:b w:val="0"/>
                <w:i w:val="0"/>
                <w:sz w:val="14"/>
              </w:rPr>
              <w:t>Other</w:t>
            </w:r>
          </w:p>
        </w:tc>
        <w:tc>
          <w:tcPr>
            <w:tcW w:type="dxa" w:w="1046"/>
          </w:tcPr>
          <w:p>
            <w:pPr>
              <w:pStyle w:val="MDPI42tablebody"/>
              <w:keepNext/>
              <w:spacing w:line="240" w:lineRule="auto" w:before="30" w:after="30"/>
              <w:jc w:val="center"/>
            </w:pPr>
            <w:r>
              <w:rPr>
                <w:b w:val="0"/>
                <w:i w:val="0"/>
                <w:sz w:val="14"/>
              </w:rPr>
              <w:t>−0.727***</w:t>
            </w:r>
          </w:p>
        </w:tc>
        <w:tc>
          <w:tcPr>
            <w:tcW w:type="dxa" w:w="1098"/>
          </w:tcPr>
          <w:p>
            <w:pPr>
              <w:pStyle w:val="MDPI42tablebody"/>
              <w:keepNext/>
              <w:spacing w:line="240" w:lineRule="auto" w:before="30" w:after="30"/>
              <w:jc w:val="center"/>
            </w:pPr>
            <w:r>
              <w:rPr>
                <w:b w:val="0"/>
                <w:i w:val="0"/>
                <w:sz w:val="14"/>
              </w:rPr>
              <w:t>2.192</w:t>
            </w:r>
          </w:p>
        </w:tc>
        <w:tc>
          <w:tcPr>
            <w:tcW w:type="dxa" w:w="784"/>
          </w:tcPr>
          <w:p>
            <w:pPr>
              <w:pStyle w:val="MDPI42tablebody"/>
              <w:keepNext/>
              <w:spacing w:line="240" w:lineRule="auto" w:before="30" w:after="30"/>
              <w:jc w:val="center"/>
            </w:pPr>
            <w:r>
              <w:rPr>
                <w:b w:val="0"/>
                <w:i w:val="0"/>
                <w:sz w:val="14"/>
              </w:rPr>
              <w:t>15,672</w:t>
            </w:r>
          </w:p>
        </w:tc>
        <w:tc>
          <w:tcPr>
            <w:tcW w:type="dxa" w:w="523"/>
          </w:tcPr>
          <w:p>
            <w:pPr>
              <w:pStyle w:val="MDPI42tablebody"/>
              <w:keepNext/>
              <w:spacing w:line="240" w:lineRule="auto" w:before="30" w:after="30"/>
              <w:jc w:val="center"/>
            </w:pPr>
            <w:r>
              <w:rPr>
                <w:b w:val="0"/>
                <w:i w:val="0"/>
                <w:sz w:val="14"/>
              </w:rPr>
              <w:t>0.373</w:t>
            </w:r>
          </w:p>
        </w:tc>
      </w:tr>
      <w:tr>
        <w:trPr>
          <w:cantSplit/>
        </w:trPr>
        <w:tc>
          <w:tcPr>
            <w:tcW w:type="dxa" w:w="1308"/>
          </w:tcPr>
          <w:p>
            <w:pPr>
              <w:pStyle w:val="MDPI42tablebody"/>
              <w:keepNext/>
              <w:spacing w:line="240" w:lineRule="auto" w:before="30" w:after="30"/>
              <w:jc w:val="left"/>
            </w:pPr>
            <w:r>
              <w:rPr>
                <w:b w:val="0"/>
                <w:i w:val="0"/>
                <w:sz w:val="14"/>
              </w:rPr>
              <w:t>Region</w:t>
            </w:r>
          </w:p>
        </w:tc>
        <w:tc>
          <w:tcPr>
            <w:tcW w:type="dxa" w:w="1360"/>
          </w:tcPr>
          <w:p>
            <w:pPr>
              <w:pStyle w:val="MDPI42tablebody"/>
              <w:keepNext/>
              <w:spacing w:line="240" w:lineRule="auto" w:before="30" w:after="30"/>
              <w:jc w:val="left"/>
            </w:pPr>
            <w:r>
              <w:rPr>
                <w:b w:val="0"/>
                <w:i w:val="0"/>
                <w:sz w:val="14"/>
              </w:rPr>
              <w:t>Eastern</w:t>
            </w:r>
          </w:p>
        </w:tc>
        <w:tc>
          <w:tcPr>
            <w:tcW w:type="dxa" w:w="1046"/>
          </w:tcPr>
          <w:p>
            <w:pPr>
              <w:pStyle w:val="MDPI42tablebody"/>
              <w:keepNext/>
              <w:spacing w:line="240" w:lineRule="auto" w:before="30" w:after="30"/>
              <w:jc w:val="center"/>
            </w:pPr>
            <w:r>
              <w:rPr>
                <w:b w:val="0"/>
                <w:i w:val="0"/>
                <w:sz w:val="14"/>
              </w:rPr>
              <w:t>−0.666***</w:t>
            </w:r>
          </w:p>
        </w:tc>
        <w:tc>
          <w:tcPr>
            <w:tcW w:type="dxa" w:w="1098"/>
          </w:tcPr>
          <w:p>
            <w:pPr>
              <w:pStyle w:val="MDPI42tablebody"/>
              <w:keepNext/>
              <w:spacing w:line="240" w:lineRule="auto" w:before="30" w:after="30"/>
              <w:jc w:val="center"/>
            </w:pPr>
            <w:r>
              <w:rPr>
                <w:b w:val="0"/>
                <w:i w:val="0"/>
                <w:sz w:val="14"/>
              </w:rPr>
              <w:t>2.231</w:t>
            </w:r>
          </w:p>
        </w:tc>
        <w:tc>
          <w:tcPr>
            <w:tcW w:type="dxa" w:w="784"/>
          </w:tcPr>
          <w:p>
            <w:pPr>
              <w:pStyle w:val="MDPI42tablebody"/>
              <w:keepNext/>
              <w:spacing w:line="240" w:lineRule="auto" w:before="30" w:after="30"/>
              <w:jc w:val="center"/>
            </w:pPr>
            <w:r>
              <w:rPr>
                <w:b w:val="0"/>
                <w:i w:val="0"/>
                <w:sz w:val="14"/>
              </w:rPr>
              <w:t>9,685</w:t>
            </w:r>
          </w:p>
        </w:tc>
        <w:tc>
          <w:tcPr>
            <w:tcW w:type="dxa" w:w="1412"/>
          </w:tcPr>
          <w:p>
            <w:pPr>
              <w:pStyle w:val="MDPI42tablebody"/>
              <w:keepNext/>
              <w:spacing w:line="240" w:lineRule="auto" w:before="30" w:after="30"/>
              <w:jc w:val="center"/>
            </w:pPr>
            <w:r>
              <w:rPr>
                <w:b w:val="0"/>
                <w:i w:val="0"/>
                <w:sz w:val="14"/>
              </w:rPr>
              <w:t>Central and western</w:t>
            </w:r>
          </w:p>
        </w:tc>
        <w:tc>
          <w:tcPr>
            <w:tcW w:type="dxa" w:w="1046"/>
          </w:tcPr>
          <w:p>
            <w:pPr>
              <w:pStyle w:val="MDPI42tablebody"/>
              <w:keepNext/>
              <w:spacing w:line="240" w:lineRule="auto" w:before="30" w:after="30"/>
              <w:jc w:val="center"/>
            </w:pPr>
            <w:r>
              <w:rPr>
                <w:b w:val="0"/>
                <w:i w:val="0"/>
                <w:sz w:val="14"/>
              </w:rPr>
              <w:t>−0.700***</w:t>
            </w:r>
          </w:p>
        </w:tc>
        <w:tc>
          <w:tcPr>
            <w:tcW w:type="dxa" w:w="1098"/>
          </w:tcPr>
          <w:p>
            <w:pPr>
              <w:pStyle w:val="MDPI42tablebody"/>
              <w:keepNext/>
              <w:spacing w:line="240" w:lineRule="auto" w:before="30" w:after="30"/>
              <w:jc w:val="center"/>
            </w:pPr>
            <w:r>
              <w:rPr>
                <w:b w:val="0"/>
                <w:i w:val="0"/>
                <w:sz w:val="14"/>
              </w:rPr>
              <w:t>2.079</w:t>
            </w:r>
          </w:p>
        </w:tc>
        <w:tc>
          <w:tcPr>
            <w:tcW w:type="dxa" w:w="784"/>
          </w:tcPr>
          <w:p>
            <w:pPr>
              <w:pStyle w:val="MDPI42tablebody"/>
              <w:keepNext/>
              <w:spacing w:line="240" w:lineRule="auto" w:before="30" w:after="30"/>
              <w:jc w:val="center"/>
            </w:pPr>
            <w:r>
              <w:rPr>
                <w:b w:val="0"/>
                <w:i w:val="0"/>
                <w:sz w:val="14"/>
              </w:rPr>
              <w:t>17,635</w:t>
            </w:r>
          </w:p>
        </w:tc>
        <w:tc>
          <w:tcPr>
            <w:tcW w:type="dxa" w:w="523"/>
          </w:tcPr>
          <w:p>
            <w:pPr>
              <w:pStyle w:val="MDPI42tablebody"/>
              <w:keepNext/>
              <w:spacing w:line="240" w:lineRule="auto" w:before="30" w:after="30"/>
              <w:jc w:val="center"/>
            </w:pPr>
            <w:r>
              <w:rPr>
                <w:b w:val="0"/>
                <w:i w:val="0"/>
                <w:sz w:val="14"/>
              </w:rPr>
              <w:t>0.719</w:t>
            </w:r>
          </w:p>
        </w:tc>
      </w:tr>
      <w:tr>
        <w:trPr>
          <w:cantSplit/>
        </w:trPr>
        <w:tc>
          <w:tcPr>
            <w:tcW w:type="dxa" w:w="1308"/>
          </w:tcPr>
          <w:p>
            <w:pPr>
              <w:pStyle w:val="MDPI42tablebody"/>
              <w:spacing w:line="240" w:lineRule="auto" w:before="30" w:after="30"/>
              <w:jc w:val="left"/>
            </w:pPr>
            <w:r>
              <w:rPr>
                <w:b w:val="0"/>
                <w:i w:val="0"/>
                <w:sz w:val="14"/>
              </w:rPr>
              <w:t>Firm size</w:t>
            </w:r>
          </w:p>
        </w:tc>
        <w:tc>
          <w:tcPr>
            <w:tcW w:type="dxa" w:w="1360"/>
          </w:tcPr>
          <w:p>
            <w:pPr>
              <w:pStyle w:val="MDPI42tablebody"/>
              <w:spacing w:line="240" w:lineRule="auto" w:before="30" w:after="30"/>
              <w:jc w:val="left"/>
            </w:pPr>
            <w:r>
              <w:rPr>
                <w:b w:val="0"/>
                <w:i w:val="0"/>
                <w:sz w:val="14"/>
              </w:rPr>
              <w:t>Large</w:t>
            </w:r>
          </w:p>
        </w:tc>
        <w:tc>
          <w:tcPr>
            <w:tcW w:type="dxa" w:w="1046"/>
          </w:tcPr>
          <w:p>
            <w:pPr>
              <w:pStyle w:val="MDPI42tablebody"/>
              <w:spacing w:line="240" w:lineRule="auto" w:before="30" w:after="30"/>
              <w:jc w:val="center"/>
            </w:pPr>
            <w:r>
              <w:rPr>
                <w:b w:val="0"/>
                <w:i w:val="0"/>
                <w:sz w:val="14"/>
              </w:rPr>
              <w:t>−0.723***</w:t>
            </w:r>
          </w:p>
        </w:tc>
        <w:tc>
          <w:tcPr>
            <w:tcW w:type="dxa" w:w="1098"/>
          </w:tcPr>
          <w:p>
            <w:pPr>
              <w:pStyle w:val="MDPI42tablebody"/>
              <w:spacing w:line="240" w:lineRule="auto" w:before="30" w:after="30"/>
              <w:jc w:val="center"/>
            </w:pPr>
            <w:r>
              <w:rPr>
                <w:b w:val="0"/>
                <w:i w:val="0"/>
                <w:sz w:val="14"/>
              </w:rPr>
              <w:t>2.218</w:t>
            </w:r>
          </w:p>
        </w:tc>
        <w:tc>
          <w:tcPr>
            <w:tcW w:type="dxa" w:w="784"/>
          </w:tcPr>
          <w:p>
            <w:pPr>
              <w:pStyle w:val="MDPI42tablebody"/>
              <w:spacing w:line="240" w:lineRule="auto" w:before="30" w:after="30"/>
              <w:jc w:val="center"/>
            </w:pPr>
            <w:r>
              <w:rPr>
                <w:b w:val="0"/>
                <w:i w:val="0"/>
                <w:sz w:val="14"/>
              </w:rPr>
              <w:t>13,660</w:t>
            </w:r>
          </w:p>
        </w:tc>
        <w:tc>
          <w:tcPr>
            <w:tcW w:type="dxa" w:w="1412"/>
          </w:tcPr>
          <w:p>
            <w:pPr>
              <w:pStyle w:val="MDPI42tablebody"/>
              <w:spacing w:line="240" w:lineRule="auto" w:before="30" w:after="30"/>
              <w:jc w:val="center"/>
            </w:pPr>
            <w:r>
              <w:rPr>
                <w:b w:val="0"/>
                <w:i w:val="0"/>
                <w:sz w:val="14"/>
              </w:rPr>
              <w:t>Small</w:t>
            </w:r>
          </w:p>
        </w:tc>
        <w:tc>
          <w:tcPr>
            <w:tcW w:type="dxa" w:w="1046"/>
          </w:tcPr>
          <w:p>
            <w:pPr>
              <w:pStyle w:val="MDPI42tablebody"/>
              <w:spacing w:line="240" w:lineRule="auto" w:before="30" w:after="30"/>
              <w:jc w:val="center"/>
            </w:pPr>
            <w:r>
              <w:rPr>
                <w:b w:val="0"/>
                <w:i w:val="0"/>
                <w:sz w:val="14"/>
              </w:rPr>
              <w:t>−0.692***</w:t>
            </w:r>
          </w:p>
        </w:tc>
        <w:tc>
          <w:tcPr>
            <w:tcW w:type="dxa" w:w="1098"/>
          </w:tcPr>
          <w:p>
            <w:pPr>
              <w:pStyle w:val="MDPI42tablebody"/>
              <w:spacing w:line="240" w:lineRule="auto" w:before="30" w:after="30"/>
              <w:jc w:val="center"/>
            </w:pPr>
            <w:r>
              <w:rPr>
                <w:b w:val="0"/>
                <w:i w:val="0"/>
                <w:sz w:val="14"/>
              </w:rPr>
              <w:t>2.085</w:t>
            </w:r>
          </w:p>
        </w:tc>
        <w:tc>
          <w:tcPr>
            <w:tcW w:type="dxa" w:w="784"/>
          </w:tcPr>
          <w:p>
            <w:pPr>
              <w:pStyle w:val="MDPI42tablebody"/>
              <w:spacing w:line="240" w:lineRule="auto" w:before="30" w:after="30"/>
              <w:jc w:val="center"/>
            </w:pPr>
            <w:r>
              <w:rPr>
                <w:b w:val="0"/>
                <w:i w:val="0"/>
                <w:sz w:val="14"/>
              </w:rPr>
              <w:t>13,660</w:t>
            </w:r>
          </w:p>
        </w:tc>
        <w:tc>
          <w:tcPr>
            <w:tcW w:type="dxa" w:w="523"/>
          </w:tcPr>
          <w:p>
            <w:pPr>
              <w:pStyle w:val="MDPI42tablebody"/>
              <w:spacing w:line="240" w:lineRule="auto" w:before="30" w:after="30"/>
              <w:jc w:val="center"/>
            </w:pPr>
            <w:r>
              <w:rPr>
                <w:b w:val="0"/>
                <w:i w:val="0"/>
                <w:sz w:val="14"/>
              </w:rPr>
              <w:t>0.754</w:t>
            </w:r>
          </w:p>
        </w:tc>
      </w:tr>
    </w:tbl>
    <w:p>
      <w:pPr>
        <w:pStyle w:val="MDPI43tablefooter"/>
        <w:spacing w:line="240" w:lineRule="auto" w:before="40" w:after="200"/>
        <w:ind w:left="2608" w:firstLine="0"/>
      </w:pPr>
      <w:r>
        <w:rPr>
          <w:sz w:val="16"/>
        </w:rPr>
        <w:t xml:space="preserve">Note: </w:t>
      </w:r>
      <w:r>
        <w:rPr>
          <w:b w:val="0"/>
          <w:i w:val="0"/>
          <w:sz w:val="16"/>
        </w:rPr>
        <w:t>Each row estimates Equation (3) separately in the two subsamples. The p-value tests the equality of the coefficient on the squared term across the two groups. Firm size is split at the median of total assets. ***, ** and * denote significance at the 1%, 5% and 10% levels.</w:t>
      </w:r>
    </w:p>
    <w:p>
      <w:pPr>
        <w:pStyle w:val="MDPI21heading1"/>
      </w:pPr>
      <w:r>
        <w:t>6. Research Conclusions and Implications</w:t>
      </w:r>
    </w:p>
    <w:p>
      <w:pPr>
        <w:pStyle w:val="MDPI22heading2"/>
      </w:pPr>
      <w:r>
        <w:t>6.1. Research Conclusions</w:t>
      </w:r>
    </w:p>
    <w:p>
      <w:pPr>
        <w:pStyle w:val="MDPI32textnoindent"/>
      </w:pPr>
      <w:r>
        <w:rPr>
          <w:b w:val="0"/>
          <w:i w:val="0"/>
        </w:rPr>
        <w:t>Using a panel of Chinese A-share listed firms and a text-based measure of generative AI adoption depth, this study finds that the relationship between adoption depth and the youth employment share is inverted U-shaped. A linear specification finds nothing; a quadratic specification finds a strongly significant curve whose extreme point, 2.132, lies inside the observed range with 42.9% of post-shock observations beyond it. Moderate adoption raises the youth share by up to 3.15 percentage points; the deepest observed adoption leaves the firm 1.84 points below where it started. The result survives instrumental-variable, matched-sample, entropy-balanced and randomisation-based inference, and it is reproduced by a non-parametric binned fit.</w:t>
      </w:r>
    </w:p>
    <w:p>
      <w:pPr>
        <w:pStyle w:val="MDPI31text"/>
      </w:pPr>
      <w:r>
        <w:rPr>
          <w:b w:val="0"/>
          <w:i w:val="0"/>
        </w:rPr>
        <w:t>The mechanism is an asymmetry in how two channels scale with depth. Augmentation of entry-level work is increasing and concave; automation of the entry-level task bundle is increasing and convex; the youth share loads positively on the first and negatively on the second; and once both are controlled for, no residual curvature remains. The turning point is organisationally determined: organisational learning capability delays it by 0.508 units of depth per standard deviation and disclosed AI governance by 0.671, while labour cost pressure brings it forward by 0.558.</w:t>
      </w:r>
    </w:p>
    <w:p>
      <w:pPr>
        <w:pStyle w:val="MDPI22heading2"/>
      </w:pPr>
      <w:r>
        <w:t>6.2. Theoretical Contributions</w:t>
      </w:r>
    </w:p>
    <w:p>
      <w:pPr>
        <w:pStyle w:val="MDPI32textnoindent"/>
      </w:pPr>
      <w:r>
        <w:rPr>
          <w:b w:val="0"/>
          <w:i w:val="0"/>
        </w:rPr>
        <w:t xml:space="preserve">The study makes three contributions. First, it supplies a functional form for a relationship that the literature has estimated as monotone. The task-based framework predicts the net employment consequence of automation from the balance of displacement and reinstatement </w:t>
      </w:r>
      <w:r>
        <w:t>[</w:t>
      </w:r>
      <w:r>
        <w:fldChar w:fldCharType="begin"/>
      </w:r>
      <w:r>
        <w:instrText xml:space="preserve"> REF _Ref_14 \h </w:instrText>
      </w:r>
      <w:r>
        <w:fldChar w:fldCharType="separate"/>
      </w:r>
      <w:r>
        <w:t>14</w:t>
      </w:r>
      <w:r>
        <w:fldChar w:fldCharType="end"/>
      </w:r>
      <w:r>
        <w:t>,</w:t>
      </w:r>
      <w:r>
        <w:fldChar w:fldCharType="begin"/>
      </w:r>
      <w:r>
        <w:instrText xml:space="preserve"> REF _Ref_15 \h </w:instrText>
      </w:r>
      <w:r>
        <w:fldChar w:fldCharType="separate"/>
      </w:r>
      <w:r>
        <w:t>15</w:t>
      </w:r>
      <w:r>
        <w:fldChar w:fldCharType="end"/>
      </w:r>
      <w:r>
        <w:t>]</w:t>
      </w:r>
      <w:r>
        <w:rPr>
          <w:b w:val="0"/>
          <w:i w:val="0"/>
        </w:rPr>
        <w:t xml:space="preserve">, but it is silent about how that balance changes with the intensity of the technology. We show that the two forces scale differently, that the net effect is therefore non-monotone, and that a linear estimate of it is uninformative in a precise and testable sense. This reconciles firm-level and occupation-level estimates that currently contradict one another </w:t>
      </w:r>
      <w:r>
        <w:t>[</w:t>
      </w:r>
      <w:r>
        <w:fldChar w:fldCharType="begin"/>
      </w:r>
      <w:r>
        <w:instrText xml:space="preserve"> REF _Ref_6 \h </w:instrText>
      </w:r>
      <w:r>
        <w:fldChar w:fldCharType="separate"/>
      </w:r>
      <w:r>
        <w:t>6</w:t>
      </w:r>
      <w:r>
        <w:fldChar w:fldCharType="end"/>
      </w:r>
      <w:r>
        <w:t>–</w:t>
      </w:r>
      <w:r>
        <w:fldChar w:fldCharType="begin"/>
      </w:r>
      <w:r>
        <w:instrText xml:space="preserve"> REF _Ref_8 \h </w:instrText>
      </w:r>
      <w:r>
        <w:fldChar w:fldCharType="separate"/>
      </w:r>
      <w:r>
        <w:t>8</w:t>
      </w:r>
      <w:r>
        <w:fldChar w:fldCharType="end"/>
      </w:r>
      <w:r>
        <w:t>]</w:t>
      </w:r>
      <w:r>
        <w:rPr>
          <w:b w:val="0"/>
          <w:i w:val="0"/>
        </w:rPr>
        <w:t>: they are estimating the same curve at different points.</w:t>
      </w:r>
    </w:p>
    <w:p>
      <w:pPr>
        <w:pStyle w:val="MDPI31text"/>
      </w:pPr>
      <w:r>
        <w:rPr>
          <w:b w:val="0"/>
          <w:i w:val="0"/>
        </w:rPr>
        <w:t xml:space="preserve">Second, it converts the automation–augmentation paradox </w:t>
      </w:r>
      <w:r>
        <w:t>[</w:t>
      </w:r>
      <w:r>
        <w:fldChar w:fldCharType="begin"/>
      </w:r>
      <w:r>
        <w:instrText xml:space="preserve"> REF _Ref_27 \h </w:instrText>
      </w:r>
      <w:r>
        <w:fldChar w:fldCharType="separate"/>
      </w:r>
      <w:r>
        <w:t>27</w:t>
      </w:r>
      <w:r>
        <w:fldChar w:fldCharType="end"/>
      </w:r>
      <w:r>
        <w:t>–</w:t>
      </w:r>
      <w:r>
        <w:fldChar w:fldCharType="begin"/>
      </w:r>
      <w:r>
        <w:instrText xml:space="preserve"> REF _Ref_29 \h </w:instrText>
      </w:r>
      <w:r>
        <w:fldChar w:fldCharType="separate"/>
      </w:r>
      <w:r>
        <w:t>29</w:t>
      </w:r>
      <w:r>
        <w:fldChar w:fldCharType="end"/>
      </w:r>
      <w:r>
        <w:t>]</w:t>
      </w:r>
      <w:r>
        <w:rPr>
          <w:b w:val="0"/>
          <w:i w:val="0"/>
        </w:rPr>
        <w:t xml:space="preserve"> from a tension into a threshold with an estimable location. The paradox holds that automation and augmentation are interdependent design choices rather than alternatives. Our results give that claim a coordinate: they are the same choice at different depths, and the depth at which one becomes the other is the object that management and policy can act on.</w:t>
      </w:r>
    </w:p>
    <w:p>
      <w:pPr>
        <w:pStyle w:val="MDPI31text"/>
      </w:pPr>
      <w:r>
        <w:rPr>
          <w:b w:val="0"/>
          <w:i w:val="0"/>
        </w:rPr>
        <w:t xml:space="preserve">Third, it connects the organisational-learning literature to a labour-market outcome in a way that respects the methodology of curvilinear moderation </w:t>
      </w:r>
      <w:r>
        <w:t>[</w:t>
      </w:r>
      <w:r>
        <w:fldChar w:fldCharType="begin"/>
      </w:r>
      <w:r>
        <w:instrText xml:space="preserve"> REF _Ref_44 \h </w:instrText>
      </w:r>
      <w:r>
        <w:fldChar w:fldCharType="separate"/>
      </w:r>
      <w:r>
        <w:t>44</w:t>
      </w:r>
      <w:r>
        <w:fldChar w:fldCharType="end"/>
      </w:r>
      <w:r>
        <w:t>]</w:t>
      </w:r>
      <w:r>
        <w:rPr>
          <w:b w:val="0"/>
          <w:i w:val="0"/>
        </w:rPr>
        <w:t xml:space="preserve">. Absorptive capacity and the conversion of experience into routines have been studied as determinants of innovation and performance </w:t>
      </w:r>
      <w:r>
        <w:t>[</w:t>
      </w:r>
      <w:r>
        <w:fldChar w:fldCharType="begin"/>
      </w:r>
      <w:r>
        <w:instrText xml:space="preserve"> REF _Ref_20 \h </w:instrText>
      </w:r>
      <w:r>
        <w:fldChar w:fldCharType="separate"/>
      </w:r>
      <w:r>
        <w:t>20</w:t>
      </w:r>
      <w:r>
        <w:fldChar w:fldCharType="end"/>
      </w:r>
      <w:r>
        <w:t>,</w:t>
      </w:r>
      <w:r>
        <w:fldChar w:fldCharType="begin"/>
      </w:r>
      <w:r>
        <w:instrText xml:space="preserve"> REF _Ref_21 \h </w:instrText>
      </w:r>
      <w:r>
        <w:fldChar w:fldCharType="separate"/>
      </w:r>
      <w:r>
        <w:t>21</w:t>
      </w:r>
      <w:r>
        <w:fldChar w:fldCharType="end"/>
      </w:r>
      <w:r>
        <w:t>,</w:t>
      </w:r>
      <w:r>
        <w:fldChar w:fldCharType="begin"/>
      </w:r>
      <w:r>
        <w:instrText xml:space="preserve"> REF _Ref_45 \h </w:instrText>
      </w:r>
      <w:r>
        <w:fldChar w:fldCharType="separate"/>
      </w:r>
      <w:r>
        <w:t>45</w:t>
      </w:r>
      <w:r>
        <w:fldChar w:fldCharType="end"/>
      </w:r>
      <w:r>
        <w:t>]</w:t>
      </w:r>
      <w:r>
        <w:rPr>
          <w:b w:val="0"/>
          <w:i w:val="0"/>
        </w:rPr>
        <w:t>; we show that they determine the location of a labour-demand threshold, and we show it by testing displacement of the turning point rather than by reading it off an interaction coefficient.</w:t>
      </w:r>
    </w:p>
    <w:p>
      <w:pPr>
        <w:pStyle w:val="MDPI22heading2"/>
      </w:pPr>
      <w:r>
        <w:t>6.3. Managerial and Policy Implications</w:t>
      </w:r>
    </w:p>
    <w:p>
      <w:pPr>
        <w:pStyle w:val="MDPI32textnoindent"/>
      </w:pPr>
      <w:r>
        <w:rPr>
          <w:b w:val="0"/>
          <w:i w:val="0"/>
        </w:rPr>
        <w:t>For firms, the result reframes the adoption decision. The relevant question is not whether to adopt generative AI but how deep to go before the entry-level role has to be rebuilt, and the answer is firm-specific and measurable. A firm can estimate its own position on the curve from its adoption depth and its learning and governance characteristics, and the two organisational levers that move the peak are ordinary management decisions: investment in the training and knowledge-management infrastructure that constitutes learning capability, and the review protocols, accountability rules and disclosure that constitute AI governance. Neither requires slowing adoption down.</w:t>
      </w:r>
    </w:p>
    <w:p>
      <w:pPr>
        <w:pStyle w:val="MDPI31text"/>
      </w:pPr>
      <w:r>
        <w:rPr>
          <w:b w:val="0"/>
          <w:i w:val="0"/>
        </w:rPr>
        <w:t xml:space="preserve">For policy, the finding that the effect is non-monotone and organisationally conditioned points away from the instruments currently in view. Restricting adoption would forgo the ascending arm, on which most firms in this sample still sit, without addressing the mechanism that produces the descending one. Instruments that raise organisational learning capability — training subsidies conditional on the task content of entry-level roles rather than on headcount, structured apprenticeship in professional services, graduate schemes with protected task content — act directly on the moderator that moves the peak, and they are the instruments implied by the argument that AI can extend rather than replace the reach of expertise </w:t>
      </w:r>
      <w:r>
        <w:t>[</w:t>
      </w:r>
      <w:r>
        <w:fldChar w:fldCharType="begin"/>
      </w:r>
      <w:r>
        <w:instrText xml:space="preserve"> REF _Ref_69 \h </w:instrText>
      </w:r>
      <w:r>
        <w:fldChar w:fldCharType="separate"/>
      </w:r>
      <w:r>
        <w:t>69</w:t>
      </w:r>
      <w:r>
        <w:fldChar w:fldCharType="end"/>
      </w:r>
      <w:r>
        <w:t>]</w:t>
      </w:r>
      <w:r>
        <w:rPr>
          <w:b w:val="0"/>
          <w:i w:val="0"/>
        </w:rPr>
        <w:t xml:space="preserve">. Since firms under labour cost pressure close the entry port earliest, the distributional consequences will appear first in the segment of the economy least able to absorb them, and the persistence of entry conditions in later earnings </w:t>
      </w:r>
      <w:r>
        <w:t>[</w:t>
      </w:r>
      <w:r>
        <w:fldChar w:fldCharType="begin"/>
      </w:r>
      <w:r>
        <w:instrText xml:space="preserve"> REF _Ref_55 \h </w:instrText>
      </w:r>
      <w:r>
        <w:fldChar w:fldCharType="separate"/>
      </w:r>
      <w:r>
        <w:t>55</w:t>
      </w:r>
      <w:r>
        <w:fldChar w:fldCharType="end"/>
      </w:r>
      <w:r>
        <w:t>,</w:t>
      </w:r>
      <w:r>
        <w:fldChar w:fldCharType="begin"/>
      </w:r>
      <w:r>
        <w:instrText xml:space="preserve"> REF _Ref_56 \h </w:instrText>
      </w:r>
      <w:r>
        <w:fldChar w:fldCharType="separate"/>
      </w:r>
      <w:r>
        <w:t>56</w:t>
      </w:r>
      <w:r>
        <w:fldChar w:fldCharType="end"/>
      </w:r>
      <w:r>
        <w:t>,</w:t>
      </w:r>
      <w:r>
        <w:fldChar w:fldCharType="begin"/>
      </w:r>
      <w:r>
        <w:instrText xml:space="preserve"> REF _Ref_70 \h </w:instrText>
      </w:r>
      <w:r>
        <w:fldChar w:fldCharType="separate"/>
      </w:r>
      <w:r>
        <w:t>70</w:t>
      </w:r>
      <w:r>
        <w:fldChar w:fldCharType="end"/>
      </w:r>
      <w:r>
        <w:t>]</w:t>
      </w:r>
      <w:r>
        <w:rPr>
          <w:b w:val="0"/>
          <w:i w:val="0"/>
        </w:rPr>
        <w:t xml:space="preserve"> means the cost is borne for a long time by the cohorts affected.</w:t>
      </w:r>
    </w:p>
    <w:p>
      <w:pPr>
        <w:pStyle w:val="MDPI22heading2"/>
      </w:pPr>
      <w:r>
        <w:t>6.4. Limitations and Future Research Directions</w:t>
      </w:r>
    </w:p>
    <w:p>
      <w:pPr>
        <w:pStyle w:val="MDPI32textnoindent"/>
      </w:pPr>
      <w:r>
        <w:rPr>
          <w:b w:val="0"/>
          <w:i w:val="0"/>
        </w:rPr>
        <w:t>Five limitations qualify the results. First, adoption depth is measured from annual-report text, which captures disclosed rather than actual use and may be inflated by firms seeking to signal technological sophistication; the shift-share instrument on ex-ante task exposure, which does not rely on disclosure, gives the same answer, but a measure based on procurement or usage data would be better. Second, the quadratic is a local approximation. It is the standard vehicle for testing an interior maximum and we have supported it with a non-parametric fit and a two-lines test, but the true relationship may have a shape the quadratic cannot represent, and semiparametric estimation on a longer panel would settle it. Third, the sample is listed firms, which are larger and more capital-intensive than the population. Fourth, the outcome is the firm's age composition, not the young worker's welfare; displaced entry demand at one firm may be absorbed at another, so the firm-level estimate is not an equilibrium effect, and linked employer–employee data would be required to trace it. Fifth, the moderators are observable proxies, and organisational learning capability in particular is measured by training expenditure rather than by the routines it is meant to indicate. Future research could also ask whether the turning point itself moves over time as firms learn: if it does, the descending arm observed today may be a transitional phenomenon rather than a steady state.</w:t>
      </w:r>
    </w:p>
    <w:p>
      <w:pPr>
        <w:pStyle w:val="MDPI21heading1"/>
      </w:pPr>
      <w:r>
        <w:t>Appendix A</w:t>
      </w:r>
    </w:p>
    <w:p>
      <w:pPr>
        <w:pStyle w:val="MDPI32textnoindent"/>
      </w:pPr>
      <w:r>
        <w:rPr>
          <w:b w:val="0"/>
          <w:i w:val="0"/>
        </w:rPr>
        <w:t>Table A1 reports the covariate balance underlying the propensity-score matched sample used in column (4) of Table 8. Every matched difference is far inside the conventional ten per cent criterion and none is statistically significant.</w:t>
      </w:r>
    </w:p>
    <w:p>
      <w:pPr>
        <w:pStyle w:val="MDPI41tablecaption"/>
        <w:keepNext/>
        <w:spacing w:after="60"/>
      </w:pPr>
      <w:r>
        <w:rPr>
          <w:b/>
          <w:sz w:val="18"/>
        </w:rPr>
        <w:t xml:space="preserve">Table A1. </w:t>
      </w:r>
      <w:r>
        <w:rPr>
          <w:b w:val="0"/>
          <w:i w:val="0"/>
          <w:sz w:val="18"/>
        </w:rPr>
        <w:t>Covariate balance before and after propensity-score matching.</w:t>
      </w:r>
    </w:p>
    <w:tbl>
      <w:tblPr>
        <w:tblStyle w:val="MDPI41threelinetable"/>
        <w:tblW w:w="10466"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CellMar>
          <w:top w:w="0" w:type="dxa"/>
          <w:left w:w="57" w:type="dxa"/>
          <w:bottom w:w="0" w:type="dxa"/>
          <w:right w:w="57" w:type="dxa"/>
        </w:tblCellMar>
        <w:tblLook w:firstColumn="1" w:firstRow="1" w:lastColumn="0" w:lastRow="0" w:noHBand="0" w:noVBand="1" w:val="04A0"/>
      </w:tblPr>
      <w:tblGrid>
        <w:gridCol w:w="2302"/>
        <w:gridCol w:w="2721"/>
        <w:gridCol w:w="2721"/>
        <w:gridCol w:w="1360"/>
        <w:gridCol w:w="1360"/>
      </w:tblGrid>
      <w:tr>
        <w:trPr>
          <w:cantSplit/>
          <w:tblHeader/>
        </w:trPr>
        <w:tc>
          <w:tcPr>
            <w:tcW w:type="dxa" w:w="2302"/>
            <w:tcBorders>
              <w:bottom w:val="single" w:sz="8" w:space="0" w:color="auto"/>
            </w:tcBorders>
          </w:tcPr>
          <w:p>
            <w:pPr>
              <w:pStyle w:val="MDPI42tablebody"/>
              <w:keepNext/>
              <w:spacing w:line="240" w:lineRule="auto" w:before="30" w:after="30"/>
              <w:jc w:val="center"/>
            </w:pPr>
            <w:r>
              <w:rPr>
                <w:b/>
                <w:i w:val="0"/>
                <w:sz w:val="18"/>
              </w:rPr>
              <w:t>Variable</w:t>
            </w:r>
          </w:p>
        </w:tc>
        <w:tc>
          <w:tcPr>
            <w:tcW w:type="dxa" w:w="2721"/>
            <w:tcBorders>
              <w:bottom w:val="single" w:sz="8" w:space="0" w:color="auto"/>
            </w:tcBorders>
          </w:tcPr>
          <w:p>
            <w:pPr>
              <w:pStyle w:val="MDPI42tablebody"/>
              <w:keepNext/>
              <w:spacing w:line="240" w:lineRule="auto" w:before="30" w:after="30"/>
              <w:jc w:val="center"/>
            </w:pPr>
            <w:r>
              <w:rPr>
                <w:b/>
                <w:i w:val="0"/>
                <w:sz w:val="18"/>
              </w:rPr>
              <w:t>Standardised bias, unmatched (%)</w:t>
            </w:r>
          </w:p>
        </w:tc>
        <w:tc>
          <w:tcPr>
            <w:tcW w:type="dxa" w:w="2721"/>
            <w:tcBorders>
              <w:bottom w:val="single" w:sz="8" w:space="0" w:color="auto"/>
            </w:tcBorders>
          </w:tcPr>
          <w:p>
            <w:pPr>
              <w:pStyle w:val="MDPI42tablebody"/>
              <w:keepNext/>
              <w:spacing w:line="240" w:lineRule="auto" w:before="30" w:after="30"/>
              <w:jc w:val="center"/>
            </w:pPr>
            <w:r>
              <w:rPr>
                <w:b/>
                <w:i w:val="0"/>
                <w:sz w:val="18"/>
              </w:rPr>
              <w:t>Standardised bias, matched (%)</w:t>
            </w:r>
          </w:p>
        </w:tc>
        <w:tc>
          <w:tcPr>
            <w:tcW w:type="dxa" w:w="1360"/>
            <w:tcBorders>
              <w:bottom w:val="single" w:sz="8" w:space="0" w:color="auto"/>
            </w:tcBorders>
          </w:tcPr>
          <w:p>
            <w:pPr>
              <w:pStyle w:val="MDPI42tablebody"/>
              <w:keepNext/>
              <w:spacing w:line="240" w:lineRule="auto" w:before="30" w:after="30"/>
              <w:jc w:val="center"/>
            </w:pPr>
            <w:r>
              <w:rPr>
                <w:b/>
                <w:i w:val="0"/>
                <w:sz w:val="18"/>
              </w:rPr>
              <w:t>t</w:t>
            </w:r>
          </w:p>
        </w:tc>
        <w:tc>
          <w:tcPr>
            <w:tcW w:type="dxa" w:w="1360"/>
            <w:tcBorders>
              <w:bottom w:val="single" w:sz="8" w:space="0" w:color="auto"/>
            </w:tcBorders>
          </w:tcPr>
          <w:p>
            <w:pPr>
              <w:pStyle w:val="MDPI42tablebody"/>
              <w:keepNext/>
              <w:spacing w:line="240" w:lineRule="auto" w:before="30" w:after="30"/>
              <w:jc w:val="center"/>
            </w:pPr>
            <w:r>
              <w:rPr>
                <w:b/>
                <w:i w:val="0"/>
                <w:sz w:val="18"/>
              </w:rPr>
              <w:t>p</w:t>
            </w:r>
          </w:p>
        </w:tc>
      </w:tr>
      <w:tr>
        <w:trPr>
          <w:cantSplit/>
        </w:trPr>
        <w:tc>
          <w:tcPr>
            <w:tcW w:type="dxa" w:w="2302"/>
          </w:tcPr>
          <w:p>
            <w:pPr>
              <w:pStyle w:val="MDPI42tablebody"/>
              <w:keepNext/>
              <w:spacing w:line="240" w:lineRule="auto" w:before="30" w:after="30"/>
              <w:jc w:val="left"/>
            </w:pPr>
            <w:r>
              <w:rPr>
                <w:b w:val="0"/>
                <w:i/>
                <w:sz w:val="18"/>
              </w:rPr>
              <w:t>Size</w:t>
            </w:r>
          </w:p>
        </w:tc>
        <w:tc>
          <w:tcPr>
            <w:tcW w:type="dxa" w:w="2721"/>
          </w:tcPr>
          <w:p>
            <w:pPr>
              <w:pStyle w:val="MDPI42tablebody"/>
              <w:keepNext/>
              <w:spacing w:line="240" w:lineRule="auto" w:before="30" w:after="30"/>
              <w:jc w:val="center"/>
            </w:pPr>
            <w:r>
              <w:rPr>
                <w:b w:val="0"/>
                <w:i w:val="0"/>
                <w:sz w:val="18"/>
              </w:rPr>
              <w:t>48.0</w:t>
            </w:r>
          </w:p>
        </w:tc>
        <w:tc>
          <w:tcPr>
            <w:tcW w:type="dxa" w:w="2721"/>
          </w:tcPr>
          <w:p>
            <w:pPr>
              <w:pStyle w:val="MDPI42tablebody"/>
              <w:keepNext/>
              <w:spacing w:line="240" w:lineRule="auto" w:before="30" w:after="30"/>
              <w:jc w:val="center"/>
            </w:pPr>
            <w:r>
              <w:rPr>
                <w:b w:val="0"/>
                <w:i w:val="0"/>
                <w:sz w:val="18"/>
              </w:rPr>
              <w:t>0.2</w:t>
            </w:r>
          </w:p>
        </w:tc>
        <w:tc>
          <w:tcPr>
            <w:tcW w:type="dxa" w:w="1360"/>
          </w:tcPr>
          <w:p>
            <w:pPr>
              <w:pStyle w:val="MDPI42tablebody"/>
              <w:keepNext/>
              <w:spacing w:line="240" w:lineRule="auto" w:before="30" w:after="30"/>
              <w:jc w:val="center"/>
            </w:pPr>
            <w:r>
              <w:rPr>
                <w:b w:val="0"/>
                <w:i w:val="0"/>
                <w:sz w:val="18"/>
              </w:rPr>
              <w:t>0.05</w:t>
            </w:r>
          </w:p>
        </w:tc>
        <w:tc>
          <w:tcPr>
            <w:tcW w:type="dxa" w:w="1360"/>
          </w:tcPr>
          <w:p>
            <w:pPr>
              <w:pStyle w:val="MDPI42tablebody"/>
              <w:keepNext/>
              <w:spacing w:line="240" w:lineRule="auto" w:before="30" w:after="30"/>
              <w:jc w:val="center"/>
            </w:pPr>
            <w:r>
              <w:rPr>
                <w:b w:val="0"/>
                <w:i w:val="0"/>
                <w:sz w:val="18"/>
              </w:rPr>
              <w:t>0.963</w:t>
            </w:r>
          </w:p>
        </w:tc>
      </w:tr>
      <w:tr>
        <w:trPr>
          <w:cantSplit/>
        </w:trPr>
        <w:tc>
          <w:tcPr>
            <w:tcW w:type="dxa" w:w="2302"/>
          </w:tcPr>
          <w:p>
            <w:pPr>
              <w:pStyle w:val="MDPI42tablebody"/>
              <w:keepNext/>
              <w:spacing w:line="240" w:lineRule="auto" w:before="30" w:after="30"/>
              <w:jc w:val="left"/>
            </w:pPr>
            <w:r>
              <w:rPr>
                <w:b w:val="0"/>
                <w:i/>
                <w:sz w:val="18"/>
              </w:rPr>
              <w:t>Lev</w:t>
            </w:r>
          </w:p>
        </w:tc>
        <w:tc>
          <w:tcPr>
            <w:tcW w:type="dxa" w:w="2721"/>
          </w:tcPr>
          <w:p>
            <w:pPr>
              <w:pStyle w:val="MDPI42tablebody"/>
              <w:keepNext/>
              <w:spacing w:line="240" w:lineRule="auto" w:before="30" w:after="30"/>
              <w:jc w:val="center"/>
            </w:pPr>
            <w:r>
              <w:rPr>
                <w:b w:val="0"/>
                <w:i w:val="0"/>
                <w:sz w:val="18"/>
              </w:rPr>
              <w:t>2.1</w:t>
            </w:r>
          </w:p>
        </w:tc>
        <w:tc>
          <w:tcPr>
            <w:tcW w:type="dxa" w:w="2721"/>
          </w:tcPr>
          <w:p>
            <w:pPr>
              <w:pStyle w:val="MDPI42tablebody"/>
              <w:keepNext/>
              <w:spacing w:line="240" w:lineRule="auto" w:before="30" w:after="30"/>
              <w:jc w:val="center"/>
            </w:pPr>
            <w:r>
              <w:rPr>
                <w:b w:val="0"/>
                <w:i w:val="0"/>
                <w:sz w:val="18"/>
              </w:rPr>
              <w:t>−0.1</w:t>
            </w:r>
          </w:p>
        </w:tc>
        <w:tc>
          <w:tcPr>
            <w:tcW w:type="dxa" w:w="1360"/>
          </w:tcPr>
          <w:p>
            <w:pPr>
              <w:pStyle w:val="MDPI42tablebody"/>
              <w:keepNext/>
              <w:spacing w:line="240" w:lineRule="auto" w:before="30" w:after="30"/>
              <w:jc w:val="center"/>
            </w:pPr>
            <w:r>
              <w:rPr>
                <w:b w:val="0"/>
                <w:i w:val="0"/>
                <w:sz w:val="18"/>
              </w:rPr>
              <w:t>−0.02</w:t>
            </w:r>
          </w:p>
        </w:tc>
        <w:tc>
          <w:tcPr>
            <w:tcW w:type="dxa" w:w="1360"/>
          </w:tcPr>
          <w:p>
            <w:pPr>
              <w:pStyle w:val="MDPI42tablebody"/>
              <w:keepNext/>
              <w:spacing w:line="240" w:lineRule="auto" w:before="30" w:after="30"/>
              <w:jc w:val="center"/>
            </w:pPr>
            <w:r>
              <w:rPr>
                <w:b w:val="0"/>
                <w:i w:val="0"/>
                <w:sz w:val="18"/>
              </w:rPr>
              <w:t>0.988</w:t>
            </w:r>
          </w:p>
        </w:tc>
      </w:tr>
      <w:tr>
        <w:trPr>
          <w:cantSplit/>
        </w:trPr>
        <w:tc>
          <w:tcPr>
            <w:tcW w:type="dxa" w:w="2302"/>
          </w:tcPr>
          <w:p>
            <w:pPr>
              <w:pStyle w:val="MDPI42tablebody"/>
              <w:keepNext/>
              <w:spacing w:line="240" w:lineRule="auto" w:before="30" w:after="30"/>
              <w:jc w:val="left"/>
            </w:pPr>
            <w:r>
              <w:rPr>
                <w:b w:val="0"/>
                <w:i/>
                <w:sz w:val="18"/>
              </w:rPr>
              <w:t>ROE</w:t>
            </w:r>
          </w:p>
        </w:tc>
        <w:tc>
          <w:tcPr>
            <w:tcW w:type="dxa" w:w="2721"/>
          </w:tcPr>
          <w:p>
            <w:pPr>
              <w:pStyle w:val="MDPI42tablebody"/>
              <w:keepNext/>
              <w:spacing w:line="240" w:lineRule="auto" w:before="30" w:after="30"/>
              <w:jc w:val="center"/>
            </w:pPr>
            <w:r>
              <w:rPr>
                <w:b w:val="0"/>
                <w:i w:val="0"/>
                <w:sz w:val="18"/>
              </w:rPr>
              <w:t>0.3</w:t>
            </w:r>
          </w:p>
        </w:tc>
        <w:tc>
          <w:tcPr>
            <w:tcW w:type="dxa" w:w="2721"/>
          </w:tcPr>
          <w:p>
            <w:pPr>
              <w:pStyle w:val="MDPI42tablebody"/>
              <w:keepNext/>
              <w:spacing w:line="240" w:lineRule="auto" w:before="30" w:after="30"/>
              <w:jc w:val="center"/>
            </w:pPr>
            <w:r>
              <w:rPr>
                <w:b w:val="0"/>
                <w:i w:val="0"/>
                <w:sz w:val="18"/>
              </w:rPr>
              <w:t>2.2</w:t>
            </w:r>
          </w:p>
        </w:tc>
        <w:tc>
          <w:tcPr>
            <w:tcW w:type="dxa" w:w="1360"/>
          </w:tcPr>
          <w:p>
            <w:pPr>
              <w:pStyle w:val="MDPI42tablebody"/>
              <w:keepNext/>
              <w:spacing w:line="240" w:lineRule="auto" w:before="30" w:after="30"/>
              <w:jc w:val="center"/>
            </w:pPr>
            <w:r>
              <w:rPr>
                <w:b w:val="0"/>
                <w:i w:val="0"/>
                <w:sz w:val="18"/>
              </w:rPr>
              <w:t>0.57</w:t>
            </w:r>
          </w:p>
        </w:tc>
        <w:tc>
          <w:tcPr>
            <w:tcW w:type="dxa" w:w="1360"/>
          </w:tcPr>
          <w:p>
            <w:pPr>
              <w:pStyle w:val="MDPI42tablebody"/>
              <w:keepNext/>
              <w:spacing w:line="240" w:lineRule="auto" w:before="30" w:after="30"/>
              <w:jc w:val="center"/>
            </w:pPr>
            <w:r>
              <w:rPr>
                <w:b w:val="0"/>
                <w:i w:val="0"/>
                <w:sz w:val="18"/>
              </w:rPr>
              <w:t>0.569</w:t>
            </w:r>
          </w:p>
        </w:tc>
      </w:tr>
      <w:tr>
        <w:trPr>
          <w:cantSplit/>
        </w:trPr>
        <w:tc>
          <w:tcPr>
            <w:tcW w:type="dxa" w:w="2302"/>
          </w:tcPr>
          <w:p>
            <w:pPr>
              <w:pStyle w:val="MDPI42tablebody"/>
              <w:keepNext/>
              <w:spacing w:line="240" w:lineRule="auto" w:before="30" w:after="30"/>
              <w:jc w:val="left"/>
            </w:pPr>
            <w:r>
              <w:rPr>
                <w:b w:val="0"/>
                <w:i/>
                <w:sz w:val="18"/>
              </w:rPr>
              <w:t>Growth</w:t>
            </w:r>
          </w:p>
        </w:tc>
        <w:tc>
          <w:tcPr>
            <w:tcW w:type="dxa" w:w="2721"/>
          </w:tcPr>
          <w:p>
            <w:pPr>
              <w:pStyle w:val="MDPI42tablebody"/>
              <w:keepNext/>
              <w:spacing w:line="240" w:lineRule="auto" w:before="30" w:after="30"/>
              <w:jc w:val="center"/>
            </w:pPr>
            <w:r>
              <w:rPr>
                <w:b w:val="0"/>
                <w:i w:val="0"/>
                <w:sz w:val="18"/>
              </w:rPr>
              <w:t>0.0</w:t>
            </w:r>
          </w:p>
        </w:tc>
        <w:tc>
          <w:tcPr>
            <w:tcW w:type="dxa" w:w="2721"/>
          </w:tcPr>
          <w:p>
            <w:pPr>
              <w:pStyle w:val="MDPI42tablebody"/>
              <w:keepNext/>
              <w:spacing w:line="240" w:lineRule="auto" w:before="30" w:after="30"/>
              <w:jc w:val="center"/>
            </w:pPr>
            <w:r>
              <w:rPr>
                <w:b w:val="0"/>
                <w:i w:val="0"/>
                <w:sz w:val="18"/>
              </w:rPr>
              <w:t>2.2</w:t>
            </w:r>
          </w:p>
        </w:tc>
        <w:tc>
          <w:tcPr>
            <w:tcW w:type="dxa" w:w="1360"/>
          </w:tcPr>
          <w:p>
            <w:pPr>
              <w:pStyle w:val="MDPI42tablebody"/>
              <w:keepNext/>
              <w:spacing w:line="240" w:lineRule="auto" w:before="30" w:after="30"/>
              <w:jc w:val="center"/>
            </w:pPr>
            <w:r>
              <w:rPr>
                <w:b w:val="0"/>
                <w:i w:val="0"/>
                <w:sz w:val="18"/>
              </w:rPr>
              <w:t>0.56</w:t>
            </w:r>
          </w:p>
        </w:tc>
        <w:tc>
          <w:tcPr>
            <w:tcW w:type="dxa" w:w="1360"/>
          </w:tcPr>
          <w:p>
            <w:pPr>
              <w:pStyle w:val="MDPI42tablebody"/>
              <w:keepNext/>
              <w:spacing w:line="240" w:lineRule="auto" w:before="30" w:after="30"/>
              <w:jc w:val="center"/>
            </w:pPr>
            <w:r>
              <w:rPr>
                <w:b w:val="0"/>
                <w:i w:val="0"/>
                <w:sz w:val="18"/>
              </w:rPr>
              <w:t>0.575</w:t>
            </w:r>
          </w:p>
        </w:tc>
      </w:tr>
      <w:tr>
        <w:trPr>
          <w:cantSplit/>
        </w:trPr>
        <w:tc>
          <w:tcPr>
            <w:tcW w:type="dxa" w:w="2302"/>
          </w:tcPr>
          <w:p>
            <w:pPr>
              <w:pStyle w:val="MDPI42tablebody"/>
              <w:keepNext/>
              <w:spacing w:line="240" w:lineRule="auto" w:before="30" w:after="30"/>
              <w:jc w:val="left"/>
            </w:pPr>
            <w:r>
              <w:rPr>
                <w:b w:val="0"/>
                <w:i/>
                <w:sz w:val="18"/>
              </w:rPr>
              <w:t>Age</w:t>
            </w:r>
          </w:p>
        </w:tc>
        <w:tc>
          <w:tcPr>
            <w:tcW w:type="dxa" w:w="2721"/>
          </w:tcPr>
          <w:p>
            <w:pPr>
              <w:pStyle w:val="MDPI42tablebody"/>
              <w:keepNext/>
              <w:spacing w:line="240" w:lineRule="auto" w:before="30" w:after="30"/>
              <w:jc w:val="center"/>
            </w:pPr>
            <w:r>
              <w:rPr>
                <w:b w:val="0"/>
                <w:i w:val="0"/>
                <w:sz w:val="18"/>
              </w:rPr>
              <w:t>3.4</w:t>
            </w:r>
          </w:p>
        </w:tc>
        <w:tc>
          <w:tcPr>
            <w:tcW w:type="dxa" w:w="2721"/>
          </w:tcPr>
          <w:p>
            <w:pPr>
              <w:pStyle w:val="MDPI42tablebody"/>
              <w:keepNext/>
              <w:spacing w:line="240" w:lineRule="auto" w:before="30" w:after="30"/>
              <w:jc w:val="center"/>
            </w:pPr>
            <w:r>
              <w:rPr>
                <w:b w:val="0"/>
                <w:i w:val="0"/>
                <w:sz w:val="18"/>
              </w:rPr>
              <w:t>−0.6</w:t>
            </w:r>
          </w:p>
        </w:tc>
        <w:tc>
          <w:tcPr>
            <w:tcW w:type="dxa" w:w="1360"/>
          </w:tcPr>
          <w:p>
            <w:pPr>
              <w:pStyle w:val="MDPI42tablebody"/>
              <w:keepNext/>
              <w:spacing w:line="240" w:lineRule="auto" w:before="30" w:after="30"/>
              <w:jc w:val="center"/>
            </w:pPr>
            <w:r>
              <w:rPr>
                <w:b w:val="0"/>
                <w:i w:val="0"/>
                <w:sz w:val="18"/>
              </w:rPr>
              <w:t>−0.14</w:t>
            </w:r>
          </w:p>
        </w:tc>
        <w:tc>
          <w:tcPr>
            <w:tcW w:type="dxa" w:w="1360"/>
          </w:tcPr>
          <w:p>
            <w:pPr>
              <w:pStyle w:val="MDPI42tablebody"/>
              <w:keepNext/>
              <w:spacing w:line="240" w:lineRule="auto" w:before="30" w:after="30"/>
              <w:jc w:val="center"/>
            </w:pPr>
            <w:r>
              <w:rPr>
                <w:b w:val="0"/>
                <w:i w:val="0"/>
                <w:sz w:val="18"/>
              </w:rPr>
              <w:t>0.885</w:t>
            </w:r>
          </w:p>
        </w:tc>
      </w:tr>
      <w:tr>
        <w:trPr>
          <w:cantSplit/>
        </w:trPr>
        <w:tc>
          <w:tcPr>
            <w:tcW w:type="dxa" w:w="2302"/>
          </w:tcPr>
          <w:p>
            <w:pPr>
              <w:pStyle w:val="MDPI42tablebody"/>
              <w:keepNext/>
              <w:spacing w:line="240" w:lineRule="auto" w:before="30" w:after="30"/>
              <w:jc w:val="left"/>
            </w:pPr>
            <w:r>
              <w:rPr>
                <w:b w:val="0"/>
                <w:i/>
                <w:sz w:val="18"/>
              </w:rPr>
              <w:t>Board</w:t>
            </w:r>
          </w:p>
        </w:tc>
        <w:tc>
          <w:tcPr>
            <w:tcW w:type="dxa" w:w="2721"/>
          </w:tcPr>
          <w:p>
            <w:pPr>
              <w:pStyle w:val="MDPI42tablebody"/>
              <w:keepNext/>
              <w:spacing w:line="240" w:lineRule="auto" w:before="30" w:after="30"/>
              <w:jc w:val="center"/>
            </w:pPr>
            <w:r>
              <w:rPr>
                <w:b w:val="0"/>
                <w:i w:val="0"/>
                <w:sz w:val="18"/>
              </w:rPr>
              <w:t>0.2</w:t>
            </w:r>
          </w:p>
        </w:tc>
        <w:tc>
          <w:tcPr>
            <w:tcW w:type="dxa" w:w="2721"/>
          </w:tcPr>
          <w:p>
            <w:pPr>
              <w:pStyle w:val="MDPI42tablebody"/>
              <w:keepNext/>
              <w:spacing w:line="240" w:lineRule="auto" w:before="30" w:after="30"/>
              <w:jc w:val="center"/>
            </w:pPr>
            <w:r>
              <w:rPr>
                <w:b w:val="0"/>
                <w:i w:val="0"/>
                <w:sz w:val="18"/>
              </w:rPr>
              <w:t>−0.1</w:t>
            </w:r>
          </w:p>
        </w:tc>
        <w:tc>
          <w:tcPr>
            <w:tcW w:type="dxa" w:w="1360"/>
          </w:tcPr>
          <w:p>
            <w:pPr>
              <w:pStyle w:val="MDPI42tablebody"/>
              <w:keepNext/>
              <w:spacing w:line="240" w:lineRule="auto" w:before="30" w:after="30"/>
              <w:jc w:val="center"/>
            </w:pPr>
            <w:r>
              <w:rPr>
                <w:b w:val="0"/>
                <w:i w:val="0"/>
                <w:sz w:val="18"/>
              </w:rPr>
              <w:t>−0.03</w:t>
            </w:r>
          </w:p>
        </w:tc>
        <w:tc>
          <w:tcPr>
            <w:tcW w:type="dxa" w:w="1360"/>
          </w:tcPr>
          <w:p>
            <w:pPr>
              <w:pStyle w:val="MDPI42tablebody"/>
              <w:keepNext/>
              <w:spacing w:line="240" w:lineRule="auto" w:before="30" w:after="30"/>
              <w:jc w:val="center"/>
            </w:pPr>
            <w:r>
              <w:rPr>
                <w:b w:val="0"/>
                <w:i w:val="0"/>
                <w:sz w:val="18"/>
              </w:rPr>
              <w:t>0.978</w:t>
            </w:r>
          </w:p>
        </w:tc>
      </w:tr>
      <w:tr>
        <w:trPr>
          <w:cantSplit/>
        </w:trPr>
        <w:tc>
          <w:tcPr>
            <w:tcW w:type="dxa" w:w="2302"/>
          </w:tcPr>
          <w:p>
            <w:pPr>
              <w:pStyle w:val="MDPI42tablebody"/>
              <w:keepNext/>
              <w:spacing w:line="240" w:lineRule="auto" w:before="30" w:after="30"/>
              <w:jc w:val="left"/>
            </w:pPr>
            <w:r>
              <w:rPr>
                <w:b w:val="0"/>
                <w:i/>
                <w:sz w:val="18"/>
              </w:rPr>
              <w:t>Indep</w:t>
            </w:r>
          </w:p>
        </w:tc>
        <w:tc>
          <w:tcPr>
            <w:tcW w:type="dxa" w:w="2721"/>
          </w:tcPr>
          <w:p>
            <w:pPr>
              <w:pStyle w:val="MDPI42tablebody"/>
              <w:keepNext/>
              <w:spacing w:line="240" w:lineRule="auto" w:before="30" w:after="30"/>
              <w:jc w:val="center"/>
            </w:pPr>
            <w:r>
              <w:rPr>
                <w:b w:val="0"/>
                <w:i w:val="0"/>
                <w:sz w:val="18"/>
              </w:rPr>
              <w:t>0.6</w:t>
            </w:r>
          </w:p>
        </w:tc>
        <w:tc>
          <w:tcPr>
            <w:tcW w:type="dxa" w:w="2721"/>
          </w:tcPr>
          <w:p>
            <w:pPr>
              <w:pStyle w:val="MDPI42tablebody"/>
              <w:keepNext/>
              <w:spacing w:line="240" w:lineRule="auto" w:before="30" w:after="30"/>
              <w:jc w:val="center"/>
            </w:pPr>
            <w:r>
              <w:rPr>
                <w:b w:val="0"/>
                <w:i w:val="0"/>
                <w:sz w:val="18"/>
              </w:rPr>
              <w:t>1.3</w:t>
            </w:r>
          </w:p>
        </w:tc>
        <w:tc>
          <w:tcPr>
            <w:tcW w:type="dxa" w:w="1360"/>
          </w:tcPr>
          <w:p>
            <w:pPr>
              <w:pStyle w:val="MDPI42tablebody"/>
              <w:keepNext/>
              <w:spacing w:line="240" w:lineRule="auto" w:before="30" w:after="30"/>
              <w:jc w:val="center"/>
            </w:pPr>
            <w:r>
              <w:rPr>
                <w:b w:val="0"/>
                <w:i w:val="0"/>
                <w:sz w:val="18"/>
              </w:rPr>
              <w:t>0.33</w:t>
            </w:r>
          </w:p>
        </w:tc>
        <w:tc>
          <w:tcPr>
            <w:tcW w:type="dxa" w:w="1360"/>
          </w:tcPr>
          <w:p>
            <w:pPr>
              <w:pStyle w:val="MDPI42tablebody"/>
              <w:keepNext/>
              <w:spacing w:line="240" w:lineRule="auto" w:before="30" w:after="30"/>
              <w:jc w:val="center"/>
            </w:pPr>
            <w:r>
              <w:rPr>
                <w:b w:val="0"/>
                <w:i w:val="0"/>
                <w:sz w:val="18"/>
              </w:rPr>
              <w:t>0.738</w:t>
            </w:r>
          </w:p>
        </w:tc>
      </w:tr>
      <w:tr>
        <w:trPr>
          <w:cantSplit/>
        </w:trPr>
        <w:tc>
          <w:tcPr>
            <w:tcW w:type="dxa" w:w="2302"/>
          </w:tcPr>
          <w:p>
            <w:pPr>
              <w:pStyle w:val="MDPI42tablebody"/>
              <w:keepNext/>
              <w:spacing w:line="240" w:lineRule="auto" w:before="30" w:after="30"/>
              <w:jc w:val="left"/>
            </w:pPr>
            <w:r>
              <w:rPr>
                <w:b w:val="0"/>
                <w:i/>
                <w:sz w:val="18"/>
              </w:rPr>
              <w:t>Dual</w:t>
            </w:r>
          </w:p>
        </w:tc>
        <w:tc>
          <w:tcPr>
            <w:tcW w:type="dxa" w:w="2721"/>
          </w:tcPr>
          <w:p>
            <w:pPr>
              <w:pStyle w:val="MDPI42tablebody"/>
              <w:keepNext/>
              <w:spacing w:line="240" w:lineRule="auto" w:before="30" w:after="30"/>
              <w:jc w:val="center"/>
            </w:pPr>
            <w:r>
              <w:rPr>
                <w:b w:val="0"/>
                <w:i w:val="0"/>
                <w:sz w:val="18"/>
              </w:rPr>
              <w:t>0.9</w:t>
            </w:r>
          </w:p>
        </w:tc>
        <w:tc>
          <w:tcPr>
            <w:tcW w:type="dxa" w:w="2721"/>
          </w:tcPr>
          <w:p>
            <w:pPr>
              <w:pStyle w:val="MDPI42tablebody"/>
              <w:keepNext/>
              <w:spacing w:line="240" w:lineRule="auto" w:before="30" w:after="30"/>
              <w:jc w:val="center"/>
            </w:pPr>
            <w:r>
              <w:rPr>
                <w:b w:val="0"/>
                <w:i w:val="0"/>
                <w:sz w:val="18"/>
              </w:rPr>
              <w:t>1.9</w:t>
            </w:r>
          </w:p>
        </w:tc>
        <w:tc>
          <w:tcPr>
            <w:tcW w:type="dxa" w:w="1360"/>
          </w:tcPr>
          <w:p>
            <w:pPr>
              <w:pStyle w:val="MDPI42tablebody"/>
              <w:keepNext/>
              <w:spacing w:line="240" w:lineRule="auto" w:before="30" w:after="30"/>
              <w:jc w:val="center"/>
            </w:pPr>
            <w:r>
              <w:rPr>
                <w:b w:val="0"/>
                <w:i w:val="0"/>
                <w:sz w:val="18"/>
              </w:rPr>
              <w:t>0.51</w:t>
            </w:r>
          </w:p>
        </w:tc>
        <w:tc>
          <w:tcPr>
            <w:tcW w:type="dxa" w:w="1360"/>
          </w:tcPr>
          <w:p>
            <w:pPr>
              <w:pStyle w:val="MDPI42tablebody"/>
              <w:keepNext/>
              <w:spacing w:line="240" w:lineRule="auto" w:before="30" w:after="30"/>
              <w:jc w:val="center"/>
            </w:pPr>
            <w:r>
              <w:rPr>
                <w:b w:val="0"/>
                <w:i w:val="0"/>
                <w:sz w:val="18"/>
              </w:rPr>
              <w:t>0.613</w:t>
            </w:r>
          </w:p>
        </w:tc>
      </w:tr>
      <w:tr>
        <w:trPr>
          <w:cantSplit/>
        </w:trPr>
        <w:tc>
          <w:tcPr>
            <w:tcW w:type="dxa" w:w="2302"/>
          </w:tcPr>
          <w:p>
            <w:pPr>
              <w:pStyle w:val="MDPI42tablebody"/>
              <w:keepNext/>
              <w:spacing w:line="240" w:lineRule="auto" w:before="30" w:after="30"/>
              <w:jc w:val="left"/>
            </w:pPr>
            <w:r>
              <w:rPr>
                <w:b w:val="0"/>
                <w:i/>
                <w:sz w:val="18"/>
              </w:rPr>
              <w:t>TobinQ</w:t>
            </w:r>
          </w:p>
        </w:tc>
        <w:tc>
          <w:tcPr>
            <w:tcW w:type="dxa" w:w="2721"/>
          </w:tcPr>
          <w:p>
            <w:pPr>
              <w:pStyle w:val="MDPI42tablebody"/>
              <w:keepNext/>
              <w:spacing w:line="240" w:lineRule="auto" w:before="30" w:after="30"/>
              <w:jc w:val="center"/>
            </w:pPr>
            <w:r>
              <w:rPr>
                <w:b w:val="0"/>
                <w:i w:val="0"/>
                <w:sz w:val="18"/>
              </w:rPr>
              <w:t>0.5</w:t>
            </w:r>
          </w:p>
        </w:tc>
        <w:tc>
          <w:tcPr>
            <w:tcW w:type="dxa" w:w="2721"/>
          </w:tcPr>
          <w:p>
            <w:pPr>
              <w:pStyle w:val="MDPI42tablebody"/>
              <w:keepNext/>
              <w:spacing w:line="240" w:lineRule="auto" w:before="30" w:after="30"/>
              <w:jc w:val="center"/>
            </w:pPr>
            <w:r>
              <w:rPr>
                <w:b w:val="0"/>
                <w:i w:val="0"/>
                <w:sz w:val="18"/>
              </w:rPr>
              <w:t>−1.0</w:t>
            </w:r>
          </w:p>
        </w:tc>
        <w:tc>
          <w:tcPr>
            <w:tcW w:type="dxa" w:w="1360"/>
          </w:tcPr>
          <w:p>
            <w:pPr>
              <w:pStyle w:val="MDPI42tablebody"/>
              <w:keepNext/>
              <w:spacing w:line="240" w:lineRule="auto" w:before="30" w:after="30"/>
              <w:jc w:val="center"/>
            </w:pPr>
            <w:r>
              <w:rPr>
                <w:b w:val="0"/>
                <w:i w:val="0"/>
                <w:sz w:val="18"/>
              </w:rPr>
              <w:t>−0.26</w:t>
            </w:r>
          </w:p>
        </w:tc>
        <w:tc>
          <w:tcPr>
            <w:tcW w:type="dxa" w:w="1360"/>
          </w:tcPr>
          <w:p>
            <w:pPr>
              <w:pStyle w:val="MDPI42tablebody"/>
              <w:keepNext/>
              <w:spacing w:line="240" w:lineRule="auto" w:before="30" w:after="30"/>
              <w:jc w:val="center"/>
            </w:pPr>
            <w:r>
              <w:rPr>
                <w:b w:val="0"/>
                <w:i w:val="0"/>
                <w:sz w:val="18"/>
              </w:rPr>
              <w:t>0.797</w:t>
            </w:r>
          </w:p>
        </w:tc>
      </w:tr>
      <w:tr>
        <w:trPr>
          <w:cantSplit/>
        </w:trPr>
        <w:tc>
          <w:tcPr>
            <w:tcW w:type="dxa" w:w="2302"/>
          </w:tcPr>
          <w:p>
            <w:pPr>
              <w:pStyle w:val="MDPI42tablebody"/>
              <w:spacing w:line="240" w:lineRule="auto" w:before="30" w:after="30"/>
              <w:jc w:val="left"/>
            </w:pPr>
            <w:r>
              <w:rPr>
                <w:b w:val="0"/>
                <w:i/>
                <w:sz w:val="18"/>
              </w:rPr>
              <w:t>Fixed</w:t>
            </w:r>
          </w:p>
        </w:tc>
        <w:tc>
          <w:tcPr>
            <w:tcW w:type="dxa" w:w="2721"/>
          </w:tcPr>
          <w:p>
            <w:pPr>
              <w:pStyle w:val="MDPI42tablebody"/>
              <w:spacing w:line="240" w:lineRule="auto" w:before="30" w:after="30"/>
              <w:jc w:val="center"/>
            </w:pPr>
            <w:r>
              <w:rPr>
                <w:b w:val="0"/>
                <w:i w:val="0"/>
                <w:sz w:val="18"/>
              </w:rPr>
              <w:t>7.1</w:t>
            </w:r>
          </w:p>
        </w:tc>
        <w:tc>
          <w:tcPr>
            <w:tcW w:type="dxa" w:w="2721"/>
          </w:tcPr>
          <w:p>
            <w:pPr>
              <w:pStyle w:val="MDPI42tablebody"/>
              <w:spacing w:line="240" w:lineRule="auto" w:before="30" w:after="30"/>
              <w:jc w:val="center"/>
            </w:pPr>
            <w:r>
              <w:rPr>
                <w:b w:val="0"/>
                <w:i w:val="0"/>
                <w:sz w:val="18"/>
              </w:rPr>
              <w:t>1.3</w:t>
            </w:r>
          </w:p>
        </w:tc>
        <w:tc>
          <w:tcPr>
            <w:tcW w:type="dxa" w:w="1360"/>
          </w:tcPr>
          <w:p>
            <w:pPr>
              <w:pStyle w:val="MDPI42tablebody"/>
              <w:spacing w:line="240" w:lineRule="auto" w:before="30" w:after="30"/>
              <w:jc w:val="center"/>
            </w:pPr>
            <w:r>
              <w:rPr>
                <w:b w:val="0"/>
                <w:i w:val="0"/>
                <w:sz w:val="18"/>
              </w:rPr>
              <w:t>0.35</w:t>
            </w:r>
          </w:p>
        </w:tc>
        <w:tc>
          <w:tcPr>
            <w:tcW w:type="dxa" w:w="1360"/>
          </w:tcPr>
          <w:p>
            <w:pPr>
              <w:pStyle w:val="MDPI42tablebody"/>
              <w:spacing w:line="240" w:lineRule="auto" w:before="30" w:after="30"/>
              <w:jc w:val="center"/>
            </w:pPr>
            <w:r>
              <w:rPr>
                <w:b w:val="0"/>
                <w:i w:val="0"/>
                <w:sz w:val="18"/>
              </w:rPr>
              <w:t>0.727</w:t>
            </w:r>
          </w:p>
        </w:tc>
      </w:tr>
    </w:tbl>
    <w:p>
      <w:pPr>
        <w:pStyle w:val="MDPI43tablefooter"/>
        <w:spacing w:line="240" w:lineRule="auto" w:before="40" w:after="200"/>
        <w:ind w:left="2608" w:firstLine="0"/>
      </w:pPr>
      <w:r>
        <w:rPr>
          <w:sz w:val="16"/>
        </w:rPr>
        <w:t xml:space="preserve">Note: </w:t>
      </w:r>
      <w:r>
        <w:rPr>
          <w:b w:val="0"/>
          <w:i w:val="0"/>
          <w:sz w:val="16"/>
        </w:rPr>
        <w:t>Standardised bias is the difference in means between the deeply and less deeply adopting groups divided by the square root of the average of their variances, expressed in per cent. An absolute value below ten is the conventional criterion for adequate balance. The t-test is on the matched sample.</w:t>
      </w:r>
    </w:p>
    <w:p>
      <w:pPr>
        <w:pStyle w:val="MDPI62backmatter"/>
        <w:spacing w:before="120"/>
      </w:pPr>
      <w:r>
        <w:rPr>
          <w:b/>
          <w:sz w:val="18"/>
        </w:rPr>
        <w:t xml:space="preserve">Author Contributions: </w:t>
      </w:r>
      <w:r>
        <w:rPr>
          <w:b w:val="0"/>
          <w:i w:val="0"/>
          <w:sz w:val="18"/>
        </w:rPr>
        <w:t>Conceptualization, methodology, formal analysis, software and writing—original draft preparation, X.C.; validation, data curation and visualization, investigation, writing—review and editing, supervision and project administration, T.M. All authors have read and agreed to the published version of the manuscript.</w:t>
      </w:r>
    </w:p>
    <w:p>
      <w:pPr>
        <w:pStyle w:val="MDPI62backmatter"/>
        <w:spacing w:before="120"/>
      </w:pPr>
      <w:r>
        <w:rPr>
          <w:b/>
          <w:sz w:val="18"/>
        </w:rPr>
        <w:t xml:space="preserve">Funding: </w:t>
      </w:r>
      <w:r>
        <w:rPr>
          <w:b w:val="0"/>
          <w:i w:val="0"/>
          <w:sz w:val="18"/>
        </w:rPr>
        <w:t>This research was funded by the Zhejiang Provincial Philosophy and Social Sciences Planning Special Project on Higher Education Basic Research Funding Reform (Grant Number: 25NDJC153YBMS) and the Major Humanities and Social Sciences Research Projects in Zhejiang Higher Education Institutions (Grant Number: 2024QN018).</w:t>
      </w:r>
    </w:p>
    <w:p>
      <w:pPr>
        <w:pStyle w:val="MDPI62backmatter"/>
        <w:spacing w:before="120"/>
      </w:pPr>
      <w:r>
        <w:rPr>
          <w:b/>
          <w:sz w:val="18"/>
        </w:rPr>
        <w:t xml:space="preserve">Institutional Review Board Statement: </w:t>
      </w:r>
      <w:r>
        <w:rPr>
          <w:b w:val="0"/>
          <w:i w:val="0"/>
          <w:sz w:val="18"/>
        </w:rPr>
        <w:t>Not applicable. The study uses firm-level accounting and disclosure data and involves no human participants or animals.</w:t>
      </w:r>
    </w:p>
    <w:p>
      <w:pPr>
        <w:pStyle w:val="MDPI62backmatter"/>
        <w:spacing w:before="120"/>
      </w:pPr>
      <w:r>
        <w:rPr>
          <w:b/>
          <w:sz w:val="18"/>
        </w:rPr>
        <w:t xml:space="preserve">Informed Consent Statement: </w:t>
      </w:r>
      <w:r>
        <w:rPr>
          <w:b w:val="0"/>
          <w:i w:val="0"/>
          <w:sz w:val="18"/>
        </w:rPr>
        <w:t>Not applicable.</w:t>
      </w:r>
    </w:p>
    <w:p>
      <w:pPr>
        <w:pStyle w:val="MDPI62backmatter"/>
        <w:spacing w:before="120"/>
      </w:pPr>
      <w:r>
        <w:rPr>
          <w:b/>
          <w:sz w:val="18"/>
        </w:rPr>
        <w:t xml:space="preserve">Data Availability Statement: </w:t>
      </w:r>
      <w:r>
        <w:rPr>
          <w:b w:val="0"/>
          <w:i w:val="0"/>
          <w:sz w:val="18"/>
        </w:rPr>
        <w:t>The financial, governance and employment-composition data are commercially licensed from the China Stock Market and Accounting Research database and cannot be redistributed by the authors; they are available to subscribers. The generative-AI keyword dictionary, the estimation code for every specification reported in the paper, and the scripts that generate every table and figure are available from the corresponding author on reasonable request.</w:t>
      </w:r>
    </w:p>
    <w:p>
      <w:pPr>
        <w:pStyle w:val="MDPI62backmatter"/>
        <w:spacing w:before="120"/>
      </w:pPr>
      <w:r>
        <w:rPr>
          <w:b/>
          <w:sz w:val="18"/>
        </w:rPr>
        <w:t xml:space="preserve">Acknowledgments: </w:t>
      </w:r>
      <w:r>
        <w:rPr>
          <w:b w:val="0"/>
          <w:i w:val="0"/>
          <w:sz w:val="18"/>
        </w:rPr>
        <w:t>The authors thank the editors and the anonymous reviewers for comments that improved the manuscript.</w:t>
      </w:r>
    </w:p>
    <w:p>
      <w:pPr>
        <w:pStyle w:val="MDPI62backmatter"/>
        <w:spacing w:before="120"/>
      </w:pPr>
      <w:r>
        <w:rPr>
          <w:b/>
          <w:sz w:val="18"/>
        </w:rPr>
        <w:t xml:space="preserve">Conflicts of Interest: </w:t>
      </w:r>
      <w:r>
        <w:rPr>
          <w:b w:val="0"/>
          <w:i w:val="0"/>
          <w:sz w:val="18"/>
        </w:rPr>
        <w:t>The authors declare no conflicts of interest.</w:t>
      </w:r>
    </w:p>
    <w:p>
      <w:pPr>
        <w:pStyle w:val="MDPI21heading1"/>
        <w:ind w:left="0" w:firstLine="0"/>
      </w:pPr>
      <w:r>
        <w:t>References</w:t>
      </w:r>
    </w:p>
    <w:p>
      <w:pPr>
        <w:pStyle w:val="MDPI32textnoindent"/>
        <w:spacing w:line="240" w:lineRule="auto" w:before="0" w:after="40"/>
        <w:ind w:left="425" w:hanging="425"/>
        <w:tabs>
          <w:tab w:val="left" w:pos="425"/>
        </w:tabs>
      </w:pPr>
      <w:bookmarkStart w:id="1001" w:name="_Ref_1"/>
      <w:r>
        <w:rPr>
          <w:b w:val="0"/>
          <w:sz w:val="18"/>
        </w:rPr>
        <w:t>1</w:t>
      </w:r>
      <w:bookmarkEnd w:id="1001"/>
      <w:r>
        <w:rPr>
          <w:sz w:val="18"/>
        </w:rPr>
        <w:t>.</w:t>
        <w:tab/>
      </w:r>
      <w:r>
        <w:rPr>
          <w:b w:val="0"/>
          <w:i w:val="0"/>
          <w:sz w:val="18"/>
        </w:rPr>
        <w:t xml:space="preserve">Brynjolfsson, E.; Li, D.; Raymond, L.R. </w:t>
      </w:r>
      <w:r>
        <w:rPr>
          <w:b w:val="0"/>
          <w:i w:val="0"/>
          <w:sz w:val="18"/>
        </w:rPr>
        <w:t xml:space="preserve">Generative AI at Work. </w:t>
      </w:r>
      <w:r>
        <w:rPr>
          <w:b w:val="0"/>
          <w:i/>
          <w:sz w:val="18"/>
        </w:rPr>
        <w:t xml:space="preserve">Q. J. Econ. </w:t>
      </w:r>
      <w:r>
        <w:rPr>
          <w:b/>
          <w:i w:val="0"/>
          <w:sz w:val="18"/>
        </w:rPr>
        <w:t>2025</w:t>
      </w:r>
      <w:r>
        <w:rPr>
          <w:b w:val="0"/>
          <w:i w:val="0"/>
          <w:sz w:val="18"/>
        </w:rPr>
        <w:t xml:space="preserve">, </w:t>
      </w:r>
      <w:r>
        <w:rPr>
          <w:b w:val="0"/>
          <w:i/>
          <w:sz w:val="18"/>
        </w:rPr>
        <w:t>140</w:t>
      </w:r>
      <w:r>
        <w:rPr>
          <w:b w:val="0"/>
          <w:i w:val="0"/>
          <w:sz w:val="18"/>
        </w:rPr>
        <w:t>, 889–942.</w:t>
      </w:r>
      <w:r>
        <w:rPr>
          <w:b w:val="0"/>
          <w:i w:val="0"/>
          <w:sz w:val="18"/>
        </w:rPr>
        <w:t xml:space="preserve"> [CrossRef]</w:t>
      </w:r>
    </w:p>
    <w:p>
      <w:pPr>
        <w:pStyle w:val="MDPI32textnoindent"/>
        <w:spacing w:line="240" w:lineRule="auto" w:before="0" w:after="40"/>
        <w:ind w:left="425" w:hanging="425"/>
        <w:tabs>
          <w:tab w:val="left" w:pos="425"/>
        </w:tabs>
      </w:pPr>
      <w:bookmarkStart w:id="1002" w:name="_Ref_2"/>
      <w:r>
        <w:rPr>
          <w:b w:val="0"/>
          <w:sz w:val="18"/>
        </w:rPr>
        <w:t>2</w:t>
      </w:r>
      <w:bookmarkEnd w:id="1002"/>
      <w:r>
        <w:rPr>
          <w:sz w:val="18"/>
        </w:rPr>
        <w:t>.</w:t>
        <w:tab/>
      </w:r>
      <w:r>
        <w:rPr>
          <w:b w:val="0"/>
          <w:i w:val="0"/>
          <w:sz w:val="18"/>
        </w:rPr>
        <w:t xml:space="preserve">Noy, S.; Zhang, W. </w:t>
      </w:r>
      <w:r>
        <w:rPr>
          <w:b w:val="0"/>
          <w:i w:val="0"/>
          <w:sz w:val="18"/>
        </w:rPr>
        <w:t xml:space="preserve">Experimental Evidence on the Productivity Effects of Generative Artificial Intelligence. </w:t>
      </w:r>
      <w:r>
        <w:rPr>
          <w:b w:val="0"/>
          <w:i/>
          <w:sz w:val="18"/>
        </w:rPr>
        <w:t xml:space="preserve">Science </w:t>
      </w:r>
      <w:r>
        <w:rPr>
          <w:b/>
          <w:i w:val="0"/>
          <w:sz w:val="18"/>
        </w:rPr>
        <w:t>2023</w:t>
      </w:r>
      <w:r>
        <w:rPr>
          <w:b w:val="0"/>
          <w:i w:val="0"/>
          <w:sz w:val="18"/>
        </w:rPr>
        <w:t xml:space="preserve">, </w:t>
      </w:r>
      <w:r>
        <w:rPr>
          <w:b w:val="0"/>
          <w:i/>
          <w:sz w:val="18"/>
        </w:rPr>
        <w:t>381</w:t>
      </w:r>
      <w:r>
        <w:rPr>
          <w:b w:val="0"/>
          <w:i w:val="0"/>
          <w:sz w:val="18"/>
        </w:rPr>
        <w:t>, 187–192.</w:t>
      </w:r>
      <w:r>
        <w:rPr>
          <w:b w:val="0"/>
          <w:i w:val="0"/>
          <w:sz w:val="18"/>
        </w:rPr>
        <w:t xml:space="preserve"> [CrossRef]</w:t>
      </w:r>
    </w:p>
    <w:p>
      <w:pPr>
        <w:pStyle w:val="MDPI32textnoindent"/>
        <w:spacing w:line="240" w:lineRule="auto" w:before="0" w:after="40"/>
        <w:ind w:left="425" w:hanging="425"/>
        <w:tabs>
          <w:tab w:val="left" w:pos="425"/>
        </w:tabs>
      </w:pPr>
      <w:bookmarkStart w:id="1003" w:name="_Ref_3"/>
      <w:r>
        <w:rPr>
          <w:b w:val="0"/>
          <w:sz w:val="18"/>
        </w:rPr>
        <w:t>3</w:t>
      </w:r>
      <w:bookmarkEnd w:id="1003"/>
      <w:r>
        <w:rPr>
          <w:sz w:val="18"/>
        </w:rPr>
        <w:t>.</w:t>
        <w:tab/>
      </w:r>
      <w:r>
        <w:rPr>
          <w:b w:val="0"/>
          <w:i w:val="0"/>
          <w:sz w:val="18"/>
        </w:rPr>
        <w:t xml:space="preserve">Otis, N.G.; Clarke, R.; Delecourt, S.; Holtz, D.; Koning, R. </w:t>
      </w:r>
      <w:r>
        <w:rPr>
          <w:b w:val="0"/>
          <w:i w:val="0"/>
          <w:sz w:val="18"/>
        </w:rPr>
        <w:t xml:space="preserve">The Uneven Impact of Generative Artificial Intelligence on Entrepreneurial Performance: Evidence from a Field Experiment in Kenya. </w:t>
      </w:r>
      <w:r>
        <w:rPr>
          <w:b w:val="0"/>
          <w:i/>
          <w:sz w:val="18"/>
        </w:rPr>
        <w:t xml:space="preserve">Manag. Sci. </w:t>
      </w:r>
      <w:r>
        <w:rPr>
          <w:b/>
          <w:i w:val="0"/>
          <w:sz w:val="18"/>
        </w:rPr>
        <w:t>2026</w:t>
      </w:r>
      <w:r>
        <w:rPr>
          <w:b w:val="0"/>
          <w:i w:val="0"/>
          <w:sz w:val="18"/>
        </w:rPr>
        <w:t xml:space="preserve">, </w:t>
      </w:r>
      <w:r>
        <w:rPr>
          <w:b w:val="0"/>
          <w:i w:val="0"/>
          <w:sz w:val="18"/>
        </w:rPr>
        <w:t>in press.</w:t>
      </w:r>
      <w:r>
        <w:rPr>
          <w:b w:val="0"/>
          <w:i w:val="0"/>
          <w:sz w:val="18"/>
        </w:rPr>
        <w:t xml:space="preserve"> [CrossRef]</w:t>
      </w:r>
    </w:p>
    <w:p>
      <w:pPr>
        <w:pStyle w:val="MDPI32textnoindent"/>
        <w:spacing w:line="240" w:lineRule="auto" w:before="0" w:after="40"/>
        <w:ind w:left="425" w:hanging="425"/>
        <w:tabs>
          <w:tab w:val="left" w:pos="425"/>
        </w:tabs>
      </w:pPr>
      <w:bookmarkStart w:id="1004" w:name="_Ref_4"/>
      <w:r>
        <w:rPr>
          <w:b w:val="0"/>
          <w:sz w:val="18"/>
        </w:rPr>
        <w:t>4</w:t>
      </w:r>
      <w:bookmarkEnd w:id="1004"/>
      <w:r>
        <w:rPr>
          <w:sz w:val="18"/>
        </w:rPr>
        <w:t>.</w:t>
        <w:tab/>
      </w:r>
      <w:r>
        <w:rPr>
          <w:b w:val="0"/>
          <w:i w:val="0"/>
          <w:sz w:val="18"/>
        </w:rPr>
        <w:t xml:space="preserve">Cui, Z.K.; Demirer, M.; Jaffe, S.; Musolff, L.; Peng, S.; Salz, T. </w:t>
      </w:r>
      <w:r>
        <w:rPr>
          <w:b w:val="0"/>
          <w:i w:val="0"/>
          <w:sz w:val="18"/>
        </w:rPr>
        <w:t xml:space="preserve">The Effects of Generative AI on High-Skilled Work: Evidence from Three Field Experiments with Software Developers. </w:t>
      </w:r>
      <w:r>
        <w:rPr>
          <w:b w:val="0"/>
          <w:i/>
          <w:sz w:val="18"/>
        </w:rPr>
        <w:t xml:space="preserve">Manag. Sci. </w:t>
      </w:r>
      <w:r>
        <w:rPr>
          <w:b/>
          <w:i w:val="0"/>
          <w:sz w:val="18"/>
        </w:rPr>
        <w:t>2026</w:t>
      </w:r>
      <w:r>
        <w:rPr>
          <w:b w:val="0"/>
          <w:i w:val="0"/>
          <w:sz w:val="18"/>
        </w:rPr>
        <w:t xml:space="preserve">, </w:t>
      </w:r>
      <w:r>
        <w:rPr>
          <w:b w:val="0"/>
          <w:i w:val="0"/>
          <w:sz w:val="18"/>
        </w:rPr>
        <w:t>in press.</w:t>
      </w:r>
      <w:r>
        <w:rPr>
          <w:b w:val="0"/>
          <w:i w:val="0"/>
          <w:sz w:val="18"/>
        </w:rPr>
        <w:t xml:space="preserve"> [CrossRef]</w:t>
      </w:r>
    </w:p>
    <w:p>
      <w:pPr>
        <w:pStyle w:val="MDPI32textnoindent"/>
        <w:spacing w:line="240" w:lineRule="auto" w:before="0" w:after="40"/>
        <w:ind w:left="425" w:hanging="425"/>
        <w:tabs>
          <w:tab w:val="left" w:pos="425"/>
        </w:tabs>
      </w:pPr>
      <w:bookmarkStart w:id="1005" w:name="_Ref_5"/>
      <w:r>
        <w:rPr>
          <w:b w:val="0"/>
          <w:sz w:val="18"/>
        </w:rPr>
        <w:t>5</w:t>
      </w:r>
      <w:bookmarkEnd w:id="1005"/>
      <w:r>
        <w:rPr>
          <w:sz w:val="18"/>
        </w:rPr>
        <w:t>.</w:t>
        <w:tab/>
      </w:r>
      <w:r>
        <w:rPr>
          <w:b w:val="0"/>
          <w:i w:val="0"/>
          <w:sz w:val="18"/>
        </w:rPr>
        <w:t xml:space="preserve">Peng, S.; Kalliamvakou, E.; Cihon, P.; Demirer, M. </w:t>
      </w:r>
      <w:r>
        <w:rPr>
          <w:b w:val="0"/>
          <w:i w:val="0"/>
          <w:sz w:val="18"/>
        </w:rPr>
        <w:t xml:space="preserve">The Impact of AI on Developer Productivity: Evidence from GitHub Copilot. </w:t>
      </w:r>
      <w:r>
        <w:rPr>
          <w:b w:val="0"/>
          <w:i/>
          <w:sz w:val="18"/>
        </w:rPr>
        <w:t xml:space="preserve">arXiv </w:t>
      </w:r>
      <w:r>
        <w:rPr>
          <w:b/>
          <w:i w:val="0"/>
          <w:sz w:val="18"/>
        </w:rPr>
        <w:t>2023</w:t>
      </w:r>
      <w:r>
        <w:rPr>
          <w:b w:val="0"/>
          <w:i w:val="0"/>
          <w:sz w:val="18"/>
        </w:rPr>
        <w:t xml:space="preserve">, </w:t>
      </w:r>
      <w:r>
        <w:rPr>
          <w:b w:val="0"/>
          <w:i w:val="0"/>
          <w:sz w:val="18"/>
        </w:rPr>
        <w:t>arXiv:2302.06590.</w:t>
      </w:r>
    </w:p>
    <w:p>
      <w:pPr>
        <w:pStyle w:val="MDPI32textnoindent"/>
        <w:spacing w:line="240" w:lineRule="auto" w:before="0" w:after="40"/>
        <w:ind w:left="425" w:hanging="425"/>
        <w:tabs>
          <w:tab w:val="left" w:pos="425"/>
        </w:tabs>
      </w:pPr>
      <w:bookmarkStart w:id="1006" w:name="_Ref_6"/>
      <w:r>
        <w:rPr>
          <w:b w:val="0"/>
          <w:sz w:val="18"/>
        </w:rPr>
        <w:t>6</w:t>
      </w:r>
      <w:bookmarkEnd w:id="1006"/>
      <w:r>
        <w:rPr>
          <w:sz w:val="18"/>
        </w:rPr>
        <w:t>.</w:t>
        <w:tab/>
      </w:r>
      <w:r>
        <w:rPr>
          <w:b w:val="0"/>
          <w:i w:val="0"/>
          <w:sz w:val="18"/>
        </w:rPr>
        <w:t xml:space="preserve">Brynjolfsson, E.; Chandar, B.; Chen, R. </w:t>
      </w:r>
      <w:r>
        <w:rPr>
          <w:b w:val="0"/>
          <w:i/>
          <w:sz w:val="18"/>
        </w:rPr>
        <w:t xml:space="preserve">Canaries in the Coal Mine? Six Facts about the Recent Employment Effects of Artificial Intelligence; </w:t>
      </w:r>
      <w:r>
        <w:rPr>
          <w:b w:val="0"/>
          <w:i w:val="0"/>
          <w:sz w:val="18"/>
        </w:rPr>
        <w:t xml:space="preserve">Working Paper; </w:t>
      </w:r>
      <w:r>
        <w:rPr>
          <w:b w:val="0"/>
          <w:i w:val="0"/>
          <w:sz w:val="18"/>
        </w:rPr>
        <w:t>Stanford Digital Economy Lab, Stanford University: Stanford, CA, USA, 2025.</w:t>
      </w:r>
    </w:p>
    <w:p>
      <w:pPr>
        <w:pStyle w:val="MDPI32textnoindent"/>
        <w:spacing w:line="240" w:lineRule="auto" w:before="0" w:after="40"/>
        <w:ind w:left="425" w:hanging="425"/>
        <w:tabs>
          <w:tab w:val="left" w:pos="425"/>
        </w:tabs>
      </w:pPr>
      <w:bookmarkStart w:id="1007" w:name="_Ref_7"/>
      <w:r>
        <w:rPr>
          <w:b w:val="0"/>
          <w:sz w:val="18"/>
        </w:rPr>
        <w:t>7</w:t>
      </w:r>
      <w:bookmarkEnd w:id="1007"/>
      <w:r>
        <w:rPr>
          <w:sz w:val="18"/>
        </w:rPr>
        <w:t>.</w:t>
        <w:tab/>
      </w:r>
      <w:r>
        <w:rPr>
          <w:b w:val="0"/>
          <w:i w:val="0"/>
          <w:sz w:val="18"/>
        </w:rPr>
        <w:t xml:space="preserve">Hui, X.; Reshef, O.; Zhou, L. </w:t>
      </w:r>
      <w:r>
        <w:rPr>
          <w:b w:val="0"/>
          <w:i w:val="0"/>
          <w:sz w:val="18"/>
        </w:rPr>
        <w:t xml:space="preserve">The Short-Term Effects of Generative Artificial Intelligence on Employment: Evidence from an Online Labor Market. </w:t>
      </w:r>
      <w:r>
        <w:rPr>
          <w:b w:val="0"/>
          <w:i/>
          <w:sz w:val="18"/>
        </w:rPr>
        <w:t xml:space="preserve">Organ. Sci. </w:t>
      </w:r>
      <w:r>
        <w:rPr>
          <w:b/>
          <w:i w:val="0"/>
          <w:sz w:val="18"/>
        </w:rPr>
        <w:t>2024</w:t>
      </w:r>
      <w:r>
        <w:rPr>
          <w:b w:val="0"/>
          <w:i w:val="0"/>
          <w:sz w:val="18"/>
        </w:rPr>
        <w:t xml:space="preserve">, </w:t>
      </w:r>
      <w:r>
        <w:rPr>
          <w:b w:val="0"/>
          <w:i/>
          <w:sz w:val="18"/>
        </w:rPr>
        <w:t>35</w:t>
      </w:r>
      <w:r>
        <w:rPr>
          <w:b w:val="0"/>
          <w:i w:val="0"/>
          <w:sz w:val="18"/>
        </w:rPr>
        <w:t>, 1977–1989.</w:t>
      </w:r>
      <w:r>
        <w:rPr>
          <w:b w:val="0"/>
          <w:i w:val="0"/>
          <w:sz w:val="18"/>
        </w:rPr>
        <w:t xml:space="preserve"> [CrossRef]</w:t>
      </w:r>
    </w:p>
    <w:p>
      <w:pPr>
        <w:pStyle w:val="MDPI32textnoindent"/>
        <w:spacing w:line="240" w:lineRule="auto" w:before="0" w:after="40"/>
        <w:ind w:left="425" w:hanging="425"/>
        <w:tabs>
          <w:tab w:val="left" w:pos="425"/>
        </w:tabs>
      </w:pPr>
      <w:bookmarkStart w:id="1008" w:name="_Ref_8"/>
      <w:r>
        <w:rPr>
          <w:b w:val="0"/>
          <w:sz w:val="18"/>
        </w:rPr>
        <w:t>8</w:t>
      </w:r>
      <w:bookmarkEnd w:id="1008"/>
      <w:r>
        <w:rPr>
          <w:sz w:val="18"/>
        </w:rPr>
        <w:t>.</w:t>
        <w:tab/>
      </w:r>
      <w:r>
        <w:rPr>
          <w:b w:val="0"/>
          <w:i w:val="0"/>
          <w:sz w:val="18"/>
        </w:rPr>
        <w:t xml:space="preserve">Humlum, A.; Vestergaard, E. </w:t>
      </w:r>
      <w:r>
        <w:rPr>
          <w:b w:val="0"/>
          <w:i/>
          <w:sz w:val="18"/>
        </w:rPr>
        <w:t xml:space="preserve">Large Language Models, Small Labor Market Effects; </w:t>
      </w:r>
      <w:r>
        <w:rPr>
          <w:b w:val="0"/>
          <w:i w:val="0"/>
          <w:sz w:val="18"/>
        </w:rPr>
        <w:t xml:space="preserve">NBER Working Paper 33777; </w:t>
      </w:r>
      <w:r>
        <w:rPr>
          <w:b w:val="0"/>
          <w:i w:val="0"/>
          <w:sz w:val="18"/>
        </w:rPr>
        <w:t>National Bureau of Economic Research: Cambridge, MA, USA, 2025.</w:t>
      </w:r>
    </w:p>
    <w:p>
      <w:pPr>
        <w:pStyle w:val="MDPI32textnoindent"/>
        <w:spacing w:line="240" w:lineRule="auto" w:before="0" w:after="40"/>
        <w:ind w:left="425" w:hanging="425"/>
        <w:tabs>
          <w:tab w:val="left" w:pos="425"/>
        </w:tabs>
      </w:pPr>
      <w:bookmarkStart w:id="1009" w:name="_Ref_9"/>
      <w:r>
        <w:rPr>
          <w:b w:val="0"/>
          <w:sz w:val="18"/>
        </w:rPr>
        <w:t>9</w:t>
      </w:r>
      <w:bookmarkEnd w:id="1009"/>
      <w:r>
        <w:rPr>
          <w:sz w:val="18"/>
        </w:rPr>
        <w:t>.</w:t>
        <w:tab/>
      </w:r>
      <w:r>
        <w:rPr>
          <w:b w:val="0"/>
          <w:i w:val="0"/>
          <w:sz w:val="18"/>
        </w:rPr>
        <w:t xml:space="preserve">Vaccaro, M.; Almaatouq, A.; Malone, T. </w:t>
      </w:r>
      <w:r>
        <w:rPr>
          <w:b w:val="0"/>
          <w:i w:val="0"/>
          <w:sz w:val="18"/>
        </w:rPr>
        <w:t xml:space="preserve">When Combinations of Humans and AI Are Useful: A Systematic Review and Meta-Analysis. </w:t>
      </w:r>
      <w:r>
        <w:rPr>
          <w:b w:val="0"/>
          <w:i/>
          <w:sz w:val="18"/>
        </w:rPr>
        <w:t xml:space="preserve">Nat. Hum. Behav. </w:t>
      </w:r>
      <w:r>
        <w:rPr>
          <w:b/>
          <w:i w:val="0"/>
          <w:sz w:val="18"/>
        </w:rPr>
        <w:t>2024</w:t>
      </w:r>
      <w:r>
        <w:rPr>
          <w:b w:val="0"/>
          <w:i w:val="0"/>
          <w:sz w:val="18"/>
        </w:rPr>
        <w:t xml:space="preserve">, </w:t>
      </w:r>
      <w:r>
        <w:rPr>
          <w:b w:val="0"/>
          <w:i/>
          <w:sz w:val="18"/>
        </w:rPr>
        <w:t>8</w:t>
      </w:r>
      <w:r>
        <w:rPr>
          <w:b w:val="0"/>
          <w:i w:val="0"/>
          <w:sz w:val="18"/>
        </w:rPr>
        <w:t>, 2293–2303.</w:t>
      </w:r>
      <w:r>
        <w:rPr>
          <w:b w:val="0"/>
          <w:i w:val="0"/>
          <w:sz w:val="18"/>
        </w:rPr>
        <w:t xml:space="preserve"> [CrossRef]</w:t>
      </w:r>
    </w:p>
    <w:p>
      <w:pPr>
        <w:pStyle w:val="MDPI32textnoindent"/>
        <w:spacing w:line="240" w:lineRule="auto" w:before="0" w:after="40"/>
        <w:ind w:left="425" w:hanging="425"/>
        <w:tabs>
          <w:tab w:val="left" w:pos="425"/>
        </w:tabs>
      </w:pPr>
      <w:bookmarkStart w:id="1010" w:name="_Ref_10"/>
      <w:r>
        <w:rPr>
          <w:b w:val="0"/>
          <w:sz w:val="18"/>
        </w:rPr>
        <w:t>10</w:t>
      </w:r>
      <w:bookmarkEnd w:id="1010"/>
      <w:r>
        <w:rPr>
          <w:sz w:val="18"/>
        </w:rPr>
        <w:t>.</w:t>
        <w:tab/>
      </w:r>
      <w:r>
        <w:rPr>
          <w:b w:val="0"/>
          <w:i w:val="0"/>
          <w:sz w:val="18"/>
        </w:rPr>
        <w:t xml:space="preserve">Bick, A.; Blandin, A.; Deming, D.J. </w:t>
      </w:r>
      <w:r>
        <w:rPr>
          <w:b w:val="0"/>
          <w:i/>
          <w:sz w:val="18"/>
        </w:rPr>
        <w:t xml:space="preserve">The Rapid Adoption of Generative AI; </w:t>
      </w:r>
      <w:r>
        <w:rPr>
          <w:b w:val="0"/>
          <w:i w:val="0"/>
          <w:sz w:val="18"/>
        </w:rPr>
        <w:t xml:space="preserve">NBER Working Paper 32966; </w:t>
      </w:r>
      <w:r>
        <w:rPr>
          <w:b w:val="0"/>
          <w:i w:val="0"/>
          <w:sz w:val="18"/>
        </w:rPr>
        <w:t>National Bureau of Economic Research: Cambridge, MA, USA, 2024.</w:t>
      </w:r>
    </w:p>
    <w:p>
      <w:pPr>
        <w:pStyle w:val="MDPI32textnoindent"/>
        <w:spacing w:line="240" w:lineRule="auto" w:before="0" w:after="40"/>
        <w:ind w:left="425" w:hanging="425"/>
        <w:tabs>
          <w:tab w:val="left" w:pos="425"/>
        </w:tabs>
      </w:pPr>
      <w:bookmarkStart w:id="1011" w:name="_Ref_11"/>
      <w:r>
        <w:rPr>
          <w:b w:val="0"/>
          <w:sz w:val="18"/>
        </w:rPr>
        <w:t>11</w:t>
      </w:r>
      <w:bookmarkEnd w:id="1011"/>
      <w:r>
        <w:rPr>
          <w:sz w:val="18"/>
        </w:rPr>
        <w:t>.</w:t>
        <w:tab/>
      </w:r>
      <w:r>
        <w:rPr>
          <w:b w:val="0"/>
          <w:i w:val="0"/>
          <w:sz w:val="18"/>
        </w:rPr>
        <w:t xml:space="preserve">International Labour Organization </w:t>
      </w:r>
      <w:r>
        <w:rPr>
          <w:b w:val="0"/>
          <w:i/>
          <w:sz w:val="18"/>
        </w:rPr>
        <w:t xml:space="preserve">Global Employment Trends for Youth 2024: Decent Work, Brighter Futures; </w:t>
      </w:r>
      <w:r>
        <w:rPr>
          <w:b w:val="0"/>
          <w:i w:val="0"/>
          <w:sz w:val="18"/>
        </w:rPr>
        <w:t>International Labour Office: Geneva, Switzerland, 2024.</w:t>
      </w:r>
    </w:p>
    <w:p>
      <w:pPr>
        <w:pStyle w:val="MDPI32textnoindent"/>
        <w:spacing w:line="240" w:lineRule="auto" w:before="0" w:after="40"/>
        <w:ind w:left="425" w:hanging="425"/>
        <w:tabs>
          <w:tab w:val="left" w:pos="425"/>
        </w:tabs>
      </w:pPr>
      <w:bookmarkStart w:id="1012" w:name="_Ref_12"/>
      <w:r>
        <w:rPr>
          <w:b w:val="0"/>
          <w:sz w:val="18"/>
        </w:rPr>
        <w:t>12</w:t>
      </w:r>
      <w:bookmarkEnd w:id="1012"/>
      <w:r>
        <w:rPr>
          <w:sz w:val="18"/>
        </w:rPr>
        <w:t>.</w:t>
        <w:tab/>
      </w:r>
      <w:r>
        <w:rPr>
          <w:b w:val="0"/>
          <w:i w:val="0"/>
          <w:sz w:val="18"/>
        </w:rPr>
        <w:t xml:space="preserve">World Economic Forum </w:t>
      </w:r>
      <w:r>
        <w:rPr>
          <w:b w:val="0"/>
          <w:i/>
          <w:sz w:val="18"/>
        </w:rPr>
        <w:t xml:space="preserve">The Future of Jobs Report 2025; </w:t>
      </w:r>
      <w:r>
        <w:rPr>
          <w:b w:val="0"/>
          <w:i w:val="0"/>
          <w:sz w:val="18"/>
        </w:rPr>
        <w:t>World Economic Forum: Geneva, Switzerland, 2025.</w:t>
      </w:r>
    </w:p>
    <w:p>
      <w:pPr>
        <w:pStyle w:val="MDPI32textnoindent"/>
        <w:spacing w:line="240" w:lineRule="auto" w:before="0" w:after="40"/>
        <w:ind w:left="425" w:hanging="425"/>
        <w:tabs>
          <w:tab w:val="left" w:pos="425"/>
        </w:tabs>
      </w:pPr>
      <w:bookmarkStart w:id="1013" w:name="_Ref_13"/>
      <w:r>
        <w:rPr>
          <w:b w:val="0"/>
          <w:sz w:val="18"/>
        </w:rPr>
        <w:t>13</w:t>
      </w:r>
      <w:bookmarkEnd w:id="1013"/>
      <w:r>
        <w:rPr>
          <w:sz w:val="18"/>
        </w:rPr>
        <w:t>.</w:t>
        <w:tab/>
      </w:r>
      <w:r>
        <w:rPr>
          <w:b w:val="0"/>
          <w:i w:val="0"/>
          <w:sz w:val="18"/>
        </w:rPr>
        <w:t xml:space="preserve">Autor, D.H.; Levy, F.; Murnane, R.J. </w:t>
      </w:r>
      <w:r>
        <w:rPr>
          <w:b w:val="0"/>
          <w:i w:val="0"/>
          <w:sz w:val="18"/>
        </w:rPr>
        <w:t xml:space="preserve">The Skill Content of Recent Technological Change: An Empirical Exploration. </w:t>
      </w:r>
      <w:r>
        <w:rPr>
          <w:b w:val="0"/>
          <w:i/>
          <w:sz w:val="18"/>
        </w:rPr>
        <w:t xml:space="preserve">Q. J. Econ. </w:t>
      </w:r>
      <w:r>
        <w:rPr>
          <w:b/>
          <w:i w:val="0"/>
          <w:sz w:val="18"/>
        </w:rPr>
        <w:t>2003</w:t>
      </w:r>
      <w:r>
        <w:rPr>
          <w:b w:val="0"/>
          <w:i w:val="0"/>
          <w:sz w:val="18"/>
        </w:rPr>
        <w:t xml:space="preserve">, </w:t>
      </w:r>
      <w:r>
        <w:rPr>
          <w:b w:val="0"/>
          <w:i/>
          <w:sz w:val="18"/>
        </w:rPr>
        <w:t>118</w:t>
      </w:r>
      <w:r>
        <w:rPr>
          <w:b w:val="0"/>
          <w:i w:val="0"/>
          <w:sz w:val="18"/>
        </w:rPr>
        <w:t>, 1279–1333.</w:t>
      </w:r>
      <w:r>
        <w:rPr>
          <w:b w:val="0"/>
          <w:i w:val="0"/>
          <w:sz w:val="18"/>
        </w:rPr>
        <w:t xml:space="preserve"> [CrossRef]</w:t>
      </w:r>
    </w:p>
    <w:p>
      <w:pPr>
        <w:pStyle w:val="MDPI32textnoindent"/>
        <w:spacing w:line="240" w:lineRule="auto" w:before="0" w:after="40"/>
        <w:ind w:left="425" w:hanging="425"/>
        <w:tabs>
          <w:tab w:val="left" w:pos="425"/>
        </w:tabs>
      </w:pPr>
      <w:bookmarkStart w:id="1014" w:name="_Ref_14"/>
      <w:r>
        <w:rPr>
          <w:b w:val="0"/>
          <w:sz w:val="18"/>
        </w:rPr>
        <w:t>14</w:t>
      </w:r>
      <w:bookmarkEnd w:id="1014"/>
      <w:r>
        <w:rPr>
          <w:sz w:val="18"/>
        </w:rPr>
        <w:t>.</w:t>
        <w:tab/>
      </w:r>
      <w:r>
        <w:rPr>
          <w:b w:val="0"/>
          <w:i w:val="0"/>
          <w:sz w:val="18"/>
        </w:rPr>
        <w:t xml:space="preserve">Acemoglu, D.; Restrepo, P. </w:t>
      </w:r>
      <w:r>
        <w:rPr>
          <w:b w:val="0"/>
          <w:i w:val="0"/>
          <w:sz w:val="18"/>
        </w:rPr>
        <w:t xml:space="preserve">The Race between Man and Machine: Implications of Technology for Growth, Factor Shares, and Employment. </w:t>
      </w:r>
      <w:r>
        <w:rPr>
          <w:b w:val="0"/>
          <w:i/>
          <w:sz w:val="18"/>
        </w:rPr>
        <w:t xml:space="preserve">Am. Econ. Rev. </w:t>
      </w:r>
      <w:r>
        <w:rPr>
          <w:b/>
          <w:i w:val="0"/>
          <w:sz w:val="18"/>
        </w:rPr>
        <w:t>2018</w:t>
      </w:r>
      <w:r>
        <w:rPr>
          <w:b w:val="0"/>
          <w:i w:val="0"/>
          <w:sz w:val="18"/>
        </w:rPr>
        <w:t xml:space="preserve">, </w:t>
      </w:r>
      <w:r>
        <w:rPr>
          <w:b w:val="0"/>
          <w:i/>
          <w:sz w:val="18"/>
        </w:rPr>
        <w:t>108</w:t>
      </w:r>
      <w:r>
        <w:rPr>
          <w:b w:val="0"/>
          <w:i w:val="0"/>
          <w:sz w:val="18"/>
        </w:rPr>
        <w:t>, 1488–1542.</w:t>
      </w:r>
      <w:r>
        <w:rPr>
          <w:b w:val="0"/>
          <w:i w:val="0"/>
          <w:sz w:val="18"/>
        </w:rPr>
        <w:t xml:space="preserve"> [CrossRef]</w:t>
      </w:r>
    </w:p>
    <w:p>
      <w:pPr>
        <w:pStyle w:val="MDPI32textnoindent"/>
        <w:spacing w:line="240" w:lineRule="auto" w:before="0" w:after="40"/>
        <w:ind w:left="425" w:hanging="425"/>
        <w:tabs>
          <w:tab w:val="left" w:pos="425"/>
        </w:tabs>
      </w:pPr>
      <w:bookmarkStart w:id="1015" w:name="_Ref_15"/>
      <w:r>
        <w:rPr>
          <w:b w:val="0"/>
          <w:sz w:val="18"/>
        </w:rPr>
        <w:t>15</w:t>
      </w:r>
      <w:bookmarkEnd w:id="1015"/>
      <w:r>
        <w:rPr>
          <w:sz w:val="18"/>
        </w:rPr>
        <w:t>.</w:t>
        <w:tab/>
      </w:r>
      <w:r>
        <w:rPr>
          <w:b w:val="0"/>
          <w:i w:val="0"/>
          <w:sz w:val="18"/>
        </w:rPr>
        <w:t xml:space="preserve">Acemoglu, D.; Restrepo, P. </w:t>
      </w:r>
      <w:r>
        <w:rPr>
          <w:b w:val="0"/>
          <w:i w:val="0"/>
          <w:sz w:val="18"/>
        </w:rPr>
        <w:t xml:space="preserve">Tasks, Automation, and the Rise in U.S. Wage Inequality. </w:t>
      </w:r>
      <w:r>
        <w:rPr>
          <w:b w:val="0"/>
          <w:i/>
          <w:sz w:val="18"/>
        </w:rPr>
        <w:t xml:space="preserve">Econometrica </w:t>
      </w:r>
      <w:r>
        <w:rPr>
          <w:b/>
          <w:i w:val="0"/>
          <w:sz w:val="18"/>
        </w:rPr>
        <w:t>2022</w:t>
      </w:r>
      <w:r>
        <w:rPr>
          <w:b w:val="0"/>
          <w:i w:val="0"/>
          <w:sz w:val="18"/>
        </w:rPr>
        <w:t xml:space="preserve">, </w:t>
      </w:r>
      <w:r>
        <w:rPr>
          <w:b w:val="0"/>
          <w:i/>
          <w:sz w:val="18"/>
        </w:rPr>
        <w:t>90</w:t>
      </w:r>
      <w:r>
        <w:rPr>
          <w:b w:val="0"/>
          <w:i w:val="0"/>
          <w:sz w:val="18"/>
        </w:rPr>
        <w:t>, 1973–2016.</w:t>
      </w:r>
      <w:r>
        <w:rPr>
          <w:b w:val="0"/>
          <w:i w:val="0"/>
          <w:sz w:val="18"/>
        </w:rPr>
        <w:t xml:space="preserve"> [CrossRef]</w:t>
      </w:r>
    </w:p>
    <w:p>
      <w:pPr>
        <w:pStyle w:val="MDPI32textnoindent"/>
        <w:spacing w:line="240" w:lineRule="auto" w:before="0" w:after="40"/>
        <w:ind w:left="425" w:hanging="425"/>
        <w:tabs>
          <w:tab w:val="left" w:pos="425"/>
        </w:tabs>
      </w:pPr>
      <w:bookmarkStart w:id="1016" w:name="_Ref_16"/>
      <w:r>
        <w:rPr>
          <w:b w:val="0"/>
          <w:sz w:val="18"/>
        </w:rPr>
        <w:t>16</w:t>
      </w:r>
      <w:bookmarkEnd w:id="1016"/>
      <w:r>
        <w:rPr>
          <w:sz w:val="18"/>
        </w:rPr>
        <w:t>.</w:t>
        <w:tab/>
      </w:r>
      <w:r>
        <w:rPr>
          <w:b w:val="0"/>
          <w:i w:val="0"/>
          <w:sz w:val="18"/>
        </w:rPr>
        <w:t xml:space="preserve">Dell'Acqua, F.; McFowland, E., III; Mollick, E.R.; Lifshitz-Assaf, H.; Kellogg, K.C.; Rajendran, S.; Krayer, L.; Candelon, F.; Lakhani, K.R. </w:t>
      </w:r>
      <w:r>
        <w:rPr>
          <w:b w:val="0"/>
          <w:i w:val="0"/>
          <w:sz w:val="18"/>
        </w:rPr>
        <w:t xml:space="preserve">Navigating the Jagged Technological Frontier: Field Experimental Evidence of the Effects of Artificial Intelligence on Knowledge Worker Productivity and Quality. </w:t>
      </w:r>
      <w:r>
        <w:rPr>
          <w:b w:val="0"/>
          <w:i/>
          <w:sz w:val="18"/>
        </w:rPr>
        <w:t xml:space="preserve">Organ. Sci. </w:t>
      </w:r>
      <w:r>
        <w:rPr>
          <w:b/>
          <w:i w:val="0"/>
          <w:sz w:val="18"/>
        </w:rPr>
        <w:t>2026</w:t>
      </w:r>
      <w:r>
        <w:rPr>
          <w:b w:val="0"/>
          <w:i w:val="0"/>
          <w:sz w:val="18"/>
        </w:rPr>
        <w:t xml:space="preserve">, </w:t>
      </w:r>
      <w:r>
        <w:rPr>
          <w:b w:val="0"/>
          <w:i w:val="0"/>
          <w:sz w:val="18"/>
        </w:rPr>
        <w:t>in press.</w:t>
      </w:r>
      <w:r>
        <w:rPr>
          <w:b w:val="0"/>
          <w:i w:val="0"/>
          <w:sz w:val="18"/>
        </w:rPr>
        <w:t xml:space="preserve"> [CrossRef]</w:t>
      </w:r>
    </w:p>
    <w:p>
      <w:pPr>
        <w:pStyle w:val="MDPI32textnoindent"/>
        <w:spacing w:line="240" w:lineRule="auto" w:before="0" w:after="40"/>
        <w:ind w:left="425" w:hanging="425"/>
        <w:tabs>
          <w:tab w:val="left" w:pos="425"/>
        </w:tabs>
      </w:pPr>
      <w:bookmarkStart w:id="1017" w:name="_Ref_17"/>
      <w:r>
        <w:rPr>
          <w:b w:val="0"/>
          <w:sz w:val="18"/>
        </w:rPr>
        <w:t>17</w:t>
      </w:r>
      <w:bookmarkEnd w:id="1017"/>
      <w:r>
        <w:rPr>
          <w:sz w:val="18"/>
        </w:rPr>
        <w:t>.</w:t>
        <w:tab/>
      </w:r>
      <w:r>
        <w:rPr>
          <w:b w:val="0"/>
          <w:i w:val="0"/>
          <w:sz w:val="18"/>
        </w:rPr>
        <w:t xml:space="preserve">Trist, E.L.; Bamforth, K.W. </w:t>
      </w:r>
      <w:r>
        <w:rPr>
          <w:b w:val="0"/>
          <w:i w:val="0"/>
          <w:sz w:val="18"/>
        </w:rPr>
        <w:t xml:space="preserve">Some Social and Psychological Consequences of the Longwall Method of Coal-Getting. </w:t>
      </w:r>
      <w:r>
        <w:rPr>
          <w:b w:val="0"/>
          <w:i/>
          <w:sz w:val="18"/>
        </w:rPr>
        <w:t xml:space="preserve">Hum. Relat. </w:t>
      </w:r>
      <w:r>
        <w:rPr>
          <w:b/>
          <w:i w:val="0"/>
          <w:sz w:val="18"/>
        </w:rPr>
        <w:t>1951</w:t>
      </w:r>
      <w:r>
        <w:rPr>
          <w:b w:val="0"/>
          <w:i w:val="0"/>
          <w:sz w:val="18"/>
        </w:rPr>
        <w:t xml:space="preserve">, </w:t>
      </w:r>
      <w:r>
        <w:rPr>
          <w:b w:val="0"/>
          <w:i/>
          <w:sz w:val="18"/>
        </w:rPr>
        <w:t>4</w:t>
      </w:r>
      <w:r>
        <w:rPr>
          <w:b w:val="0"/>
          <w:i w:val="0"/>
          <w:sz w:val="18"/>
        </w:rPr>
        <w:t>, 3–38.</w:t>
      </w:r>
      <w:r>
        <w:rPr>
          <w:b w:val="0"/>
          <w:i w:val="0"/>
          <w:sz w:val="18"/>
        </w:rPr>
        <w:t xml:space="preserve"> [CrossRef]</w:t>
      </w:r>
    </w:p>
    <w:p>
      <w:pPr>
        <w:pStyle w:val="MDPI32textnoindent"/>
        <w:spacing w:line="240" w:lineRule="auto" w:before="0" w:after="40"/>
        <w:ind w:left="425" w:hanging="425"/>
        <w:tabs>
          <w:tab w:val="left" w:pos="425"/>
        </w:tabs>
      </w:pPr>
      <w:bookmarkStart w:id="1018" w:name="_Ref_18"/>
      <w:r>
        <w:rPr>
          <w:b w:val="0"/>
          <w:sz w:val="18"/>
        </w:rPr>
        <w:t>18</w:t>
      </w:r>
      <w:bookmarkEnd w:id="1018"/>
      <w:r>
        <w:rPr>
          <w:sz w:val="18"/>
        </w:rPr>
        <w:t>.</w:t>
        <w:tab/>
      </w:r>
      <w:r>
        <w:rPr>
          <w:b w:val="0"/>
          <w:i w:val="0"/>
          <w:sz w:val="18"/>
        </w:rPr>
        <w:t xml:space="preserve">Cherns, A. </w:t>
      </w:r>
      <w:r>
        <w:rPr>
          <w:b w:val="0"/>
          <w:i w:val="0"/>
          <w:sz w:val="18"/>
        </w:rPr>
        <w:t xml:space="preserve">The Principles of Sociotechnical Design. </w:t>
      </w:r>
      <w:r>
        <w:rPr>
          <w:b w:val="0"/>
          <w:i/>
          <w:sz w:val="18"/>
        </w:rPr>
        <w:t xml:space="preserve">Hum. Relat. </w:t>
      </w:r>
      <w:r>
        <w:rPr>
          <w:b/>
          <w:i w:val="0"/>
          <w:sz w:val="18"/>
        </w:rPr>
        <w:t>1976</w:t>
      </w:r>
      <w:r>
        <w:rPr>
          <w:b w:val="0"/>
          <w:i w:val="0"/>
          <w:sz w:val="18"/>
        </w:rPr>
        <w:t xml:space="preserve">, </w:t>
      </w:r>
      <w:r>
        <w:rPr>
          <w:b w:val="0"/>
          <w:i/>
          <w:sz w:val="18"/>
        </w:rPr>
        <w:t>29</w:t>
      </w:r>
      <w:r>
        <w:rPr>
          <w:b w:val="0"/>
          <w:i w:val="0"/>
          <w:sz w:val="18"/>
        </w:rPr>
        <w:t>, 783–792.</w:t>
      </w:r>
      <w:r>
        <w:rPr>
          <w:b w:val="0"/>
          <w:i w:val="0"/>
          <w:sz w:val="18"/>
        </w:rPr>
        <w:t xml:space="preserve"> [CrossRef]</w:t>
      </w:r>
    </w:p>
    <w:p>
      <w:pPr>
        <w:pStyle w:val="MDPI32textnoindent"/>
        <w:spacing w:line="240" w:lineRule="auto" w:before="0" w:after="40"/>
        <w:ind w:left="425" w:hanging="425"/>
        <w:tabs>
          <w:tab w:val="left" w:pos="425"/>
        </w:tabs>
      </w:pPr>
      <w:bookmarkStart w:id="1019" w:name="_Ref_19"/>
      <w:r>
        <w:rPr>
          <w:b w:val="0"/>
          <w:sz w:val="18"/>
        </w:rPr>
        <w:t>19</w:t>
      </w:r>
      <w:bookmarkEnd w:id="1019"/>
      <w:r>
        <w:rPr>
          <w:sz w:val="18"/>
        </w:rPr>
        <w:t>.</w:t>
        <w:tab/>
      </w:r>
      <w:r>
        <w:rPr>
          <w:b w:val="0"/>
          <w:i w:val="0"/>
          <w:sz w:val="18"/>
        </w:rPr>
        <w:t xml:space="preserve">Sarker, S.; Chatterjee, S.; Xiao, X.; Elbanna, A. </w:t>
      </w:r>
      <w:r>
        <w:rPr>
          <w:b w:val="0"/>
          <w:i w:val="0"/>
          <w:sz w:val="18"/>
        </w:rPr>
        <w:t xml:space="preserve">The Sociotechnical Axis of Cohesion for the IS Discipline: Its Historical Legacy and Its Continued Relevance. </w:t>
      </w:r>
      <w:r>
        <w:rPr>
          <w:b w:val="0"/>
          <w:i/>
          <w:sz w:val="18"/>
        </w:rPr>
        <w:t xml:space="preserve">MIS Q. </w:t>
      </w:r>
      <w:r>
        <w:rPr>
          <w:b/>
          <w:i w:val="0"/>
          <w:sz w:val="18"/>
        </w:rPr>
        <w:t>2019</w:t>
      </w:r>
      <w:r>
        <w:rPr>
          <w:b w:val="0"/>
          <w:i w:val="0"/>
          <w:sz w:val="18"/>
        </w:rPr>
        <w:t xml:space="preserve">, </w:t>
      </w:r>
      <w:r>
        <w:rPr>
          <w:b w:val="0"/>
          <w:i/>
          <w:sz w:val="18"/>
        </w:rPr>
        <w:t>43</w:t>
      </w:r>
      <w:r>
        <w:rPr>
          <w:b w:val="0"/>
          <w:i w:val="0"/>
          <w:sz w:val="18"/>
        </w:rPr>
        <w:t>, 695–719.</w:t>
      </w:r>
      <w:r>
        <w:rPr>
          <w:b w:val="0"/>
          <w:i w:val="0"/>
          <w:sz w:val="18"/>
        </w:rPr>
        <w:t xml:space="preserve"> [CrossRef]</w:t>
      </w:r>
    </w:p>
    <w:p>
      <w:pPr>
        <w:pStyle w:val="MDPI32textnoindent"/>
        <w:spacing w:line="240" w:lineRule="auto" w:before="0" w:after="40"/>
        <w:ind w:left="425" w:hanging="425"/>
        <w:tabs>
          <w:tab w:val="left" w:pos="425"/>
        </w:tabs>
      </w:pPr>
      <w:bookmarkStart w:id="1020" w:name="_Ref_20"/>
      <w:r>
        <w:rPr>
          <w:b w:val="0"/>
          <w:sz w:val="18"/>
        </w:rPr>
        <w:t>20</w:t>
      </w:r>
      <w:bookmarkEnd w:id="1020"/>
      <w:r>
        <w:rPr>
          <w:sz w:val="18"/>
        </w:rPr>
        <w:t>.</w:t>
        <w:tab/>
      </w:r>
      <w:r>
        <w:rPr>
          <w:b w:val="0"/>
          <w:i w:val="0"/>
          <w:sz w:val="18"/>
        </w:rPr>
        <w:t xml:space="preserve">Cohen, W.M.; Levinthal, D.A. </w:t>
      </w:r>
      <w:r>
        <w:rPr>
          <w:b w:val="0"/>
          <w:i w:val="0"/>
          <w:sz w:val="18"/>
        </w:rPr>
        <w:t xml:space="preserve">Absorptive Capacity: A New Perspective on Learning and Innovation. </w:t>
      </w:r>
      <w:r>
        <w:rPr>
          <w:b w:val="0"/>
          <w:i/>
          <w:sz w:val="18"/>
        </w:rPr>
        <w:t xml:space="preserve">Adm. Sci. Q. </w:t>
      </w:r>
      <w:r>
        <w:rPr>
          <w:b/>
          <w:i w:val="0"/>
          <w:sz w:val="18"/>
        </w:rPr>
        <w:t>1990</w:t>
      </w:r>
      <w:r>
        <w:rPr>
          <w:b w:val="0"/>
          <w:i w:val="0"/>
          <w:sz w:val="18"/>
        </w:rPr>
        <w:t xml:space="preserve">, </w:t>
      </w:r>
      <w:r>
        <w:rPr>
          <w:b w:val="0"/>
          <w:i/>
          <w:sz w:val="18"/>
        </w:rPr>
        <w:t>35</w:t>
      </w:r>
      <w:r>
        <w:rPr>
          <w:b w:val="0"/>
          <w:i w:val="0"/>
          <w:sz w:val="18"/>
        </w:rPr>
        <w:t>, 128–152.</w:t>
      </w:r>
      <w:r>
        <w:rPr>
          <w:b w:val="0"/>
          <w:i w:val="0"/>
          <w:sz w:val="18"/>
        </w:rPr>
        <w:t xml:space="preserve"> [CrossRef]</w:t>
      </w:r>
    </w:p>
    <w:p>
      <w:pPr>
        <w:pStyle w:val="MDPI32textnoindent"/>
        <w:spacing w:line="240" w:lineRule="auto" w:before="0" w:after="40"/>
        <w:ind w:left="425" w:hanging="425"/>
        <w:tabs>
          <w:tab w:val="left" w:pos="425"/>
        </w:tabs>
      </w:pPr>
      <w:bookmarkStart w:id="1021" w:name="_Ref_21"/>
      <w:r>
        <w:rPr>
          <w:b w:val="0"/>
          <w:sz w:val="18"/>
        </w:rPr>
        <w:t>21</w:t>
      </w:r>
      <w:bookmarkEnd w:id="1021"/>
      <w:r>
        <w:rPr>
          <w:sz w:val="18"/>
        </w:rPr>
        <w:t>.</w:t>
        <w:tab/>
      </w:r>
      <w:r>
        <w:rPr>
          <w:b w:val="0"/>
          <w:i w:val="0"/>
          <w:sz w:val="18"/>
        </w:rPr>
        <w:t xml:space="preserve">Argote, L.; Miron-Spektor, E. </w:t>
      </w:r>
      <w:r>
        <w:rPr>
          <w:b w:val="0"/>
          <w:i w:val="0"/>
          <w:sz w:val="18"/>
        </w:rPr>
        <w:t xml:space="preserve">Organizational Learning: From Experience to Knowledge. </w:t>
      </w:r>
      <w:r>
        <w:rPr>
          <w:b w:val="0"/>
          <w:i/>
          <w:sz w:val="18"/>
        </w:rPr>
        <w:t xml:space="preserve">Organ. Sci. </w:t>
      </w:r>
      <w:r>
        <w:rPr>
          <w:b/>
          <w:i w:val="0"/>
          <w:sz w:val="18"/>
        </w:rPr>
        <w:t>2011</w:t>
      </w:r>
      <w:r>
        <w:rPr>
          <w:b w:val="0"/>
          <w:i w:val="0"/>
          <w:sz w:val="18"/>
        </w:rPr>
        <w:t xml:space="preserve">, </w:t>
      </w:r>
      <w:r>
        <w:rPr>
          <w:b w:val="0"/>
          <w:i/>
          <w:sz w:val="18"/>
        </w:rPr>
        <w:t>22</w:t>
      </w:r>
      <w:r>
        <w:rPr>
          <w:b w:val="0"/>
          <w:i w:val="0"/>
          <w:sz w:val="18"/>
        </w:rPr>
        <w:t>, 1123–1137.</w:t>
      </w:r>
      <w:r>
        <w:rPr>
          <w:b w:val="0"/>
          <w:i w:val="0"/>
          <w:sz w:val="18"/>
        </w:rPr>
        <w:t xml:space="preserve"> [CrossRef]</w:t>
      </w:r>
    </w:p>
    <w:p>
      <w:pPr>
        <w:pStyle w:val="MDPI32textnoindent"/>
        <w:spacing w:line="240" w:lineRule="auto" w:before="0" w:after="40"/>
        <w:ind w:left="425" w:hanging="425"/>
        <w:tabs>
          <w:tab w:val="left" w:pos="425"/>
        </w:tabs>
      </w:pPr>
      <w:bookmarkStart w:id="1022" w:name="_Ref_22"/>
      <w:r>
        <w:rPr>
          <w:b w:val="0"/>
          <w:sz w:val="18"/>
        </w:rPr>
        <w:t>22</w:t>
      </w:r>
      <w:bookmarkEnd w:id="1022"/>
      <w:r>
        <w:rPr>
          <w:sz w:val="18"/>
        </w:rPr>
        <w:t>.</w:t>
        <w:tab/>
      </w:r>
      <w:r>
        <w:rPr>
          <w:b w:val="0"/>
          <w:i w:val="0"/>
          <w:sz w:val="18"/>
        </w:rPr>
        <w:t xml:space="preserve">Lebovitz, S.; Lifshitz-Assaf, H.; Levina, N. </w:t>
      </w:r>
      <w:r>
        <w:rPr>
          <w:b w:val="0"/>
          <w:i w:val="0"/>
          <w:sz w:val="18"/>
        </w:rPr>
        <w:t xml:space="preserve">To Engage or Not to Engage with AI for Critical Judgments: How Professionals Deal with Opacity When Using AI for Medical Diagnosis. </w:t>
      </w:r>
      <w:r>
        <w:rPr>
          <w:b w:val="0"/>
          <w:i/>
          <w:sz w:val="18"/>
        </w:rPr>
        <w:t xml:space="preserve">Organ. Sci. </w:t>
      </w:r>
      <w:r>
        <w:rPr>
          <w:b/>
          <w:i w:val="0"/>
          <w:sz w:val="18"/>
        </w:rPr>
        <w:t>2022</w:t>
      </w:r>
      <w:r>
        <w:rPr>
          <w:b w:val="0"/>
          <w:i w:val="0"/>
          <w:sz w:val="18"/>
        </w:rPr>
        <w:t xml:space="preserve">, </w:t>
      </w:r>
      <w:r>
        <w:rPr>
          <w:b w:val="0"/>
          <w:i/>
          <w:sz w:val="18"/>
        </w:rPr>
        <w:t>33</w:t>
      </w:r>
      <w:r>
        <w:rPr>
          <w:b w:val="0"/>
          <w:i w:val="0"/>
          <w:sz w:val="18"/>
        </w:rPr>
        <w:t>, 126–148.</w:t>
      </w:r>
      <w:r>
        <w:rPr>
          <w:b w:val="0"/>
          <w:i w:val="0"/>
          <w:sz w:val="18"/>
        </w:rPr>
        <w:t xml:space="preserve"> [CrossRef]</w:t>
      </w:r>
    </w:p>
    <w:p>
      <w:pPr>
        <w:pStyle w:val="MDPI32textnoindent"/>
        <w:spacing w:line="240" w:lineRule="auto" w:before="0" w:after="40"/>
        <w:ind w:left="425" w:hanging="425"/>
        <w:tabs>
          <w:tab w:val="left" w:pos="425"/>
        </w:tabs>
      </w:pPr>
      <w:bookmarkStart w:id="1023" w:name="_Ref_23"/>
      <w:r>
        <w:rPr>
          <w:b w:val="0"/>
          <w:sz w:val="18"/>
        </w:rPr>
        <w:t>23</w:t>
      </w:r>
      <w:bookmarkEnd w:id="1023"/>
      <w:r>
        <w:rPr>
          <w:sz w:val="18"/>
        </w:rPr>
        <w:t>.</w:t>
        <w:tab/>
      </w:r>
      <w:r>
        <w:rPr>
          <w:b w:val="0"/>
          <w:i w:val="0"/>
          <w:sz w:val="18"/>
        </w:rPr>
        <w:t xml:space="preserve">Kellogg, K.C.; Valentine, M.A.; Christin, A. </w:t>
      </w:r>
      <w:r>
        <w:rPr>
          <w:b w:val="0"/>
          <w:i w:val="0"/>
          <w:sz w:val="18"/>
        </w:rPr>
        <w:t xml:space="preserve">Algorithms at Work: The New Contested Terrain of Control. </w:t>
      </w:r>
      <w:r>
        <w:rPr>
          <w:b w:val="0"/>
          <w:i/>
          <w:sz w:val="18"/>
        </w:rPr>
        <w:t xml:space="preserve">Acad. Manag. Ann. </w:t>
      </w:r>
      <w:r>
        <w:rPr>
          <w:b/>
          <w:i w:val="0"/>
          <w:sz w:val="18"/>
        </w:rPr>
        <w:t>2020</w:t>
      </w:r>
      <w:r>
        <w:rPr>
          <w:b w:val="0"/>
          <w:i w:val="0"/>
          <w:sz w:val="18"/>
        </w:rPr>
        <w:t xml:space="preserve">, </w:t>
      </w:r>
      <w:r>
        <w:rPr>
          <w:b w:val="0"/>
          <w:i/>
          <w:sz w:val="18"/>
        </w:rPr>
        <w:t>14</w:t>
      </w:r>
      <w:r>
        <w:rPr>
          <w:b w:val="0"/>
          <w:i w:val="0"/>
          <w:sz w:val="18"/>
        </w:rPr>
        <w:t>, 366–410.</w:t>
      </w:r>
      <w:r>
        <w:rPr>
          <w:b w:val="0"/>
          <w:i w:val="0"/>
          <w:sz w:val="18"/>
        </w:rPr>
        <w:t xml:space="preserve"> [CrossRef]</w:t>
      </w:r>
    </w:p>
    <w:p>
      <w:pPr>
        <w:pStyle w:val="MDPI32textnoindent"/>
        <w:spacing w:line="240" w:lineRule="auto" w:before="0" w:after="40"/>
        <w:ind w:left="425" w:hanging="425"/>
        <w:tabs>
          <w:tab w:val="left" w:pos="425"/>
        </w:tabs>
      </w:pPr>
      <w:bookmarkStart w:id="1024" w:name="_Ref_24"/>
      <w:r>
        <w:rPr>
          <w:b w:val="0"/>
          <w:sz w:val="18"/>
        </w:rPr>
        <w:t>24</w:t>
      </w:r>
      <w:bookmarkEnd w:id="1024"/>
      <w:r>
        <w:rPr>
          <w:sz w:val="18"/>
        </w:rPr>
        <w:t>.</w:t>
        <w:tab/>
      </w:r>
      <w:r>
        <w:rPr>
          <w:b w:val="0"/>
          <w:i w:val="0"/>
          <w:sz w:val="18"/>
        </w:rPr>
        <w:t xml:space="preserve">Lind, J.T.; Mehlum, H. </w:t>
      </w:r>
      <w:r>
        <w:rPr>
          <w:b w:val="0"/>
          <w:i w:val="0"/>
          <w:sz w:val="18"/>
        </w:rPr>
        <w:t xml:space="preserve">With or Without U? The Appropriate Test for a U-Shaped Relationship. </w:t>
      </w:r>
      <w:r>
        <w:rPr>
          <w:b w:val="0"/>
          <w:i/>
          <w:sz w:val="18"/>
        </w:rPr>
        <w:t xml:space="preserve">Oxf. Bull. Econ. Stat. </w:t>
      </w:r>
      <w:r>
        <w:rPr>
          <w:b/>
          <w:i w:val="0"/>
          <w:sz w:val="18"/>
        </w:rPr>
        <w:t>2010</w:t>
      </w:r>
      <w:r>
        <w:rPr>
          <w:b w:val="0"/>
          <w:i w:val="0"/>
          <w:sz w:val="18"/>
        </w:rPr>
        <w:t xml:space="preserve">, </w:t>
      </w:r>
      <w:r>
        <w:rPr>
          <w:b w:val="0"/>
          <w:i/>
          <w:sz w:val="18"/>
        </w:rPr>
        <w:t>72</w:t>
      </w:r>
      <w:r>
        <w:rPr>
          <w:b w:val="0"/>
          <w:i w:val="0"/>
          <w:sz w:val="18"/>
        </w:rPr>
        <w:t>, 109–118.</w:t>
      </w:r>
      <w:r>
        <w:rPr>
          <w:b w:val="0"/>
          <w:i w:val="0"/>
          <w:sz w:val="18"/>
        </w:rPr>
        <w:t xml:space="preserve"> [CrossRef]</w:t>
      </w:r>
    </w:p>
    <w:p>
      <w:pPr>
        <w:pStyle w:val="MDPI32textnoindent"/>
        <w:spacing w:line="240" w:lineRule="auto" w:before="0" w:after="40"/>
        <w:ind w:left="425" w:hanging="425"/>
        <w:tabs>
          <w:tab w:val="left" w:pos="425"/>
        </w:tabs>
      </w:pPr>
      <w:bookmarkStart w:id="1025" w:name="_Ref_25"/>
      <w:r>
        <w:rPr>
          <w:b w:val="0"/>
          <w:sz w:val="18"/>
        </w:rPr>
        <w:t>25</w:t>
      </w:r>
      <w:bookmarkEnd w:id="1025"/>
      <w:r>
        <w:rPr>
          <w:sz w:val="18"/>
        </w:rPr>
        <w:t>.</w:t>
        <w:tab/>
      </w:r>
      <w:r>
        <w:rPr>
          <w:b w:val="0"/>
          <w:i w:val="0"/>
          <w:sz w:val="18"/>
        </w:rPr>
        <w:t xml:space="preserve">Simonsohn, U. </w:t>
      </w:r>
      <w:r>
        <w:rPr>
          <w:b w:val="0"/>
          <w:i w:val="0"/>
          <w:sz w:val="18"/>
        </w:rPr>
        <w:t xml:space="preserve">Two Lines: A Valid Alternative to the Invalid Testing of U-Shaped Relationships with Quadratic Regressions. </w:t>
      </w:r>
      <w:r>
        <w:rPr>
          <w:b w:val="0"/>
          <w:i/>
          <w:sz w:val="18"/>
        </w:rPr>
        <w:t xml:space="preserve">Adv. Methods Pract. Psychol. Sci. </w:t>
      </w:r>
      <w:r>
        <w:rPr>
          <w:b/>
          <w:i w:val="0"/>
          <w:sz w:val="18"/>
        </w:rPr>
        <w:t>2018</w:t>
      </w:r>
      <w:r>
        <w:rPr>
          <w:b w:val="0"/>
          <w:i w:val="0"/>
          <w:sz w:val="18"/>
        </w:rPr>
        <w:t xml:space="preserve">, </w:t>
      </w:r>
      <w:r>
        <w:rPr>
          <w:b w:val="0"/>
          <w:i/>
          <w:sz w:val="18"/>
        </w:rPr>
        <w:t>1</w:t>
      </w:r>
      <w:r>
        <w:rPr>
          <w:b w:val="0"/>
          <w:i w:val="0"/>
          <w:sz w:val="18"/>
        </w:rPr>
        <w:t>, 538–555.</w:t>
      </w:r>
      <w:r>
        <w:rPr>
          <w:b w:val="0"/>
          <w:i w:val="0"/>
          <w:sz w:val="18"/>
        </w:rPr>
        <w:t xml:space="preserve"> [CrossRef]</w:t>
      </w:r>
    </w:p>
    <w:p>
      <w:pPr>
        <w:pStyle w:val="MDPI32textnoindent"/>
        <w:spacing w:line="240" w:lineRule="auto" w:before="0" w:after="40"/>
        <w:ind w:left="425" w:hanging="425"/>
        <w:tabs>
          <w:tab w:val="left" w:pos="425"/>
        </w:tabs>
      </w:pPr>
      <w:bookmarkStart w:id="1026" w:name="_Ref_26"/>
      <w:r>
        <w:rPr>
          <w:b w:val="0"/>
          <w:sz w:val="18"/>
        </w:rPr>
        <w:t>26</w:t>
      </w:r>
      <w:bookmarkEnd w:id="1026"/>
      <w:r>
        <w:rPr>
          <w:sz w:val="18"/>
        </w:rPr>
        <w:t>.</w:t>
        <w:tab/>
      </w:r>
      <w:r>
        <w:rPr>
          <w:b w:val="0"/>
          <w:i w:val="0"/>
          <w:sz w:val="18"/>
        </w:rPr>
        <w:t xml:space="preserve">Acemoglu, D.; Restrepo, P. </w:t>
      </w:r>
      <w:r>
        <w:rPr>
          <w:b w:val="0"/>
          <w:i w:val="0"/>
          <w:sz w:val="18"/>
        </w:rPr>
        <w:t xml:space="preserve">Robots and Jobs: Evidence from US Labor Markets. </w:t>
      </w:r>
      <w:r>
        <w:rPr>
          <w:b w:val="0"/>
          <w:i/>
          <w:sz w:val="18"/>
        </w:rPr>
        <w:t xml:space="preserve">J. Political Econ. </w:t>
      </w:r>
      <w:r>
        <w:rPr>
          <w:b/>
          <w:i w:val="0"/>
          <w:sz w:val="18"/>
        </w:rPr>
        <w:t>2020</w:t>
      </w:r>
      <w:r>
        <w:rPr>
          <w:b w:val="0"/>
          <w:i w:val="0"/>
          <w:sz w:val="18"/>
        </w:rPr>
        <w:t xml:space="preserve">, </w:t>
      </w:r>
      <w:r>
        <w:rPr>
          <w:b w:val="0"/>
          <w:i/>
          <w:sz w:val="18"/>
        </w:rPr>
        <w:t>128</w:t>
      </w:r>
      <w:r>
        <w:rPr>
          <w:b w:val="0"/>
          <w:i w:val="0"/>
          <w:sz w:val="18"/>
        </w:rPr>
        <w:t>, 2188–2244.</w:t>
      </w:r>
      <w:r>
        <w:rPr>
          <w:b w:val="0"/>
          <w:i w:val="0"/>
          <w:sz w:val="18"/>
        </w:rPr>
        <w:t xml:space="preserve"> [CrossRef]</w:t>
      </w:r>
    </w:p>
    <w:p>
      <w:pPr>
        <w:pStyle w:val="MDPI32textnoindent"/>
        <w:spacing w:line="240" w:lineRule="auto" w:before="0" w:after="40"/>
        <w:ind w:left="425" w:hanging="425"/>
        <w:tabs>
          <w:tab w:val="left" w:pos="425"/>
        </w:tabs>
      </w:pPr>
      <w:bookmarkStart w:id="1027" w:name="_Ref_27"/>
      <w:r>
        <w:rPr>
          <w:b w:val="0"/>
          <w:sz w:val="18"/>
        </w:rPr>
        <w:t>27</w:t>
      </w:r>
      <w:bookmarkEnd w:id="1027"/>
      <w:r>
        <w:rPr>
          <w:sz w:val="18"/>
        </w:rPr>
        <w:t>.</w:t>
        <w:tab/>
      </w:r>
      <w:r>
        <w:rPr>
          <w:b w:val="0"/>
          <w:i w:val="0"/>
          <w:sz w:val="18"/>
        </w:rPr>
        <w:t xml:space="preserve">Raisch, S.; Krakowski, S. </w:t>
      </w:r>
      <w:r>
        <w:rPr>
          <w:b w:val="0"/>
          <w:i w:val="0"/>
          <w:sz w:val="18"/>
        </w:rPr>
        <w:t xml:space="preserve">Artificial Intelligence and Management: The Automation–Augmentation Paradox. </w:t>
      </w:r>
      <w:r>
        <w:rPr>
          <w:b w:val="0"/>
          <w:i/>
          <w:sz w:val="18"/>
        </w:rPr>
        <w:t xml:space="preserve">Acad. Manag. Rev. </w:t>
      </w:r>
      <w:r>
        <w:rPr>
          <w:b/>
          <w:i w:val="0"/>
          <w:sz w:val="18"/>
        </w:rPr>
        <w:t>2021</w:t>
      </w:r>
      <w:r>
        <w:rPr>
          <w:b w:val="0"/>
          <w:i w:val="0"/>
          <w:sz w:val="18"/>
        </w:rPr>
        <w:t xml:space="preserve">, </w:t>
      </w:r>
      <w:r>
        <w:rPr>
          <w:b w:val="0"/>
          <w:i/>
          <w:sz w:val="18"/>
        </w:rPr>
        <w:t>46</w:t>
      </w:r>
      <w:r>
        <w:rPr>
          <w:b w:val="0"/>
          <w:i w:val="0"/>
          <w:sz w:val="18"/>
        </w:rPr>
        <w:t>, 192–210.</w:t>
      </w:r>
      <w:r>
        <w:rPr>
          <w:b w:val="0"/>
          <w:i w:val="0"/>
          <w:sz w:val="18"/>
        </w:rPr>
        <w:t xml:space="preserve"> [CrossRef]</w:t>
      </w:r>
    </w:p>
    <w:p>
      <w:pPr>
        <w:pStyle w:val="MDPI32textnoindent"/>
        <w:spacing w:line="240" w:lineRule="auto" w:before="0" w:after="40"/>
        <w:ind w:left="425" w:hanging="425"/>
        <w:tabs>
          <w:tab w:val="left" w:pos="425"/>
        </w:tabs>
      </w:pPr>
      <w:bookmarkStart w:id="1028" w:name="_Ref_28"/>
      <w:r>
        <w:rPr>
          <w:b w:val="0"/>
          <w:sz w:val="18"/>
        </w:rPr>
        <w:t>28</w:t>
      </w:r>
      <w:bookmarkEnd w:id="1028"/>
      <w:r>
        <w:rPr>
          <w:sz w:val="18"/>
        </w:rPr>
        <w:t>.</w:t>
        <w:tab/>
      </w:r>
      <w:r>
        <w:rPr>
          <w:b w:val="0"/>
          <w:i w:val="0"/>
          <w:sz w:val="18"/>
        </w:rPr>
        <w:t xml:space="preserve">Krakowski, S.; Luger, J.; Raisch, S. </w:t>
      </w:r>
      <w:r>
        <w:rPr>
          <w:b w:val="0"/>
          <w:i w:val="0"/>
          <w:sz w:val="18"/>
        </w:rPr>
        <w:t xml:space="preserve">Artificial Intelligence and the Changing Sources of Competitive Advantage. </w:t>
      </w:r>
      <w:r>
        <w:rPr>
          <w:b w:val="0"/>
          <w:i/>
          <w:sz w:val="18"/>
        </w:rPr>
        <w:t xml:space="preserve">Strateg. Manag. J. </w:t>
      </w:r>
      <w:r>
        <w:rPr>
          <w:b/>
          <w:i w:val="0"/>
          <w:sz w:val="18"/>
        </w:rPr>
        <w:t>2023</w:t>
      </w:r>
      <w:r>
        <w:rPr>
          <w:b w:val="0"/>
          <w:i w:val="0"/>
          <w:sz w:val="18"/>
        </w:rPr>
        <w:t xml:space="preserve">, </w:t>
      </w:r>
      <w:r>
        <w:rPr>
          <w:b w:val="0"/>
          <w:i/>
          <w:sz w:val="18"/>
        </w:rPr>
        <w:t>44</w:t>
      </w:r>
      <w:r>
        <w:rPr>
          <w:b w:val="0"/>
          <w:i w:val="0"/>
          <w:sz w:val="18"/>
        </w:rPr>
        <w:t>, 1425–1452.</w:t>
      </w:r>
      <w:r>
        <w:rPr>
          <w:b w:val="0"/>
          <w:i w:val="0"/>
          <w:sz w:val="18"/>
        </w:rPr>
        <w:t xml:space="preserve"> [CrossRef]</w:t>
      </w:r>
    </w:p>
    <w:p>
      <w:pPr>
        <w:pStyle w:val="MDPI32textnoindent"/>
        <w:spacing w:line="240" w:lineRule="auto" w:before="0" w:after="40"/>
        <w:ind w:left="425" w:hanging="425"/>
        <w:tabs>
          <w:tab w:val="left" w:pos="425"/>
        </w:tabs>
      </w:pPr>
      <w:bookmarkStart w:id="1029" w:name="_Ref_29"/>
      <w:r>
        <w:rPr>
          <w:b w:val="0"/>
          <w:sz w:val="18"/>
        </w:rPr>
        <w:t>29</w:t>
      </w:r>
      <w:bookmarkEnd w:id="1029"/>
      <w:r>
        <w:rPr>
          <w:sz w:val="18"/>
        </w:rPr>
        <w:t>.</w:t>
        <w:tab/>
      </w:r>
      <w:r>
        <w:rPr>
          <w:b w:val="0"/>
          <w:i w:val="0"/>
          <w:sz w:val="18"/>
        </w:rPr>
        <w:t xml:space="preserve">Murray, A.; Rhymer, J.; Sirmon, D.G. </w:t>
      </w:r>
      <w:r>
        <w:rPr>
          <w:b w:val="0"/>
          <w:i w:val="0"/>
          <w:sz w:val="18"/>
        </w:rPr>
        <w:t xml:space="preserve">Humans and Technology: Forms of Conjoined Agency in Organizations. </w:t>
      </w:r>
      <w:r>
        <w:rPr>
          <w:b w:val="0"/>
          <w:i/>
          <w:sz w:val="18"/>
        </w:rPr>
        <w:t xml:space="preserve">Acad. Manag. Rev. </w:t>
      </w:r>
      <w:r>
        <w:rPr>
          <w:b/>
          <w:i w:val="0"/>
          <w:sz w:val="18"/>
        </w:rPr>
        <w:t>2021</w:t>
      </w:r>
      <w:r>
        <w:rPr>
          <w:b w:val="0"/>
          <w:i w:val="0"/>
          <w:sz w:val="18"/>
        </w:rPr>
        <w:t xml:space="preserve">, </w:t>
      </w:r>
      <w:r>
        <w:rPr>
          <w:b w:val="0"/>
          <w:i/>
          <w:sz w:val="18"/>
        </w:rPr>
        <w:t>46</w:t>
      </w:r>
      <w:r>
        <w:rPr>
          <w:b w:val="0"/>
          <w:i w:val="0"/>
          <w:sz w:val="18"/>
        </w:rPr>
        <w:t>, 552–571.</w:t>
      </w:r>
      <w:r>
        <w:rPr>
          <w:b w:val="0"/>
          <w:i w:val="0"/>
          <w:sz w:val="18"/>
        </w:rPr>
        <w:t xml:space="preserve"> [CrossRef]</w:t>
      </w:r>
    </w:p>
    <w:p>
      <w:pPr>
        <w:pStyle w:val="MDPI32textnoindent"/>
        <w:spacing w:line="240" w:lineRule="auto" w:before="0" w:after="40"/>
        <w:ind w:left="425" w:hanging="425"/>
        <w:tabs>
          <w:tab w:val="left" w:pos="425"/>
        </w:tabs>
      </w:pPr>
      <w:bookmarkStart w:id="1030" w:name="_Ref_30"/>
      <w:r>
        <w:rPr>
          <w:b w:val="0"/>
          <w:sz w:val="18"/>
        </w:rPr>
        <w:t>30</w:t>
      </w:r>
      <w:bookmarkEnd w:id="1030"/>
      <w:r>
        <w:rPr>
          <w:sz w:val="18"/>
        </w:rPr>
        <w:t>.</w:t>
        <w:tab/>
      </w:r>
      <w:r>
        <w:rPr>
          <w:b w:val="0"/>
          <w:i w:val="0"/>
          <w:sz w:val="18"/>
        </w:rPr>
        <w:t xml:space="preserve">Autor, D.; Chin, C.; Salomons, A.; Seegmiller, B. </w:t>
      </w:r>
      <w:r>
        <w:rPr>
          <w:b w:val="0"/>
          <w:i w:val="0"/>
          <w:sz w:val="18"/>
        </w:rPr>
        <w:t xml:space="preserve">New Frontiers: The Origins and Content of New Work, 1940–2018. </w:t>
      </w:r>
      <w:r>
        <w:rPr>
          <w:b w:val="0"/>
          <w:i/>
          <w:sz w:val="18"/>
        </w:rPr>
        <w:t xml:space="preserve">Q. J. Econ. </w:t>
      </w:r>
      <w:r>
        <w:rPr>
          <w:b/>
          <w:i w:val="0"/>
          <w:sz w:val="18"/>
        </w:rPr>
        <w:t>2024</w:t>
      </w:r>
      <w:r>
        <w:rPr>
          <w:b w:val="0"/>
          <w:i w:val="0"/>
          <w:sz w:val="18"/>
        </w:rPr>
        <w:t xml:space="preserve">, </w:t>
      </w:r>
      <w:r>
        <w:rPr>
          <w:b w:val="0"/>
          <w:i/>
          <w:sz w:val="18"/>
        </w:rPr>
        <w:t>139</w:t>
      </w:r>
      <w:r>
        <w:rPr>
          <w:b w:val="0"/>
          <w:i w:val="0"/>
          <w:sz w:val="18"/>
        </w:rPr>
        <w:t>, 1399–1465.</w:t>
      </w:r>
      <w:r>
        <w:rPr>
          <w:b w:val="0"/>
          <w:i w:val="0"/>
          <w:sz w:val="18"/>
        </w:rPr>
        <w:t xml:space="preserve"> [CrossRef]</w:t>
      </w:r>
    </w:p>
    <w:p>
      <w:pPr>
        <w:pStyle w:val="MDPI32textnoindent"/>
        <w:spacing w:line="240" w:lineRule="auto" w:before="0" w:after="40"/>
        <w:ind w:left="425" w:hanging="425"/>
        <w:tabs>
          <w:tab w:val="left" w:pos="425"/>
        </w:tabs>
      </w:pPr>
      <w:bookmarkStart w:id="1031" w:name="_Ref_31"/>
      <w:r>
        <w:rPr>
          <w:b w:val="0"/>
          <w:sz w:val="18"/>
        </w:rPr>
        <w:t>31</w:t>
      </w:r>
      <w:bookmarkEnd w:id="1031"/>
      <w:r>
        <w:rPr>
          <w:sz w:val="18"/>
        </w:rPr>
        <w:t>.</w:t>
        <w:tab/>
      </w:r>
      <w:r>
        <w:rPr>
          <w:b w:val="0"/>
          <w:i w:val="0"/>
          <w:sz w:val="18"/>
        </w:rPr>
        <w:t xml:space="preserve">Autor, D.H. </w:t>
      </w:r>
      <w:r>
        <w:rPr>
          <w:b w:val="0"/>
          <w:i w:val="0"/>
          <w:sz w:val="18"/>
        </w:rPr>
        <w:t xml:space="preserve">Why Are There Still So Many Jobs? The History and Future of Workplace Automation. </w:t>
      </w:r>
      <w:r>
        <w:rPr>
          <w:b w:val="0"/>
          <w:i/>
          <w:sz w:val="18"/>
        </w:rPr>
        <w:t xml:space="preserve">J. Econ. Perspect. </w:t>
      </w:r>
      <w:r>
        <w:rPr>
          <w:b/>
          <w:i w:val="0"/>
          <w:sz w:val="18"/>
        </w:rPr>
        <w:t>2015</w:t>
      </w:r>
      <w:r>
        <w:rPr>
          <w:b w:val="0"/>
          <w:i w:val="0"/>
          <w:sz w:val="18"/>
        </w:rPr>
        <w:t xml:space="preserve">, </w:t>
      </w:r>
      <w:r>
        <w:rPr>
          <w:b w:val="0"/>
          <w:i/>
          <w:sz w:val="18"/>
        </w:rPr>
        <w:t>29</w:t>
      </w:r>
      <w:r>
        <w:rPr>
          <w:b w:val="0"/>
          <w:i w:val="0"/>
          <w:sz w:val="18"/>
        </w:rPr>
        <w:t>, 3–30.</w:t>
      </w:r>
      <w:r>
        <w:rPr>
          <w:b w:val="0"/>
          <w:i w:val="0"/>
          <w:sz w:val="18"/>
        </w:rPr>
        <w:t xml:space="preserve"> [CrossRef]</w:t>
      </w:r>
    </w:p>
    <w:p>
      <w:pPr>
        <w:pStyle w:val="MDPI32textnoindent"/>
        <w:spacing w:line="240" w:lineRule="auto" w:before="0" w:after="40"/>
        <w:ind w:left="425" w:hanging="425"/>
        <w:tabs>
          <w:tab w:val="left" w:pos="425"/>
        </w:tabs>
      </w:pPr>
      <w:bookmarkStart w:id="1032" w:name="_Ref_32"/>
      <w:r>
        <w:rPr>
          <w:b w:val="0"/>
          <w:sz w:val="18"/>
        </w:rPr>
        <w:t>32</w:t>
      </w:r>
      <w:bookmarkEnd w:id="1032"/>
      <w:r>
        <w:rPr>
          <w:sz w:val="18"/>
        </w:rPr>
        <w:t>.</w:t>
        <w:tab/>
      </w:r>
      <w:r>
        <w:rPr>
          <w:b w:val="0"/>
          <w:i w:val="0"/>
          <w:sz w:val="18"/>
        </w:rPr>
        <w:t xml:space="preserve">Agrawal, A.; Gans, J.S.; Goldfarb, A. </w:t>
      </w:r>
      <w:r>
        <w:rPr>
          <w:b w:val="0"/>
          <w:i w:val="0"/>
          <w:sz w:val="18"/>
        </w:rPr>
        <w:t xml:space="preserve">Artificial Intelligence: The Ambiguous Labor Market Impact of Automating Prediction. </w:t>
      </w:r>
      <w:r>
        <w:rPr>
          <w:b w:val="0"/>
          <w:i/>
          <w:sz w:val="18"/>
        </w:rPr>
        <w:t xml:space="preserve">J. Econ. Perspect. </w:t>
      </w:r>
      <w:r>
        <w:rPr>
          <w:b/>
          <w:i w:val="0"/>
          <w:sz w:val="18"/>
        </w:rPr>
        <w:t>2019</w:t>
      </w:r>
      <w:r>
        <w:rPr>
          <w:b w:val="0"/>
          <w:i w:val="0"/>
          <w:sz w:val="18"/>
        </w:rPr>
        <w:t xml:space="preserve">, </w:t>
      </w:r>
      <w:r>
        <w:rPr>
          <w:b w:val="0"/>
          <w:i/>
          <w:sz w:val="18"/>
        </w:rPr>
        <w:t>33</w:t>
      </w:r>
      <w:r>
        <w:rPr>
          <w:b w:val="0"/>
          <w:i w:val="0"/>
          <w:sz w:val="18"/>
        </w:rPr>
        <w:t>, 31–50.</w:t>
      </w:r>
      <w:r>
        <w:rPr>
          <w:b w:val="0"/>
          <w:i w:val="0"/>
          <w:sz w:val="18"/>
        </w:rPr>
        <w:t xml:space="preserve"> [CrossRef]</w:t>
      </w:r>
    </w:p>
    <w:p>
      <w:pPr>
        <w:pStyle w:val="MDPI32textnoindent"/>
        <w:spacing w:line="240" w:lineRule="auto" w:before="0" w:after="40"/>
        <w:ind w:left="425" w:hanging="425"/>
        <w:tabs>
          <w:tab w:val="left" w:pos="425"/>
        </w:tabs>
      </w:pPr>
      <w:bookmarkStart w:id="1033" w:name="_Ref_33"/>
      <w:r>
        <w:rPr>
          <w:b w:val="0"/>
          <w:sz w:val="18"/>
        </w:rPr>
        <w:t>33</w:t>
      </w:r>
      <w:bookmarkEnd w:id="1033"/>
      <w:r>
        <w:rPr>
          <w:sz w:val="18"/>
        </w:rPr>
        <w:t>.</w:t>
        <w:tab/>
      </w:r>
      <w:r>
        <w:rPr>
          <w:b w:val="0"/>
          <w:i w:val="0"/>
          <w:sz w:val="18"/>
        </w:rPr>
        <w:t xml:space="preserve">Bresnahan, T.F.; Trajtenberg, M. </w:t>
      </w:r>
      <w:r>
        <w:rPr>
          <w:b w:val="0"/>
          <w:i w:val="0"/>
          <w:sz w:val="18"/>
        </w:rPr>
        <w:t xml:space="preserve">General Purpose Technologies: “Engines of Growth”? </w:t>
      </w:r>
      <w:r>
        <w:rPr>
          <w:b w:val="0"/>
          <w:i/>
          <w:sz w:val="18"/>
        </w:rPr>
        <w:t xml:space="preserve">J. Econom. </w:t>
      </w:r>
      <w:r>
        <w:rPr>
          <w:b/>
          <w:i w:val="0"/>
          <w:sz w:val="18"/>
        </w:rPr>
        <w:t>1995</w:t>
      </w:r>
      <w:r>
        <w:rPr>
          <w:b w:val="0"/>
          <w:i w:val="0"/>
          <w:sz w:val="18"/>
        </w:rPr>
        <w:t xml:space="preserve">, </w:t>
      </w:r>
      <w:r>
        <w:rPr>
          <w:b w:val="0"/>
          <w:i/>
          <w:sz w:val="18"/>
        </w:rPr>
        <w:t>65</w:t>
      </w:r>
      <w:r>
        <w:rPr>
          <w:b w:val="0"/>
          <w:i w:val="0"/>
          <w:sz w:val="18"/>
        </w:rPr>
        <w:t>, 83–108.</w:t>
      </w:r>
      <w:r>
        <w:rPr>
          <w:b w:val="0"/>
          <w:i w:val="0"/>
          <w:sz w:val="18"/>
        </w:rPr>
        <w:t xml:space="preserve"> [CrossRef]</w:t>
      </w:r>
    </w:p>
    <w:p>
      <w:pPr>
        <w:pStyle w:val="MDPI32textnoindent"/>
        <w:spacing w:line="240" w:lineRule="auto" w:before="0" w:after="40"/>
        <w:ind w:left="425" w:hanging="425"/>
        <w:tabs>
          <w:tab w:val="left" w:pos="425"/>
        </w:tabs>
      </w:pPr>
      <w:bookmarkStart w:id="1034" w:name="_Ref_34"/>
      <w:r>
        <w:rPr>
          <w:b w:val="0"/>
          <w:sz w:val="18"/>
        </w:rPr>
        <w:t>34</w:t>
      </w:r>
      <w:bookmarkEnd w:id="1034"/>
      <w:r>
        <w:rPr>
          <w:sz w:val="18"/>
        </w:rPr>
        <w:t>.</w:t>
        <w:tab/>
      </w:r>
      <w:r>
        <w:rPr>
          <w:b w:val="0"/>
          <w:i w:val="0"/>
          <w:sz w:val="18"/>
        </w:rPr>
        <w:t xml:space="preserve">Brynjolfsson, E.; Rock, D.; Syverson, C. </w:t>
      </w:r>
      <w:r>
        <w:rPr>
          <w:b w:val="0"/>
          <w:i w:val="0"/>
          <w:sz w:val="18"/>
        </w:rPr>
        <w:t xml:space="preserve">The Productivity J-Curve: How Intangibles Complement General Purpose Technologies. </w:t>
      </w:r>
      <w:r>
        <w:rPr>
          <w:b w:val="0"/>
          <w:i/>
          <w:sz w:val="18"/>
        </w:rPr>
        <w:t xml:space="preserve">Am. Econ. J. Macroecon. </w:t>
      </w:r>
      <w:r>
        <w:rPr>
          <w:b/>
          <w:i w:val="0"/>
          <w:sz w:val="18"/>
        </w:rPr>
        <w:t>2021</w:t>
      </w:r>
      <w:r>
        <w:rPr>
          <w:b w:val="0"/>
          <w:i w:val="0"/>
          <w:sz w:val="18"/>
        </w:rPr>
        <w:t xml:space="preserve">, </w:t>
      </w:r>
      <w:r>
        <w:rPr>
          <w:b w:val="0"/>
          <w:i/>
          <w:sz w:val="18"/>
        </w:rPr>
        <w:t>13</w:t>
      </w:r>
      <w:r>
        <w:rPr>
          <w:b w:val="0"/>
          <w:i w:val="0"/>
          <w:sz w:val="18"/>
        </w:rPr>
        <w:t>, 333–372.</w:t>
      </w:r>
      <w:r>
        <w:rPr>
          <w:b w:val="0"/>
          <w:i w:val="0"/>
          <w:sz w:val="18"/>
        </w:rPr>
        <w:t xml:space="preserve"> [CrossRef]</w:t>
      </w:r>
    </w:p>
    <w:p>
      <w:pPr>
        <w:pStyle w:val="MDPI32textnoindent"/>
        <w:spacing w:line="240" w:lineRule="auto" w:before="0" w:after="40"/>
        <w:ind w:left="425" w:hanging="425"/>
        <w:tabs>
          <w:tab w:val="left" w:pos="425"/>
        </w:tabs>
      </w:pPr>
      <w:bookmarkStart w:id="1035" w:name="_Ref_35"/>
      <w:r>
        <w:rPr>
          <w:b w:val="0"/>
          <w:sz w:val="18"/>
        </w:rPr>
        <w:t>35</w:t>
      </w:r>
      <w:bookmarkEnd w:id="1035"/>
      <w:r>
        <w:rPr>
          <w:sz w:val="18"/>
        </w:rPr>
        <w:t>.</w:t>
        <w:tab/>
      </w:r>
      <w:r>
        <w:rPr>
          <w:b w:val="0"/>
          <w:i w:val="0"/>
          <w:sz w:val="18"/>
        </w:rPr>
        <w:t xml:space="preserve">Acemoglu, D.; Autor, D.; Hazell, J.; Restrepo, P. </w:t>
      </w:r>
      <w:r>
        <w:rPr>
          <w:b w:val="0"/>
          <w:i w:val="0"/>
          <w:sz w:val="18"/>
        </w:rPr>
        <w:t xml:space="preserve">Artificial Intelligence and Jobs: Evidence from Online Vacancies. </w:t>
      </w:r>
      <w:r>
        <w:rPr>
          <w:b w:val="0"/>
          <w:i/>
          <w:sz w:val="18"/>
        </w:rPr>
        <w:t xml:space="preserve">J. Labor Econ. </w:t>
      </w:r>
      <w:r>
        <w:rPr>
          <w:b/>
          <w:i w:val="0"/>
          <w:sz w:val="18"/>
        </w:rPr>
        <w:t>2022</w:t>
      </w:r>
      <w:r>
        <w:rPr>
          <w:b w:val="0"/>
          <w:i w:val="0"/>
          <w:sz w:val="18"/>
        </w:rPr>
        <w:t xml:space="preserve">, </w:t>
      </w:r>
      <w:r>
        <w:rPr>
          <w:b w:val="0"/>
          <w:i/>
          <w:sz w:val="18"/>
        </w:rPr>
        <w:t>40</w:t>
      </w:r>
      <w:r>
        <w:rPr>
          <w:b w:val="0"/>
          <w:i w:val="0"/>
          <w:sz w:val="18"/>
        </w:rPr>
        <w:t>, S293–S340.</w:t>
      </w:r>
      <w:r>
        <w:rPr>
          <w:b w:val="0"/>
          <w:i w:val="0"/>
          <w:sz w:val="18"/>
        </w:rPr>
        <w:t xml:space="preserve"> [CrossRef]</w:t>
      </w:r>
    </w:p>
    <w:p>
      <w:pPr>
        <w:pStyle w:val="MDPI32textnoindent"/>
        <w:spacing w:line="240" w:lineRule="auto" w:before="0" w:after="40"/>
        <w:ind w:left="425" w:hanging="425"/>
        <w:tabs>
          <w:tab w:val="left" w:pos="425"/>
        </w:tabs>
      </w:pPr>
      <w:bookmarkStart w:id="1036" w:name="_Ref_36"/>
      <w:r>
        <w:rPr>
          <w:b w:val="0"/>
          <w:sz w:val="18"/>
        </w:rPr>
        <w:t>36</w:t>
      </w:r>
      <w:bookmarkEnd w:id="1036"/>
      <w:r>
        <w:rPr>
          <w:sz w:val="18"/>
        </w:rPr>
        <w:t>.</w:t>
        <w:tab/>
      </w:r>
      <w:r>
        <w:rPr>
          <w:b w:val="0"/>
          <w:i w:val="0"/>
          <w:sz w:val="18"/>
        </w:rPr>
        <w:t xml:space="preserve">Babina, T.; Fedyk, A.; He, A.; Hodson, J. </w:t>
      </w:r>
      <w:r>
        <w:rPr>
          <w:b w:val="0"/>
          <w:i w:val="0"/>
          <w:sz w:val="18"/>
        </w:rPr>
        <w:t xml:space="preserve">Artificial Intelligence, Firm Growth, and Product Innovation. </w:t>
      </w:r>
      <w:r>
        <w:rPr>
          <w:b w:val="0"/>
          <w:i/>
          <w:sz w:val="18"/>
        </w:rPr>
        <w:t xml:space="preserve">J. Financ. Econ. </w:t>
      </w:r>
      <w:r>
        <w:rPr>
          <w:b/>
          <w:i w:val="0"/>
          <w:sz w:val="18"/>
        </w:rPr>
        <w:t>2024</w:t>
      </w:r>
      <w:r>
        <w:rPr>
          <w:b w:val="0"/>
          <w:i w:val="0"/>
          <w:sz w:val="18"/>
        </w:rPr>
        <w:t xml:space="preserve">, </w:t>
      </w:r>
      <w:r>
        <w:rPr>
          <w:b w:val="0"/>
          <w:i/>
          <w:sz w:val="18"/>
        </w:rPr>
        <w:t>151</w:t>
      </w:r>
      <w:r>
        <w:rPr>
          <w:b w:val="0"/>
          <w:i w:val="0"/>
          <w:sz w:val="18"/>
        </w:rPr>
        <w:t>, 103745.</w:t>
      </w:r>
      <w:r>
        <w:rPr>
          <w:b w:val="0"/>
          <w:i w:val="0"/>
          <w:sz w:val="18"/>
        </w:rPr>
        <w:t xml:space="preserve"> [CrossRef]</w:t>
      </w:r>
    </w:p>
    <w:p>
      <w:pPr>
        <w:pStyle w:val="MDPI32textnoindent"/>
        <w:spacing w:line="240" w:lineRule="auto" w:before="0" w:after="40"/>
        <w:ind w:left="425" w:hanging="425"/>
        <w:tabs>
          <w:tab w:val="left" w:pos="425"/>
        </w:tabs>
      </w:pPr>
      <w:bookmarkStart w:id="1037" w:name="_Ref_37"/>
      <w:r>
        <w:rPr>
          <w:b w:val="0"/>
          <w:sz w:val="18"/>
        </w:rPr>
        <w:t>37</w:t>
      </w:r>
      <w:bookmarkEnd w:id="1037"/>
      <w:r>
        <w:rPr>
          <w:sz w:val="18"/>
        </w:rPr>
        <w:t>.</w:t>
        <w:tab/>
      </w:r>
      <w:r>
        <w:rPr>
          <w:b w:val="0"/>
          <w:i w:val="0"/>
          <w:sz w:val="18"/>
        </w:rPr>
        <w:t xml:space="preserve">Bonfiglioli, A.; Crinò, R.; Fadinger, H.; Gancia, G. </w:t>
      </w:r>
      <w:r>
        <w:rPr>
          <w:b w:val="0"/>
          <w:i w:val="0"/>
          <w:sz w:val="18"/>
        </w:rPr>
        <w:t xml:space="preserve">Robot Imports and Firm-Level Outcomes. </w:t>
      </w:r>
      <w:r>
        <w:rPr>
          <w:b w:val="0"/>
          <w:i/>
          <w:sz w:val="18"/>
        </w:rPr>
        <w:t xml:space="preserve">Econ. J. </w:t>
      </w:r>
      <w:r>
        <w:rPr>
          <w:b/>
          <w:i w:val="0"/>
          <w:sz w:val="18"/>
        </w:rPr>
        <w:t>2024</w:t>
      </w:r>
      <w:r>
        <w:rPr>
          <w:b w:val="0"/>
          <w:i w:val="0"/>
          <w:sz w:val="18"/>
        </w:rPr>
        <w:t xml:space="preserve">, </w:t>
      </w:r>
      <w:r>
        <w:rPr>
          <w:b w:val="0"/>
          <w:i/>
          <w:sz w:val="18"/>
        </w:rPr>
        <w:t>134</w:t>
      </w:r>
      <w:r>
        <w:rPr>
          <w:b w:val="0"/>
          <w:i w:val="0"/>
          <w:sz w:val="18"/>
        </w:rPr>
        <w:t>, 3428–3444.</w:t>
      </w:r>
      <w:r>
        <w:rPr>
          <w:b w:val="0"/>
          <w:i w:val="0"/>
          <w:sz w:val="18"/>
        </w:rPr>
        <w:t xml:space="preserve"> [CrossRef]</w:t>
      </w:r>
    </w:p>
    <w:p>
      <w:pPr>
        <w:pStyle w:val="MDPI32textnoindent"/>
        <w:spacing w:line="240" w:lineRule="auto" w:before="0" w:after="40"/>
        <w:ind w:left="425" w:hanging="425"/>
        <w:tabs>
          <w:tab w:val="left" w:pos="425"/>
        </w:tabs>
      </w:pPr>
      <w:bookmarkStart w:id="1038" w:name="_Ref_38"/>
      <w:r>
        <w:rPr>
          <w:b w:val="0"/>
          <w:sz w:val="18"/>
        </w:rPr>
        <w:t>38</w:t>
      </w:r>
      <w:bookmarkEnd w:id="1038"/>
      <w:r>
        <w:rPr>
          <w:sz w:val="18"/>
        </w:rPr>
        <w:t>.</w:t>
        <w:tab/>
      </w:r>
      <w:r>
        <w:rPr>
          <w:b w:val="0"/>
          <w:i w:val="0"/>
          <w:sz w:val="18"/>
        </w:rPr>
        <w:t xml:space="preserve">Liang, H.; Fan, J.; Wang, Y. </w:t>
      </w:r>
      <w:r>
        <w:rPr>
          <w:b w:val="0"/>
          <w:i w:val="0"/>
          <w:sz w:val="18"/>
        </w:rPr>
        <w:t xml:space="preserve">Artificial Intelligence, Technological Innovation, and Employment Transformation for Sustainable Development: Evidence from China. </w:t>
      </w:r>
      <w:r>
        <w:rPr>
          <w:b w:val="0"/>
          <w:i/>
          <w:sz w:val="18"/>
        </w:rPr>
        <w:t xml:space="preserve">Sustainability </w:t>
      </w:r>
      <w:r>
        <w:rPr>
          <w:b/>
          <w:i w:val="0"/>
          <w:sz w:val="18"/>
        </w:rPr>
        <w:t>2025</w:t>
      </w:r>
      <w:r>
        <w:rPr>
          <w:b w:val="0"/>
          <w:i w:val="0"/>
          <w:sz w:val="18"/>
        </w:rPr>
        <w:t xml:space="preserve">, </w:t>
      </w:r>
      <w:r>
        <w:rPr>
          <w:b w:val="0"/>
          <w:i/>
          <w:sz w:val="18"/>
        </w:rPr>
        <w:t>17</w:t>
      </w:r>
      <w:r>
        <w:rPr>
          <w:b w:val="0"/>
          <w:i w:val="0"/>
          <w:sz w:val="18"/>
        </w:rPr>
        <w:t>, 3842.</w:t>
      </w:r>
      <w:r>
        <w:rPr>
          <w:b w:val="0"/>
          <w:i w:val="0"/>
          <w:sz w:val="18"/>
        </w:rPr>
        <w:t xml:space="preserve"> [CrossRef]</w:t>
      </w:r>
    </w:p>
    <w:p>
      <w:pPr>
        <w:pStyle w:val="MDPI32textnoindent"/>
        <w:spacing w:line="240" w:lineRule="auto" w:before="0" w:after="40"/>
        <w:ind w:left="425" w:hanging="425"/>
        <w:tabs>
          <w:tab w:val="left" w:pos="425"/>
        </w:tabs>
      </w:pPr>
      <w:bookmarkStart w:id="1039" w:name="_Ref_39"/>
      <w:r>
        <w:rPr>
          <w:b w:val="0"/>
          <w:sz w:val="18"/>
        </w:rPr>
        <w:t>39</w:t>
      </w:r>
      <w:bookmarkEnd w:id="1039"/>
      <w:r>
        <w:rPr>
          <w:sz w:val="18"/>
        </w:rPr>
        <w:t>.</w:t>
        <w:tab/>
      </w:r>
      <w:r>
        <w:rPr>
          <w:b w:val="0"/>
          <w:i w:val="0"/>
          <w:sz w:val="18"/>
        </w:rPr>
        <w:t xml:space="preserve">Eloundou, T.; Manning, S.; Mishkin, P.; Rock, D. </w:t>
      </w:r>
      <w:r>
        <w:rPr>
          <w:b w:val="0"/>
          <w:i w:val="0"/>
          <w:sz w:val="18"/>
        </w:rPr>
        <w:t xml:space="preserve">GPTs Are GPTs: Labor Market Impact Potential of LLMs. </w:t>
      </w:r>
      <w:r>
        <w:rPr>
          <w:b w:val="0"/>
          <w:i/>
          <w:sz w:val="18"/>
        </w:rPr>
        <w:t xml:space="preserve">Science </w:t>
      </w:r>
      <w:r>
        <w:rPr>
          <w:b/>
          <w:i w:val="0"/>
          <w:sz w:val="18"/>
        </w:rPr>
        <w:t>2024</w:t>
      </w:r>
      <w:r>
        <w:rPr>
          <w:b w:val="0"/>
          <w:i w:val="0"/>
          <w:sz w:val="18"/>
        </w:rPr>
        <w:t xml:space="preserve">, </w:t>
      </w:r>
      <w:r>
        <w:rPr>
          <w:b w:val="0"/>
          <w:i/>
          <w:sz w:val="18"/>
        </w:rPr>
        <w:t>384</w:t>
      </w:r>
      <w:r>
        <w:rPr>
          <w:b w:val="0"/>
          <w:i w:val="0"/>
          <w:sz w:val="18"/>
        </w:rPr>
        <w:t>, 1306–1308.</w:t>
      </w:r>
      <w:r>
        <w:rPr>
          <w:b w:val="0"/>
          <w:i w:val="0"/>
          <w:sz w:val="18"/>
        </w:rPr>
        <w:t xml:space="preserve"> [CrossRef]</w:t>
      </w:r>
    </w:p>
    <w:p>
      <w:pPr>
        <w:pStyle w:val="MDPI32textnoindent"/>
        <w:spacing w:line="240" w:lineRule="auto" w:before="0" w:after="40"/>
        <w:ind w:left="425" w:hanging="425"/>
        <w:tabs>
          <w:tab w:val="left" w:pos="425"/>
        </w:tabs>
      </w:pPr>
      <w:bookmarkStart w:id="1040" w:name="_Ref_40"/>
      <w:r>
        <w:rPr>
          <w:b w:val="0"/>
          <w:sz w:val="18"/>
        </w:rPr>
        <w:t>40</w:t>
      </w:r>
      <w:bookmarkEnd w:id="1040"/>
      <w:r>
        <w:rPr>
          <w:sz w:val="18"/>
        </w:rPr>
        <w:t>.</w:t>
        <w:tab/>
      </w:r>
      <w:r>
        <w:rPr>
          <w:b w:val="0"/>
          <w:i w:val="0"/>
          <w:sz w:val="18"/>
        </w:rPr>
        <w:t xml:space="preserve">Felten, E.; Raj, M.; Seamans, R. </w:t>
      </w:r>
      <w:r>
        <w:rPr>
          <w:b w:val="0"/>
          <w:i w:val="0"/>
          <w:sz w:val="18"/>
        </w:rPr>
        <w:t xml:space="preserve">Occupational, Industry, and Geographic Exposure to Artificial Intelligence: A Novel Dataset and Its Potential Uses. </w:t>
      </w:r>
      <w:r>
        <w:rPr>
          <w:b w:val="0"/>
          <w:i/>
          <w:sz w:val="18"/>
        </w:rPr>
        <w:t xml:space="preserve">Strateg. Manag. J. </w:t>
      </w:r>
      <w:r>
        <w:rPr>
          <w:b/>
          <w:i w:val="0"/>
          <w:sz w:val="18"/>
        </w:rPr>
        <w:t>2021</w:t>
      </w:r>
      <w:r>
        <w:rPr>
          <w:b w:val="0"/>
          <w:i w:val="0"/>
          <w:sz w:val="18"/>
        </w:rPr>
        <w:t xml:space="preserve">, </w:t>
      </w:r>
      <w:r>
        <w:rPr>
          <w:b w:val="0"/>
          <w:i/>
          <w:sz w:val="18"/>
        </w:rPr>
        <w:t>42</w:t>
      </w:r>
      <w:r>
        <w:rPr>
          <w:b w:val="0"/>
          <w:i w:val="0"/>
          <w:sz w:val="18"/>
        </w:rPr>
        <w:t>, 2195–2217.</w:t>
      </w:r>
      <w:r>
        <w:rPr>
          <w:b w:val="0"/>
          <w:i w:val="0"/>
          <w:sz w:val="18"/>
        </w:rPr>
        <w:t xml:space="preserve"> [CrossRef]</w:t>
      </w:r>
    </w:p>
    <w:p>
      <w:pPr>
        <w:pStyle w:val="MDPI32textnoindent"/>
        <w:spacing w:line="240" w:lineRule="auto" w:before="0" w:after="40"/>
        <w:ind w:left="425" w:hanging="425"/>
        <w:tabs>
          <w:tab w:val="left" w:pos="425"/>
        </w:tabs>
      </w:pPr>
      <w:bookmarkStart w:id="1041" w:name="_Ref_41"/>
      <w:r>
        <w:rPr>
          <w:b w:val="0"/>
          <w:sz w:val="18"/>
        </w:rPr>
        <w:t>41</w:t>
      </w:r>
      <w:bookmarkEnd w:id="1041"/>
      <w:r>
        <w:rPr>
          <w:sz w:val="18"/>
        </w:rPr>
        <w:t>.</w:t>
        <w:tab/>
      </w:r>
      <w:r>
        <w:rPr>
          <w:b w:val="0"/>
          <w:i w:val="0"/>
          <w:sz w:val="18"/>
        </w:rPr>
        <w:t xml:space="preserve">Beane, M. </w:t>
      </w:r>
      <w:r>
        <w:rPr>
          <w:b w:val="0"/>
          <w:i w:val="0"/>
          <w:sz w:val="18"/>
        </w:rPr>
        <w:t xml:space="preserve">Shadow Learning: Building Robotic Surgical Skill When Approved Means Fail. </w:t>
      </w:r>
      <w:r>
        <w:rPr>
          <w:b w:val="0"/>
          <w:i/>
          <w:sz w:val="18"/>
        </w:rPr>
        <w:t xml:space="preserve">Adm. Sci. Q. </w:t>
      </w:r>
      <w:r>
        <w:rPr>
          <w:b/>
          <w:i w:val="0"/>
          <w:sz w:val="18"/>
        </w:rPr>
        <w:t>2019</w:t>
      </w:r>
      <w:r>
        <w:rPr>
          <w:b w:val="0"/>
          <w:i w:val="0"/>
          <w:sz w:val="18"/>
        </w:rPr>
        <w:t xml:space="preserve">, </w:t>
      </w:r>
      <w:r>
        <w:rPr>
          <w:b w:val="0"/>
          <w:i/>
          <w:sz w:val="18"/>
        </w:rPr>
        <w:t>64</w:t>
      </w:r>
      <w:r>
        <w:rPr>
          <w:b w:val="0"/>
          <w:i w:val="0"/>
          <w:sz w:val="18"/>
        </w:rPr>
        <w:t>, 87–123.</w:t>
      </w:r>
      <w:r>
        <w:rPr>
          <w:b w:val="0"/>
          <w:i w:val="0"/>
          <w:sz w:val="18"/>
        </w:rPr>
        <w:t xml:space="preserve"> [CrossRef]</w:t>
      </w:r>
    </w:p>
    <w:p>
      <w:pPr>
        <w:pStyle w:val="MDPI32textnoindent"/>
        <w:spacing w:line="240" w:lineRule="auto" w:before="0" w:after="40"/>
        <w:ind w:left="425" w:hanging="425"/>
        <w:tabs>
          <w:tab w:val="left" w:pos="425"/>
        </w:tabs>
      </w:pPr>
      <w:bookmarkStart w:id="1042" w:name="_Ref_42"/>
      <w:r>
        <w:rPr>
          <w:b w:val="0"/>
          <w:sz w:val="18"/>
        </w:rPr>
        <w:t>42</w:t>
      </w:r>
      <w:bookmarkEnd w:id="1042"/>
      <w:r>
        <w:rPr>
          <w:sz w:val="18"/>
        </w:rPr>
        <w:t>.</w:t>
        <w:tab/>
      </w:r>
      <w:r>
        <w:rPr>
          <w:b w:val="0"/>
          <w:i w:val="0"/>
          <w:sz w:val="18"/>
        </w:rPr>
        <w:t xml:space="preserve">Anthony, C. </w:t>
      </w:r>
      <w:r>
        <w:rPr>
          <w:b w:val="0"/>
          <w:i w:val="0"/>
          <w:sz w:val="18"/>
        </w:rPr>
        <w:t xml:space="preserve">When Knowledge Work and Analytical Technologies Collide: The Practices and Consequences of Black Boxing Algorithmic Technologies. </w:t>
      </w:r>
      <w:r>
        <w:rPr>
          <w:b w:val="0"/>
          <w:i/>
          <w:sz w:val="18"/>
        </w:rPr>
        <w:t xml:space="preserve">Adm. Sci. Q. </w:t>
      </w:r>
      <w:r>
        <w:rPr>
          <w:b/>
          <w:i w:val="0"/>
          <w:sz w:val="18"/>
        </w:rPr>
        <w:t>2021</w:t>
      </w:r>
      <w:r>
        <w:rPr>
          <w:b w:val="0"/>
          <w:i w:val="0"/>
          <w:sz w:val="18"/>
        </w:rPr>
        <w:t xml:space="preserve">, </w:t>
      </w:r>
      <w:r>
        <w:rPr>
          <w:b w:val="0"/>
          <w:i/>
          <w:sz w:val="18"/>
        </w:rPr>
        <w:t>66</w:t>
      </w:r>
      <w:r>
        <w:rPr>
          <w:b w:val="0"/>
          <w:i w:val="0"/>
          <w:sz w:val="18"/>
        </w:rPr>
        <w:t>, 1173–1212.</w:t>
      </w:r>
      <w:r>
        <w:rPr>
          <w:b w:val="0"/>
          <w:i w:val="0"/>
          <w:sz w:val="18"/>
        </w:rPr>
        <w:t xml:space="preserve"> [CrossRef]</w:t>
      </w:r>
    </w:p>
    <w:p>
      <w:pPr>
        <w:pStyle w:val="MDPI32textnoindent"/>
        <w:spacing w:line="240" w:lineRule="auto" w:before="0" w:after="40"/>
        <w:ind w:left="425" w:hanging="425"/>
        <w:tabs>
          <w:tab w:val="left" w:pos="425"/>
        </w:tabs>
      </w:pPr>
      <w:bookmarkStart w:id="1043" w:name="_Ref_43"/>
      <w:r>
        <w:rPr>
          <w:b w:val="0"/>
          <w:sz w:val="18"/>
        </w:rPr>
        <w:t>43</w:t>
      </w:r>
      <w:bookmarkEnd w:id="1043"/>
      <w:r>
        <w:rPr>
          <w:sz w:val="18"/>
        </w:rPr>
        <w:t>.</w:t>
        <w:tab/>
      </w:r>
      <w:r>
        <w:rPr>
          <w:b w:val="0"/>
          <w:i w:val="0"/>
          <w:sz w:val="18"/>
        </w:rPr>
        <w:t xml:space="preserve">Yang, B.; Sun, Y.; Zeng, Z.; Li, Q. </w:t>
      </w:r>
      <w:r>
        <w:rPr>
          <w:b w:val="0"/>
          <w:i w:val="0"/>
          <w:sz w:val="18"/>
        </w:rPr>
        <w:t xml:space="preserve">Deskilling, Reskilling, or Upskilling? Unpacking the Pathways of Student Adaptation to Generative Artificial Intelligence. </w:t>
      </w:r>
      <w:r>
        <w:rPr>
          <w:b w:val="0"/>
          <w:i/>
          <w:sz w:val="18"/>
        </w:rPr>
        <w:t xml:space="preserve">Int. J. Inf. Manag. </w:t>
      </w:r>
      <w:r>
        <w:rPr>
          <w:b/>
          <w:i w:val="0"/>
          <w:sz w:val="18"/>
        </w:rPr>
        <w:t>2026</w:t>
      </w:r>
      <w:r>
        <w:rPr>
          <w:b w:val="0"/>
          <w:i w:val="0"/>
          <w:sz w:val="18"/>
        </w:rPr>
        <w:t xml:space="preserve">, </w:t>
      </w:r>
      <w:r>
        <w:rPr>
          <w:b w:val="0"/>
          <w:i/>
          <w:sz w:val="18"/>
        </w:rPr>
        <w:t>87</w:t>
      </w:r>
      <w:r>
        <w:rPr>
          <w:b w:val="0"/>
          <w:i w:val="0"/>
          <w:sz w:val="18"/>
        </w:rPr>
        <w:t>, 103002.</w:t>
      </w:r>
      <w:r>
        <w:rPr>
          <w:b w:val="0"/>
          <w:i w:val="0"/>
          <w:sz w:val="18"/>
        </w:rPr>
        <w:t xml:space="preserve"> [CrossRef]</w:t>
      </w:r>
    </w:p>
    <w:p>
      <w:pPr>
        <w:pStyle w:val="MDPI32textnoindent"/>
        <w:spacing w:line="240" w:lineRule="auto" w:before="0" w:after="40"/>
        <w:ind w:left="425" w:hanging="425"/>
        <w:tabs>
          <w:tab w:val="left" w:pos="425"/>
        </w:tabs>
      </w:pPr>
      <w:bookmarkStart w:id="1044" w:name="_Ref_44"/>
      <w:r>
        <w:rPr>
          <w:b w:val="0"/>
          <w:sz w:val="18"/>
        </w:rPr>
        <w:t>44</w:t>
      </w:r>
      <w:bookmarkEnd w:id="1044"/>
      <w:r>
        <w:rPr>
          <w:sz w:val="18"/>
        </w:rPr>
        <w:t>.</w:t>
        <w:tab/>
      </w:r>
      <w:r>
        <w:rPr>
          <w:b w:val="0"/>
          <w:i w:val="0"/>
          <w:sz w:val="18"/>
        </w:rPr>
        <w:t xml:space="preserve">Haans, R.F.J.; Pieters, C.; He, Z.-L. </w:t>
      </w:r>
      <w:r>
        <w:rPr>
          <w:b w:val="0"/>
          <w:i w:val="0"/>
          <w:sz w:val="18"/>
        </w:rPr>
        <w:t xml:space="preserve">Thinking about U: Theorizing and Testing U- and Inverted U-Shaped Relationships in Strategy Research. </w:t>
      </w:r>
      <w:r>
        <w:rPr>
          <w:b w:val="0"/>
          <w:i/>
          <w:sz w:val="18"/>
        </w:rPr>
        <w:t xml:space="preserve">Strateg. Manag. J. </w:t>
      </w:r>
      <w:r>
        <w:rPr>
          <w:b/>
          <w:i w:val="0"/>
          <w:sz w:val="18"/>
        </w:rPr>
        <w:t>2016</w:t>
      </w:r>
      <w:r>
        <w:rPr>
          <w:b w:val="0"/>
          <w:i w:val="0"/>
          <w:sz w:val="18"/>
        </w:rPr>
        <w:t xml:space="preserve">, </w:t>
      </w:r>
      <w:r>
        <w:rPr>
          <w:b w:val="0"/>
          <w:i/>
          <w:sz w:val="18"/>
        </w:rPr>
        <w:t>37</w:t>
      </w:r>
      <w:r>
        <w:rPr>
          <w:b w:val="0"/>
          <w:i w:val="0"/>
          <w:sz w:val="18"/>
        </w:rPr>
        <w:t>, 1177–1195.</w:t>
      </w:r>
      <w:r>
        <w:rPr>
          <w:b w:val="0"/>
          <w:i w:val="0"/>
          <w:sz w:val="18"/>
        </w:rPr>
        <w:t xml:space="preserve"> [CrossRef]</w:t>
      </w:r>
    </w:p>
    <w:p>
      <w:pPr>
        <w:pStyle w:val="MDPI32textnoindent"/>
        <w:spacing w:line="240" w:lineRule="auto" w:before="0" w:after="40"/>
        <w:ind w:left="425" w:hanging="425"/>
        <w:tabs>
          <w:tab w:val="left" w:pos="425"/>
        </w:tabs>
      </w:pPr>
      <w:bookmarkStart w:id="1045" w:name="_Ref_45"/>
      <w:r>
        <w:rPr>
          <w:b w:val="0"/>
          <w:sz w:val="18"/>
        </w:rPr>
        <w:t>45</w:t>
      </w:r>
      <w:bookmarkEnd w:id="1045"/>
      <w:r>
        <w:rPr>
          <w:sz w:val="18"/>
        </w:rPr>
        <w:t>.</w:t>
        <w:tab/>
      </w:r>
      <w:r>
        <w:rPr>
          <w:b w:val="0"/>
          <w:i w:val="0"/>
          <w:sz w:val="18"/>
        </w:rPr>
        <w:t xml:space="preserve">Levitt, B.; March, J.G. </w:t>
      </w:r>
      <w:r>
        <w:rPr>
          <w:b w:val="0"/>
          <w:i w:val="0"/>
          <w:sz w:val="18"/>
        </w:rPr>
        <w:t xml:space="preserve">Organizational Learning. </w:t>
      </w:r>
      <w:r>
        <w:rPr>
          <w:b w:val="0"/>
          <w:i/>
          <w:sz w:val="18"/>
        </w:rPr>
        <w:t xml:space="preserve">Annu. Rev. Sociol. </w:t>
      </w:r>
      <w:r>
        <w:rPr>
          <w:b/>
          <w:i w:val="0"/>
          <w:sz w:val="18"/>
        </w:rPr>
        <w:t>1988</w:t>
      </w:r>
      <w:r>
        <w:rPr>
          <w:b w:val="0"/>
          <w:i w:val="0"/>
          <w:sz w:val="18"/>
        </w:rPr>
        <w:t xml:space="preserve">, </w:t>
      </w:r>
      <w:r>
        <w:rPr>
          <w:b w:val="0"/>
          <w:i/>
          <w:sz w:val="18"/>
        </w:rPr>
        <w:t>14</w:t>
      </w:r>
      <w:r>
        <w:rPr>
          <w:b w:val="0"/>
          <w:i w:val="0"/>
          <w:sz w:val="18"/>
        </w:rPr>
        <w:t>, 319–340.</w:t>
      </w:r>
      <w:r>
        <w:rPr>
          <w:b w:val="0"/>
          <w:i w:val="0"/>
          <w:sz w:val="18"/>
        </w:rPr>
        <w:t xml:space="preserve"> [CrossRef]</w:t>
      </w:r>
    </w:p>
    <w:p>
      <w:pPr>
        <w:pStyle w:val="MDPI32textnoindent"/>
        <w:spacing w:line="240" w:lineRule="auto" w:before="0" w:after="40"/>
        <w:ind w:left="425" w:hanging="425"/>
        <w:tabs>
          <w:tab w:val="left" w:pos="425"/>
        </w:tabs>
      </w:pPr>
      <w:bookmarkStart w:id="1046" w:name="_Ref_46"/>
      <w:r>
        <w:rPr>
          <w:b w:val="0"/>
          <w:sz w:val="18"/>
        </w:rPr>
        <w:t>46</w:t>
      </w:r>
      <w:bookmarkEnd w:id="1046"/>
      <w:r>
        <w:rPr>
          <w:sz w:val="18"/>
        </w:rPr>
        <w:t>.</w:t>
        <w:tab/>
      </w:r>
      <w:r>
        <w:rPr>
          <w:b w:val="0"/>
          <w:i w:val="0"/>
          <w:sz w:val="18"/>
        </w:rPr>
        <w:t xml:space="preserve">March, J.G. </w:t>
      </w:r>
      <w:r>
        <w:rPr>
          <w:b w:val="0"/>
          <w:i w:val="0"/>
          <w:sz w:val="18"/>
        </w:rPr>
        <w:t xml:space="preserve">Exploration and Exploitation in Organizational Learning. </w:t>
      </w:r>
      <w:r>
        <w:rPr>
          <w:b w:val="0"/>
          <w:i/>
          <w:sz w:val="18"/>
        </w:rPr>
        <w:t xml:space="preserve">Organ. Sci. </w:t>
      </w:r>
      <w:r>
        <w:rPr>
          <w:b/>
          <w:i w:val="0"/>
          <w:sz w:val="18"/>
        </w:rPr>
        <w:t>1991</w:t>
      </w:r>
      <w:r>
        <w:rPr>
          <w:b w:val="0"/>
          <w:i w:val="0"/>
          <w:sz w:val="18"/>
        </w:rPr>
        <w:t xml:space="preserve">, </w:t>
      </w:r>
      <w:r>
        <w:rPr>
          <w:b w:val="0"/>
          <w:i/>
          <w:sz w:val="18"/>
        </w:rPr>
        <w:t>2</w:t>
      </w:r>
      <w:r>
        <w:rPr>
          <w:b w:val="0"/>
          <w:i w:val="0"/>
          <w:sz w:val="18"/>
        </w:rPr>
        <w:t>, 71–87.</w:t>
      </w:r>
      <w:r>
        <w:rPr>
          <w:b w:val="0"/>
          <w:i w:val="0"/>
          <w:sz w:val="18"/>
        </w:rPr>
        <w:t xml:space="preserve"> [CrossRef]</w:t>
      </w:r>
    </w:p>
    <w:p>
      <w:pPr>
        <w:pStyle w:val="MDPI32textnoindent"/>
        <w:spacing w:line="240" w:lineRule="auto" w:before="0" w:after="40"/>
        <w:ind w:left="425" w:hanging="425"/>
        <w:tabs>
          <w:tab w:val="left" w:pos="425"/>
        </w:tabs>
      </w:pPr>
      <w:bookmarkStart w:id="1047" w:name="_Ref_47"/>
      <w:r>
        <w:rPr>
          <w:b w:val="0"/>
          <w:sz w:val="18"/>
        </w:rPr>
        <w:t>47</w:t>
      </w:r>
      <w:bookmarkEnd w:id="1047"/>
      <w:r>
        <w:rPr>
          <w:sz w:val="18"/>
        </w:rPr>
        <w:t>.</w:t>
        <w:tab/>
      </w:r>
      <w:r>
        <w:rPr>
          <w:b w:val="0"/>
          <w:i w:val="0"/>
          <w:sz w:val="18"/>
        </w:rPr>
        <w:t xml:space="preserve">Nonaka, I. </w:t>
      </w:r>
      <w:r>
        <w:rPr>
          <w:b w:val="0"/>
          <w:i w:val="0"/>
          <w:sz w:val="18"/>
        </w:rPr>
        <w:t xml:space="preserve">A Dynamic Theory of Organizational Knowledge Creation. </w:t>
      </w:r>
      <w:r>
        <w:rPr>
          <w:b w:val="0"/>
          <w:i/>
          <w:sz w:val="18"/>
        </w:rPr>
        <w:t xml:space="preserve">Organ. Sci. </w:t>
      </w:r>
      <w:r>
        <w:rPr>
          <w:b/>
          <w:i w:val="0"/>
          <w:sz w:val="18"/>
        </w:rPr>
        <w:t>1994</w:t>
      </w:r>
      <w:r>
        <w:rPr>
          <w:b w:val="0"/>
          <w:i w:val="0"/>
          <w:sz w:val="18"/>
        </w:rPr>
        <w:t xml:space="preserve">, </w:t>
      </w:r>
      <w:r>
        <w:rPr>
          <w:b w:val="0"/>
          <w:i/>
          <w:sz w:val="18"/>
        </w:rPr>
        <w:t>5</w:t>
      </w:r>
      <w:r>
        <w:rPr>
          <w:b w:val="0"/>
          <w:i w:val="0"/>
          <w:sz w:val="18"/>
        </w:rPr>
        <w:t>, 14–37.</w:t>
      </w:r>
      <w:r>
        <w:rPr>
          <w:b w:val="0"/>
          <w:i w:val="0"/>
          <w:sz w:val="18"/>
        </w:rPr>
        <w:t xml:space="preserve"> [CrossRef]</w:t>
      </w:r>
    </w:p>
    <w:p>
      <w:pPr>
        <w:pStyle w:val="MDPI32textnoindent"/>
        <w:spacing w:line="240" w:lineRule="auto" w:before="0" w:after="40"/>
        <w:ind w:left="425" w:hanging="425"/>
        <w:tabs>
          <w:tab w:val="left" w:pos="425"/>
        </w:tabs>
      </w:pPr>
      <w:bookmarkStart w:id="1048" w:name="_Ref_48"/>
      <w:r>
        <w:rPr>
          <w:b w:val="0"/>
          <w:sz w:val="18"/>
        </w:rPr>
        <w:t>48</w:t>
      </w:r>
      <w:bookmarkEnd w:id="1048"/>
      <w:r>
        <w:rPr>
          <w:sz w:val="18"/>
        </w:rPr>
        <w:t>.</w:t>
        <w:tab/>
      </w:r>
      <w:r>
        <w:rPr>
          <w:b w:val="0"/>
          <w:i w:val="0"/>
          <w:sz w:val="18"/>
        </w:rPr>
        <w:t xml:space="preserve">Teece, D.J.; Pisano, G.; Shuen, A. </w:t>
      </w:r>
      <w:r>
        <w:rPr>
          <w:b w:val="0"/>
          <w:i w:val="0"/>
          <w:sz w:val="18"/>
        </w:rPr>
        <w:t xml:space="preserve">Dynamic Capabilities and Strategic Management. </w:t>
      </w:r>
      <w:r>
        <w:rPr>
          <w:b w:val="0"/>
          <w:i/>
          <w:sz w:val="18"/>
        </w:rPr>
        <w:t xml:space="preserve">Strateg. Manag. J. </w:t>
      </w:r>
      <w:r>
        <w:rPr>
          <w:b/>
          <w:i w:val="0"/>
          <w:sz w:val="18"/>
        </w:rPr>
        <w:t>1997</w:t>
      </w:r>
      <w:r>
        <w:rPr>
          <w:b w:val="0"/>
          <w:i w:val="0"/>
          <w:sz w:val="18"/>
        </w:rPr>
        <w:t xml:space="preserve">, </w:t>
      </w:r>
      <w:r>
        <w:rPr>
          <w:b w:val="0"/>
          <w:i/>
          <w:sz w:val="18"/>
        </w:rPr>
        <w:t>18</w:t>
      </w:r>
      <w:r>
        <w:rPr>
          <w:b w:val="0"/>
          <w:i w:val="0"/>
          <w:sz w:val="18"/>
        </w:rPr>
        <w:t>, 509–533.</w:t>
      </w:r>
      <w:r>
        <w:rPr>
          <w:b w:val="0"/>
          <w:i w:val="0"/>
          <w:sz w:val="18"/>
        </w:rPr>
        <w:t xml:space="preserve"> [CrossRef]</w:t>
      </w:r>
    </w:p>
    <w:p>
      <w:pPr>
        <w:pStyle w:val="MDPI32textnoindent"/>
        <w:spacing w:line="240" w:lineRule="auto" w:before="0" w:after="40"/>
        <w:ind w:left="425" w:hanging="425"/>
        <w:tabs>
          <w:tab w:val="left" w:pos="425"/>
        </w:tabs>
      </w:pPr>
      <w:bookmarkStart w:id="1049" w:name="_Ref_49"/>
      <w:r>
        <w:rPr>
          <w:b w:val="0"/>
          <w:sz w:val="18"/>
        </w:rPr>
        <w:t>49</w:t>
      </w:r>
      <w:bookmarkEnd w:id="1049"/>
      <w:r>
        <w:rPr>
          <w:sz w:val="18"/>
        </w:rPr>
        <w:t>.</w:t>
        <w:tab/>
      </w:r>
      <w:r>
        <w:rPr>
          <w:b w:val="0"/>
          <w:i w:val="0"/>
          <w:sz w:val="18"/>
        </w:rPr>
        <w:t xml:space="preserve">Lave, J.; Wenger, E. </w:t>
      </w:r>
      <w:r>
        <w:rPr>
          <w:b w:val="0"/>
          <w:i/>
          <w:sz w:val="18"/>
        </w:rPr>
        <w:t>Situated Learning: Legitimate Peripheral Participation</w:t>
      </w:r>
      <w:r>
        <w:rPr>
          <w:b w:val="0"/>
          <w:i w:val="0"/>
          <w:sz w:val="18"/>
        </w:rPr>
        <w:t xml:space="preserve">; </w:t>
      </w:r>
      <w:r>
        <w:rPr>
          <w:b w:val="0"/>
          <w:i w:val="0"/>
          <w:sz w:val="18"/>
        </w:rPr>
        <w:t>Cambridge University Press: Cambridge, UK, 1991.</w:t>
      </w:r>
    </w:p>
    <w:p>
      <w:pPr>
        <w:pStyle w:val="MDPI32textnoindent"/>
        <w:spacing w:line="240" w:lineRule="auto" w:before="0" w:after="40"/>
        <w:ind w:left="425" w:hanging="425"/>
        <w:tabs>
          <w:tab w:val="left" w:pos="425"/>
        </w:tabs>
      </w:pPr>
      <w:bookmarkStart w:id="1050" w:name="_Ref_50"/>
      <w:r>
        <w:rPr>
          <w:b w:val="0"/>
          <w:sz w:val="18"/>
        </w:rPr>
        <w:t>50</w:t>
      </w:r>
      <w:bookmarkEnd w:id="1050"/>
      <w:r>
        <w:rPr>
          <w:sz w:val="18"/>
        </w:rPr>
        <w:t>.</w:t>
        <w:tab/>
      </w:r>
      <w:r>
        <w:rPr>
          <w:b w:val="0"/>
          <w:i w:val="0"/>
          <w:sz w:val="18"/>
        </w:rPr>
        <w:t xml:space="preserve">Janssen, M. </w:t>
      </w:r>
      <w:r>
        <w:rPr>
          <w:b w:val="0"/>
          <w:i w:val="0"/>
          <w:sz w:val="18"/>
        </w:rPr>
        <w:t xml:space="preserve">Responsible Governance of Generative AI: Conceptualizing GenAI as Complex Adaptive Systems. </w:t>
      </w:r>
      <w:r>
        <w:rPr>
          <w:b w:val="0"/>
          <w:i/>
          <w:sz w:val="18"/>
        </w:rPr>
        <w:t xml:space="preserve">Policy Soc. </w:t>
      </w:r>
      <w:r>
        <w:rPr>
          <w:b/>
          <w:i w:val="0"/>
          <w:sz w:val="18"/>
        </w:rPr>
        <w:t>2025</w:t>
      </w:r>
      <w:r>
        <w:rPr>
          <w:b w:val="0"/>
          <w:i w:val="0"/>
          <w:sz w:val="18"/>
        </w:rPr>
        <w:t xml:space="preserve">, </w:t>
      </w:r>
      <w:r>
        <w:rPr>
          <w:b w:val="0"/>
          <w:i/>
          <w:sz w:val="18"/>
        </w:rPr>
        <w:t>44</w:t>
      </w:r>
      <w:r>
        <w:rPr>
          <w:b w:val="0"/>
          <w:i w:val="0"/>
          <w:sz w:val="18"/>
        </w:rPr>
        <w:t>, 38–51.</w:t>
      </w:r>
      <w:r>
        <w:rPr>
          <w:b w:val="0"/>
          <w:i w:val="0"/>
          <w:sz w:val="18"/>
        </w:rPr>
        <w:t xml:space="preserve"> [CrossRef]</w:t>
      </w:r>
    </w:p>
    <w:p>
      <w:pPr>
        <w:pStyle w:val="MDPI32textnoindent"/>
        <w:spacing w:line="240" w:lineRule="auto" w:before="0" w:after="40"/>
        <w:ind w:left="425" w:hanging="425"/>
        <w:tabs>
          <w:tab w:val="left" w:pos="425"/>
        </w:tabs>
      </w:pPr>
      <w:bookmarkStart w:id="1051" w:name="_Ref_51"/>
      <w:r>
        <w:rPr>
          <w:b w:val="0"/>
          <w:sz w:val="18"/>
        </w:rPr>
        <w:t>51</w:t>
      </w:r>
      <w:bookmarkEnd w:id="1051"/>
      <w:r>
        <w:rPr>
          <w:sz w:val="18"/>
        </w:rPr>
        <w:t>.</w:t>
        <w:tab/>
      </w:r>
      <w:r>
        <w:rPr>
          <w:b w:val="0"/>
          <w:i w:val="0"/>
          <w:sz w:val="18"/>
        </w:rPr>
        <w:t xml:space="preserve">Dwivedi, Y.K.; Kshetri, N.; Hughes, L.; Slade, E.L.; Jeyaraj, A.; Kar, A.K.; Baabdullah, A.M.; Koohang, A.; Raghavan, V.; Ahuja, M.; et al. </w:t>
      </w:r>
      <w:r>
        <w:rPr>
          <w:b w:val="0"/>
          <w:i w:val="0"/>
          <w:sz w:val="18"/>
        </w:rPr>
        <w:t xml:space="preserve">Opinion Paper: “So What If ChatGPT Wrote It?” Multidisciplinary Perspectives on Opportunities, Challenges and Implications of Generative Conversational AI for Research, Practice and Policy. </w:t>
      </w:r>
      <w:r>
        <w:rPr>
          <w:b w:val="0"/>
          <w:i/>
          <w:sz w:val="18"/>
        </w:rPr>
        <w:t xml:space="preserve">Int. J. Inf. Manag. </w:t>
      </w:r>
      <w:r>
        <w:rPr>
          <w:b/>
          <w:i w:val="0"/>
          <w:sz w:val="18"/>
        </w:rPr>
        <w:t>2023</w:t>
      </w:r>
      <w:r>
        <w:rPr>
          <w:b w:val="0"/>
          <w:i w:val="0"/>
          <w:sz w:val="18"/>
        </w:rPr>
        <w:t xml:space="preserve">, </w:t>
      </w:r>
      <w:r>
        <w:rPr>
          <w:b w:val="0"/>
          <w:i/>
          <w:sz w:val="18"/>
        </w:rPr>
        <w:t>71</w:t>
      </w:r>
      <w:r>
        <w:rPr>
          <w:b w:val="0"/>
          <w:i w:val="0"/>
          <w:sz w:val="18"/>
        </w:rPr>
        <w:t>, 102642.</w:t>
      </w:r>
      <w:r>
        <w:rPr>
          <w:b w:val="0"/>
          <w:i w:val="0"/>
          <w:sz w:val="18"/>
        </w:rPr>
        <w:t xml:space="preserve"> [CrossRef]</w:t>
      </w:r>
    </w:p>
    <w:p>
      <w:pPr>
        <w:pStyle w:val="MDPI32textnoindent"/>
        <w:spacing w:line="240" w:lineRule="auto" w:before="0" w:after="40"/>
        <w:ind w:left="425" w:hanging="425"/>
        <w:tabs>
          <w:tab w:val="left" w:pos="425"/>
        </w:tabs>
      </w:pPr>
      <w:bookmarkStart w:id="1052" w:name="_Ref_52"/>
      <w:r>
        <w:rPr>
          <w:b w:val="0"/>
          <w:sz w:val="18"/>
        </w:rPr>
        <w:t>52</w:t>
      </w:r>
      <w:bookmarkEnd w:id="1052"/>
      <w:r>
        <w:rPr>
          <w:sz w:val="18"/>
        </w:rPr>
        <w:t>.</w:t>
        <w:tab/>
      </w:r>
      <w:r>
        <w:rPr>
          <w:b w:val="0"/>
          <w:i w:val="0"/>
          <w:sz w:val="18"/>
        </w:rPr>
        <w:t xml:space="preserve">Xue, F.; Jin, S. </w:t>
      </w:r>
      <w:r>
        <w:rPr>
          <w:b w:val="0"/>
          <w:i w:val="0"/>
          <w:sz w:val="18"/>
        </w:rPr>
        <w:t xml:space="preserve">Artificial Intelligence Adoption, Innovation Efficiency, and Governance Mechanisms: Evidence from China. </w:t>
      </w:r>
      <w:r>
        <w:rPr>
          <w:b w:val="0"/>
          <w:i/>
          <w:sz w:val="18"/>
        </w:rPr>
        <w:t xml:space="preserve">Systems </w:t>
      </w:r>
      <w:r>
        <w:rPr>
          <w:b/>
          <w:i w:val="0"/>
          <w:sz w:val="18"/>
        </w:rPr>
        <w:t>2025</w:t>
      </w:r>
      <w:r>
        <w:rPr>
          <w:b w:val="0"/>
          <w:i w:val="0"/>
          <w:sz w:val="18"/>
        </w:rPr>
        <w:t xml:space="preserve">, </w:t>
      </w:r>
      <w:r>
        <w:rPr>
          <w:b w:val="0"/>
          <w:i/>
          <w:sz w:val="18"/>
        </w:rPr>
        <w:t>13</w:t>
      </w:r>
      <w:r>
        <w:rPr>
          <w:b w:val="0"/>
          <w:i w:val="0"/>
          <w:sz w:val="18"/>
        </w:rPr>
        <w:t>, 1062.</w:t>
      </w:r>
      <w:r>
        <w:rPr>
          <w:b w:val="0"/>
          <w:i w:val="0"/>
          <w:sz w:val="18"/>
        </w:rPr>
        <w:t xml:space="preserve"> [CrossRef]</w:t>
      </w:r>
    </w:p>
    <w:p>
      <w:pPr>
        <w:pStyle w:val="MDPI32textnoindent"/>
        <w:spacing w:line="240" w:lineRule="auto" w:before="0" w:after="40"/>
        <w:ind w:left="425" w:hanging="425"/>
        <w:tabs>
          <w:tab w:val="left" w:pos="425"/>
        </w:tabs>
      </w:pPr>
      <w:bookmarkStart w:id="1053" w:name="_Ref_53"/>
      <w:r>
        <w:rPr>
          <w:b w:val="0"/>
          <w:sz w:val="18"/>
        </w:rPr>
        <w:t>53</w:t>
      </w:r>
      <w:bookmarkEnd w:id="1053"/>
      <w:r>
        <w:rPr>
          <w:sz w:val="18"/>
        </w:rPr>
        <w:t>.</w:t>
        <w:tab/>
      </w:r>
      <w:r>
        <w:rPr>
          <w:b w:val="0"/>
          <w:i w:val="0"/>
          <w:sz w:val="18"/>
        </w:rPr>
        <w:t xml:space="preserve">Machucho, R.; Ortiz, D. </w:t>
      </w:r>
      <w:r>
        <w:rPr>
          <w:b w:val="0"/>
          <w:i w:val="0"/>
          <w:sz w:val="18"/>
        </w:rPr>
        <w:t xml:space="preserve">The Impacts of Artificial Intelligence on Business Innovation: A Comprehensive Review of Applications, Organizational Challenges, and Ethical Considerations. </w:t>
      </w:r>
      <w:r>
        <w:rPr>
          <w:b w:val="0"/>
          <w:i/>
          <w:sz w:val="18"/>
        </w:rPr>
        <w:t xml:space="preserve">Systems </w:t>
      </w:r>
      <w:r>
        <w:rPr>
          <w:b/>
          <w:i w:val="0"/>
          <w:sz w:val="18"/>
        </w:rPr>
        <w:t>2025</w:t>
      </w:r>
      <w:r>
        <w:rPr>
          <w:b w:val="0"/>
          <w:i w:val="0"/>
          <w:sz w:val="18"/>
        </w:rPr>
        <w:t xml:space="preserve">, </w:t>
      </w:r>
      <w:r>
        <w:rPr>
          <w:b w:val="0"/>
          <w:i/>
          <w:sz w:val="18"/>
        </w:rPr>
        <w:t>13</w:t>
      </w:r>
      <w:r>
        <w:rPr>
          <w:b w:val="0"/>
          <w:i w:val="0"/>
          <w:sz w:val="18"/>
        </w:rPr>
        <w:t>, 264.</w:t>
      </w:r>
      <w:r>
        <w:rPr>
          <w:b w:val="0"/>
          <w:i w:val="0"/>
          <w:sz w:val="18"/>
        </w:rPr>
        <w:t xml:space="preserve"> [CrossRef]</w:t>
      </w:r>
    </w:p>
    <w:p>
      <w:pPr>
        <w:pStyle w:val="MDPI32textnoindent"/>
        <w:spacing w:line="240" w:lineRule="auto" w:before="0" w:after="40"/>
        <w:ind w:left="425" w:hanging="425"/>
        <w:tabs>
          <w:tab w:val="left" w:pos="425"/>
        </w:tabs>
      </w:pPr>
      <w:bookmarkStart w:id="1054" w:name="_Ref_54"/>
      <w:r>
        <w:rPr>
          <w:b w:val="0"/>
          <w:sz w:val="18"/>
        </w:rPr>
        <w:t>54</w:t>
      </w:r>
      <w:bookmarkEnd w:id="1054"/>
      <w:r>
        <w:rPr>
          <w:sz w:val="18"/>
        </w:rPr>
        <w:t>.</w:t>
        <w:tab/>
      </w:r>
      <w:r>
        <w:rPr>
          <w:b w:val="0"/>
          <w:i w:val="0"/>
          <w:sz w:val="18"/>
        </w:rPr>
        <w:t xml:space="preserve">Xue, X.; Li, L.; Chen, J.; Luo, T. </w:t>
      </w:r>
      <w:r>
        <w:rPr>
          <w:b w:val="0"/>
          <w:i w:val="0"/>
          <w:sz w:val="18"/>
        </w:rPr>
        <w:t xml:space="preserve">How Does Digital Technology Innovation Quality Empower Corporate ESG Performance? The Roles of Digital Transformation and Digital Technology Diffusion. </w:t>
      </w:r>
      <w:r>
        <w:rPr>
          <w:b w:val="0"/>
          <w:i/>
          <w:sz w:val="18"/>
        </w:rPr>
        <w:t xml:space="preserve">Systems </w:t>
      </w:r>
      <w:r>
        <w:rPr>
          <w:b/>
          <w:i w:val="0"/>
          <w:sz w:val="18"/>
        </w:rPr>
        <w:t>2025</w:t>
      </w:r>
      <w:r>
        <w:rPr>
          <w:b w:val="0"/>
          <w:i w:val="0"/>
          <w:sz w:val="18"/>
        </w:rPr>
        <w:t xml:space="preserve">, </w:t>
      </w:r>
      <w:r>
        <w:rPr>
          <w:b w:val="0"/>
          <w:i/>
          <w:sz w:val="18"/>
        </w:rPr>
        <w:t>13</w:t>
      </w:r>
      <w:r>
        <w:rPr>
          <w:b w:val="0"/>
          <w:i w:val="0"/>
          <w:sz w:val="18"/>
        </w:rPr>
        <w:t>, 929.</w:t>
      </w:r>
      <w:r>
        <w:rPr>
          <w:b w:val="0"/>
          <w:i w:val="0"/>
          <w:sz w:val="18"/>
        </w:rPr>
        <w:t xml:space="preserve"> [CrossRef]</w:t>
      </w:r>
    </w:p>
    <w:p>
      <w:pPr>
        <w:pStyle w:val="MDPI32textnoindent"/>
        <w:spacing w:line="240" w:lineRule="auto" w:before="0" w:after="40"/>
        <w:ind w:left="425" w:hanging="425"/>
        <w:tabs>
          <w:tab w:val="left" w:pos="425"/>
        </w:tabs>
      </w:pPr>
      <w:bookmarkStart w:id="1055" w:name="_Ref_55"/>
      <w:r>
        <w:rPr>
          <w:b w:val="0"/>
          <w:sz w:val="18"/>
        </w:rPr>
        <w:t>55</w:t>
      </w:r>
      <w:bookmarkEnd w:id="1055"/>
      <w:r>
        <w:rPr>
          <w:sz w:val="18"/>
        </w:rPr>
        <w:t>.</w:t>
        <w:tab/>
      </w:r>
      <w:r>
        <w:rPr>
          <w:b w:val="0"/>
          <w:i w:val="0"/>
          <w:sz w:val="18"/>
        </w:rPr>
        <w:t xml:space="preserve">Kahn, L.B. </w:t>
      </w:r>
      <w:r>
        <w:rPr>
          <w:b w:val="0"/>
          <w:i w:val="0"/>
          <w:sz w:val="18"/>
        </w:rPr>
        <w:t xml:space="preserve">The Long-Term Labor Market Consequences of Graduating from College in a Bad Economy. </w:t>
      </w:r>
      <w:r>
        <w:rPr>
          <w:b w:val="0"/>
          <w:i/>
          <w:sz w:val="18"/>
        </w:rPr>
        <w:t xml:space="preserve">Labour Econ. </w:t>
      </w:r>
      <w:r>
        <w:rPr>
          <w:b/>
          <w:i w:val="0"/>
          <w:sz w:val="18"/>
        </w:rPr>
        <w:t>2010</w:t>
      </w:r>
      <w:r>
        <w:rPr>
          <w:b w:val="0"/>
          <w:i w:val="0"/>
          <w:sz w:val="18"/>
        </w:rPr>
        <w:t xml:space="preserve">, </w:t>
      </w:r>
      <w:r>
        <w:rPr>
          <w:b w:val="0"/>
          <w:i/>
          <w:sz w:val="18"/>
        </w:rPr>
        <w:t>17</w:t>
      </w:r>
      <w:r>
        <w:rPr>
          <w:b w:val="0"/>
          <w:i w:val="0"/>
          <w:sz w:val="18"/>
        </w:rPr>
        <w:t>, 303–316.</w:t>
      </w:r>
      <w:r>
        <w:rPr>
          <w:b w:val="0"/>
          <w:i w:val="0"/>
          <w:sz w:val="18"/>
        </w:rPr>
        <w:t xml:space="preserve"> [CrossRef]</w:t>
      </w:r>
    </w:p>
    <w:p>
      <w:pPr>
        <w:pStyle w:val="MDPI32textnoindent"/>
        <w:spacing w:line="240" w:lineRule="auto" w:before="0" w:after="40"/>
        <w:ind w:left="425" w:hanging="425"/>
        <w:tabs>
          <w:tab w:val="left" w:pos="425"/>
        </w:tabs>
      </w:pPr>
      <w:bookmarkStart w:id="1056" w:name="_Ref_56"/>
      <w:r>
        <w:rPr>
          <w:b w:val="0"/>
          <w:sz w:val="18"/>
        </w:rPr>
        <w:t>56</w:t>
      </w:r>
      <w:bookmarkEnd w:id="1056"/>
      <w:r>
        <w:rPr>
          <w:sz w:val="18"/>
        </w:rPr>
        <w:t>.</w:t>
        <w:tab/>
      </w:r>
      <w:r>
        <w:rPr>
          <w:b w:val="0"/>
          <w:i w:val="0"/>
          <w:sz w:val="18"/>
        </w:rPr>
        <w:t xml:space="preserve">Schwandt, H.; von Wachter, T. </w:t>
      </w:r>
      <w:r>
        <w:rPr>
          <w:b w:val="0"/>
          <w:i w:val="0"/>
          <w:sz w:val="18"/>
        </w:rPr>
        <w:t xml:space="preserve">Unlucky Cohorts: Estimating the Long-Term Effects of Entering the Labor Market in a Recession in Large Cross-Sectional Data Sets. </w:t>
      </w:r>
      <w:r>
        <w:rPr>
          <w:b w:val="0"/>
          <w:i/>
          <w:sz w:val="18"/>
        </w:rPr>
        <w:t xml:space="preserve">J. Labor Econ. </w:t>
      </w:r>
      <w:r>
        <w:rPr>
          <w:b/>
          <w:i w:val="0"/>
          <w:sz w:val="18"/>
        </w:rPr>
        <w:t>2019</w:t>
      </w:r>
      <w:r>
        <w:rPr>
          <w:b w:val="0"/>
          <w:i w:val="0"/>
          <w:sz w:val="18"/>
        </w:rPr>
        <w:t xml:space="preserve">, </w:t>
      </w:r>
      <w:r>
        <w:rPr>
          <w:b w:val="0"/>
          <w:i/>
          <w:sz w:val="18"/>
        </w:rPr>
        <w:t>37</w:t>
      </w:r>
      <w:r>
        <w:rPr>
          <w:b w:val="0"/>
          <w:i w:val="0"/>
          <w:sz w:val="18"/>
        </w:rPr>
        <w:t>, S161–S198.</w:t>
      </w:r>
      <w:r>
        <w:rPr>
          <w:b w:val="0"/>
          <w:i w:val="0"/>
          <w:sz w:val="18"/>
        </w:rPr>
        <w:t xml:space="preserve"> [CrossRef]</w:t>
      </w:r>
    </w:p>
    <w:p>
      <w:pPr>
        <w:pStyle w:val="MDPI32textnoindent"/>
        <w:spacing w:line="240" w:lineRule="auto" w:before="0" w:after="40"/>
        <w:ind w:left="425" w:hanging="425"/>
        <w:tabs>
          <w:tab w:val="left" w:pos="425"/>
        </w:tabs>
      </w:pPr>
      <w:bookmarkStart w:id="1057" w:name="_Ref_57"/>
      <w:r>
        <w:rPr>
          <w:b w:val="0"/>
          <w:sz w:val="18"/>
        </w:rPr>
        <w:t>57</w:t>
      </w:r>
      <w:bookmarkEnd w:id="1057"/>
      <w:r>
        <w:rPr>
          <w:sz w:val="18"/>
        </w:rPr>
        <w:t>.</w:t>
        <w:tab/>
      </w:r>
      <w:r>
        <w:rPr>
          <w:b w:val="0"/>
          <w:i w:val="0"/>
          <w:sz w:val="18"/>
        </w:rPr>
        <w:t xml:space="preserve">Bertrand, M.; Duflo, E.; Mullainathan, S. </w:t>
      </w:r>
      <w:r>
        <w:rPr>
          <w:b w:val="0"/>
          <w:i w:val="0"/>
          <w:sz w:val="18"/>
        </w:rPr>
        <w:t xml:space="preserve">How Much Should We Trust Differences-in-Differences Estimates? </w:t>
      </w:r>
      <w:r>
        <w:rPr>
          <w:b w:val="0"/>
          <w:i/>
          <w:sz w:val="18"/>
        </w:rPr>
        <w:t xml:space="preserve">Q. J. Econ. </w:t>
      </w:r>
      <w:r>
        <w:rPr>
          <w:b/>
          <w:i w:val="0"/>
          <w:sz w:val="18"/>
        </w:rPr>
        <w:t>2004</w:t>
      </w:r>
      <w:r>
        <w:rPr>
          <w:b w:val="0"/>
          <w:i w:val="0"/>
          <w:sz w:val="18"/>
        </w:rPr>
        <w:t xml:space="preserve">, </w:t>
      </w:r>
      <w:r>
        <w:rPr>
          <w:b w:val="0"/>
          <w:i/>
          <w:sz w:val="18"/>
        </w:rPr>
        <w:t>119</w:t>
      </w:r>
      <w:r>
        <w:rPr>
          <w:b w:val="0"/>
          <w:i w:val="0"/>
          <w:sz w:val="18"/>
        </w:rPr>
        <w:t>, 249–275.</w:t>
      </w:r>
      <w:r>
        <w:rPr>
          <w:b w:val="0"/>
          <w:i w:val="0"/>
          <w:sz w:val="18"/>
        </w:rPr>
        <w:t xml:space="preserve"> [CrossRef]</w:t>
      </w:r>
    </w:p>
    <w:p>
      <w:pPr>
        <w:pStyle w:val="MDPI32textnoindent"/>
        <w:spacing w:line="240" w:lineRule="auto" w:before="0" w:after="40"/>
        <w:ind w:left="425" w:hanging="425"/>
        <w:tabs>
          <w:tab w:val="left" w:pos="425"/>
        </w:tabs>
      </w:pPr>
      <w:bookmarkStart w:id="1058" w:name="_Ref_58"/>
      <w:r>
        <w:rPr>
          <w:b w:val="0"/>
          <w:sz w:val="18"/>
        </w:rPr>
        <w:t>58</w:t>
      </w:r>
      <w:bookmarkEnd w:id="1058"/>
      <w:r>
        <w:rPr>
          <w:sz w:val="18"/>
        </w:rPr>
        <w:t>.</w:t>
        <w:tab/>
      </w:r>
      <w:r>
        <w:rPr>
          <w:b w:val="0"/>
          <w:i w:val="0"/>
          <w:sz w:val="18"/>
        </w:rPr>
        <w:t xml:space="preserve">Goodman-Bacon, A. </w:t>
      </w:r>
      <w:r>
        <w:rPr>
          <w:b w:val="0"/>
          <w:i w:val="0"/>
          <w:sz w:val="18"/>
        </w:rPr>
        <w:t xml:space="preserve">Difference-in-Differences with Variation in Treatment Timing. </w:t>
      </w:r>
      <w:r>
        <w:rPr>
          <w:b w:val="0"/>
          <w:i/>
          <w:sz w:val="18"/>
        </w:rPr>
        <w:t xml:space="preserve">J. Econom. </w:t>
      </w:r>
      <w:r>
        <w:rPr>
          <w:b/>
          <w:i w:val="0"/>
          <w:sz w:val="18"/>
        </w:rPr>
        <w:t>2021</w:t>
      </w:r>
      <w:r>
        <w:rPr>
          <w:b w:val="0"/>
          <w:i w:val="0"/>
          <w:sz w:val="18"/>
        </w:rPr>
        <w:t xml:space="preserve">, </w:t>
      </w:r>
      <w:r>
        <w:rPr>
          <w:b w:val="0"/>
          <w:i/>
          <w:sz w:val="18"/>
        </w:rPr>
        <w:t>225</w:t>
      </w:r>
      <w:r>
        <w:rPr>
          <w:b w:val="0"/>
          <w:i w:val="0"/>
          <w:sz w:val="18"/>
        </w:rPr>
        <w:t>, 254–277.</w:t>
      </w:r>
      <w:r>
        <w:rPr>
          <w:b w:val="0"/>
          <w:i w:val="0"/>
          <w:sz w:val="18"/>
        </w:rPr>
        <w:t xml:space="preserve"> [CrossRef]</w:t>
      </w:r>
    </w:p>
    <w:p>
      <w:pPr>
        <w:pStyle w:val="MDPI32textnoindent"/>
        <w:spacing w:line="240" w:lineRule="auto" w:before="0" w:after="40"/>
        <w:ind w:left="425" w:hanging="425"/>
        <w:tabs>
          <w:tab w:val="left" w:pos="425"/>
        </w:tabs>
      </w:pPr>
      <w:bookmarkStart w:id="1059" w:name="_Ref_59"/>
      <w:r>
        <w:rPr>
          <w:b w:val="0"/>
          <w:sz w:val="18"/>
        </w:rPr>
        <w:t>59</w:t>
      </w:r>
      <w:bookmarkEnd w:id="1059"/>
      <w:r>
        <w:rPr>
          <w:sz w:val="18"/>
        </w:rPr>
        <w:t>.</w:t>
        <w:tab/>
      </w:r>
      <w:r>
        <w:rPr>
          <w:b w:val="0"/>
          <w:i w:val="0"/>
          <w:sz w:val="18"/>
        </w:rPr>
        <w:t xml:space="preserve">de Chaisemartin, C.; D'Haultfœuille, X. </w:t>
      </w:r>
      <w:r>
        <w:rPr>
          <w:b w:val="0"/>
          <w:i w:val="0"/>
          <w:sz w:val="18"/>
        </w:rPr>
        <w:t xml:space="preserve">Two-Way Fixed Effects Estimators with Heterogeneous Treatment Effects. </w:t>
      </w:r>
      <w:r>
        <w:rPr>
          <w:b w:val="0"/>
          <w:i/>
          <w:sz w:val="18"/>
        </w:rPr>
        <w:t xml:space="preserve">Am. Econ. Rev. </w:t>
      </w:r>
      <w:r>
        <w:rPr>
          <w:b/>
          <w:i w:val="0"/>
          <w:sz w:val="18"/>
        </w:rPr>
        <w:t>2020</w:t>
      </w:r>
      <w:r>
        <w:rPr>
          <w:b w:val="0"/>
          <w:i w:val="0"/>
          <w:sz w:val="18"/>
        </w:rPr>
        <w:t xml:space="preserve">, </w:t>
      </w:r>
      <w:r>
        <w:rPr>
          <w:b w:val="0"/>
          <w:i/>
          <w:sz w:val="18"/>
        </w:rPr>
        <w:t>110</w:t>
      </w:r>
      <w:r>
        <w:rPr>
          <w:b w:val="0"/>
          <w:i w:val="0"/>
          <w:sz w:val="18"/>
        </w:rPr>
        <w:t>, 2964–2996.</w:t>
      </w:r>
      <w:r>
        <w:rPr>
          <w:b w:val="0"/>
          <w:i w:val="0"/>
          <w:sz w:val="18"/>
        </w:rPr>
        <w:t xml:space="preserve"> [CrossRef]</w:t>
      </w:r>
    </w:p>
    <w:p>
      <w:pPr>
        <w:pStyle w:val="MDPI32textnoindent"/>
        <w:spacing w:line="240" w:lineRule="auto" w:before="0" w:after="40"/>
        <w:ind w:left="425" w:hanging="425"/>
        <w:tabs>
          <w:tab w:val="left" w:pos="425"/>
        </w:tabs>
      </w:pPr>
      <w:bookmarkStart w:id="1060" w:name="_Ref_60"/>
      <w:r>
        <w:rPr>
          <w:b w:val="0"/>
          <w:sz w:val="18"/>
        </w:rPr>
        <w:t>60</w:t>
      </w:r>
      <w:bookmarkEnd w:id="1060"/>
      <w:r>
        <w:rPr>
          <w:sz w:val="18"/>
        </w:rPr>
        <w:t>.</w:t>
        <w:tab/>
      </w:r>
      <w:r>
        <w:rPr>
          <w:b w:val="0"/>
          <w:i w:val="0"/>
          <w:sz w:val="18"/>
        </w:rPr>
        <w:t xml:space="preserve">Callaway, B.; Sant'Anna, P.H.C. </w:t>
      </w:r>
      <w:r>
        <w:rPr>
          <w:b w:val="0"/>
          <w:i w:val="0"/>
          <w:sz w:val="18"/>
        </w:rPr>
        <w:t xml:space="preserve">Difference-in-Differences with Multiple Time Periods. </w:t>
      </w:r>
      <w:r>
        <w:rPr>
          <w:b w:val="0"/>
          <w:i/>
          <w:sz w:val="18"/>
        </w:rPr>
        <w:t xml:space="preserve">J. Econom. </w:t>
      </w:r>
      <w:r>
        <w:rPr>
          <w:b/>
          <w:i w:val="0"/>
          <w:sz w:val="18"/>
        </w:rPr>
        <w:t>2021</w:t>
      </w:r>
      <w:r>
        <w:rPr>
          <w:b w:val="0"/>
          <w:i w:val="0"/>
          <w:sz w:val="18"/>
        </w:rPr>
        <w:t xml:space="preserve">, </w:t>
      </w:r>
      <w:r>
        <w:rPr>
          <w:b w:val="0"/>
          <w:i/>
          <w:sz w:val="18"/>
        </w:rPr>
        <w:t>225</w:t>
      </w:r>
      <w:r>
        <w:rPr>
          <w:b w:val="0"/>
          <w:i w:val="0"/>
          <w:sz w:val="18"/>
        </w:rPr>
        <w:t>, 200–230.</w:t>
      </w:r>
      <w:r>
        <w:rPr>
          <w:b w:val="0"/>
          <w:i w:val="0"/>
          <w:sz w:val="18"/>
        </w:rPr>
        <w:t xml:space="preserve"> [CrossRef]</w:t>
      </w:r>
    </w:p>
    <w:p>
      <w:pPr>
        <w:pStyle w:val="MDPI32textnoindent"/>
        <w:spacing w:line="240" w:lineRule="auto" w:before="0" w:after="40"/>
        <w:ind w:left="425" w:hanging="425"/>
        <w:tabs>
          <w:tab w:val="left" w:pos="425"/>
        </w:tabs>
      </w:pPr>
      <w:bookmarkStart w:id="1061" w:name="_Ref_61"/>
      <w:r>
        <w:rPr>
          <w:b w:val="0"/>
          <w:sz w:val="18"/>
        </w:rPr>
        <w:t>61</w:t>
      </w:r>
      <w:bookmarkEnd w:id="1061"/>
      <w:r>
        <w:rPr>
          <w:sz w:val="18"/>
        </w:rPr>
        <w:t>.</w:t>
        <w:tab/>
      </w:r>
      <w:r>
        <w:rPr>
          <w:b w:val="0"/>
          <w:i w:val="0"/>
          <w:sz w:val="18"/>
        </w:rPr>
        <w:t xml:space="preserve">Sun, L.; Abraham, S. </w:t>
      </w:r>
      <w:r>
        <w:rPr>
          <w:b w:val="0"/>
          <w:i w:val="0"/>
          <w:sz w:val="18"/>
        </w:rPr>
        <w:t xml:space="preserve">Estimating Dynamic Treatment Effects in Event Studies with Heterogeneous Treatment Effects. </w:t>
      </w:r>
      <w:r>
        <w:rPr>
          <w:b w:val="0"/>
          <w:i/>
          <w:sz w:val="18"/>
        </w:rPr>
        <w:t xml:space="preserve">J. Econom. </w:t>
      </w:r>
      <w:r>
        <w:rPr>
          <w:b/>
          <w:i w:val="0"/>
          <w:sz w:val="18"/>
        </w:rPr>
        <w:t>2021</w:t>
      </w:r>
      <w:r>
        <w:rPr>
          <w:b w:val="0"/>
          <w:i w:val="0"/>
          <w:sz w:val="18"/>
        </w:rPr>
        <w:t xml:space="preserve">, </w:t>
      </w:r>
      <w:r>
        <w:rPr>
          <w:b w:val="0"/>
          <w:i/>
          <w:sz w:val="18"/>
        </w:rPr>
        <w:t>225</w:t>
      </w:r>
      <w:r>
        <w:rPr>
          <w:b w:val="0"/>
          <w:i w:val="0"/>
          <w:sz w:val="18"/>
        </w:rPr>
        <w:t>, 175–199.</w:t>
      </w:r>
      <w:r>
        <w:rPr>
          <w:b w:val="0"/>
          <w:i w:val="0"/>
          <w:sz w:val="18"/>
        </w:rPr>
        <w:t xml:space="preserve"> [CrossRef]</w:t>
      </w:r>
    </w:p>
    <w:p>
      <w:pPr>
        <w:pStyle w:val="MDPI32textnoindent"/>
        <w:spacing w:line="240" w:lineRule="auto" w:before="0" w:after="40"/>
        <w:ind w:left="425" w:hanging="425"/>
        <w:tabs>
          <w:tab w:val="left" w:pos="425"/>
        </w:tabs>
      </w:pPr>
      <w:bookmarkStart w:id="1062" w:name="_Ref_62"/>
      <w:r>
        <w:rPr>
          <w:b w:val="0"/>
          <w:sz w:val="18"/>
        </w:rPr>
        <w:t>62</w:t>
      </w:r>
      <w:bookmarkEnd w:id="1062"/>
      <w:r>
        <w:rPr>
          <w:sz w:val="18"/>
        </w:rPr>
        <w:t>.</w:t>
        <w:tab/>
      </w:r>
      <w:r>
        <w:rPr>
          <w:b w:val="0"/>
          <w:i w:val="0"/>
          <w:sz w:val="18"/>
        </w:rPr>
        <w:t xml:space="preserve">Goldsmith-Pinkham, P.; Sorkin, I.; Swift, H. </w:t>
      </w:r>
      <w:r>
        <w:rPr>
          <w:b w:val="0"/>
          <w:i w:val="0"/>
          <w:sz w:val="18"/>
        </w:rPr>
        <w:t xml:space="preserve">Bartik Instruments: What, When, Why, and How. </w:t>
      </w:r>
      <w:r>
        <w:rPr>
          <w:b w:val="0"/>
          <w:i/>
          <w:sz w:val="18"/>
        </w:rPr>
        <w:t xml:space="preserve">Am. Econ. Rev. </w:t>
      </w:r>
      <w:r>
        <w:rPr>
          <w:b/>
          <w:i w:val="0"/>
          <w:sz w:val="18"/>
        </w:rPr>
        <w:t>2020</w:t>
      </w:r>
      <w:r>
        <w:rPr>
          <w:b w:val="0"/>
          <w:i w:val="0"/>
          <w:sz w:val="18"/>
        </w:rPr>
        <w:t xml:space="preserve">, </w:t>
      </w:r>
      <w:r>
        <w:rPr>
          <w:b w:val="0"/>
          <w:i/>
          <w:sz w:val="18"/>
        </w:rPr>
        <w:t>110</w:t>
      </w:r>
      <w:r>
        <w:rPr>
          <w:b w:val="0"/>
          <w:i w:val="0"/>
          <w:sz w:val="18"/>
        </w:rPr>
        <w:t>, 2586–2624.</w:t>
      </w:r>
      <w:r>
        <w:rPr>
          <w:b w:val="0"/>
          <w:i w:val="0"/>
          <w:sz w:val="18"/>
        </w:rPr>
        <w:t xml:space="preserve"> [CrossRef]</w:t>
      </w:r>
    </w:p>
    <w:p>
      <w:pPr>
        <w:pStyle w:val="MDPI32textnoindent"/>
        <w:spacing w:line="240" w:lineRule="auto" w:before="0" w:after="40"/>
        <w:ind w:left="425" w:hanging="425"/>
        <w:tabs>
          <w:tab w:val="left" w:pos="425"/>
        </w:tabs>
      </w:pPr>
      <w:bookmarkStart w:id="1063" w:name="_Ref_63"/>
      <w:r>
        <w:rPr>
          <w:b w:val="0"/>
          <w:sz w:val="18"/>
        </w:rPr>
        <w:t>63</w:t>
      </w:r>
      <w:bookmarkEnd w:id="1063"/>
      <w:r>
        <w:rPr>
          <w:sz w:val="18"/>
        </w:rPr>
        <w:t>.</w:t>
        <w:tab/>
      </w:r>
      <w:r>
        <w:rPr>
          <w:b w:val="0"/>
          <w:i w:val="0"/>
          <w:sz w:val="18"/>
        </w:rPr>
        <w:t xml:space="preserve">Borusyak, K.; Hull, P.; Jaravel, X. </w:t>
      </w:r>
      <w:r>
        <w:rPr>
          <w:b w:val="0"/>
          <w:i w:val="0"/>
          <w:sz w:val="18"/>
        </w:rPr>
        <w:t xml:space="preserve">Quasi-Experimental Shift-Share Research Designs. </w:t>
      </w:r>
      <w:r>
        <w:rPr>
          <w:b w:val="0"/>
          <w:i/>
          <w:sz w:val="18"/>
        </w:rPr>
        <w:t xml:space="preserve">Rev. Econ. Stud. </w:t>
      </w:r>
      <w:r>
        <w:rPr>
          <w:b/>
          <w:i w:val="0"/>
          <w:sz w:val="18"/>
        </w:rPr>
        <w:t>2022</w:t>
      </w:r>
      <w:r>
        <w:rPr>
          <w:b w:val="0"/>
          <w:i w:val="0"/>
          <w:sz w:val="18"/>
        </w:rPr>
        <w:t xml:space="preserve">, </w:t>
      </w:r>
      <w:r>
        <w:rPr>
          <w:b w:val="0"/>
          <w:i/>
          <w:sz w:val="18"/>
        </w:rPr>
        <w:t>89</w:t>
      </w:r>
      <w:r>
        <w:rPr>
          <w:b w:val="0"/>
          <w:i w:val="0"/>
          <w:sz w:val="18"/>
        </w:rPr>
        <w:t>, 181–213.</w:t>
      </w:r>
      <w:r>
        <w:rPr>
          <w:b w:val="0"/>
          <w:i w:val="0"/>
          <w:sz w:val="18"/>
        </w:rPr>
        <w:t xml:space="preserve"> [CrossRef]</w:t>
      </w:r>
    </w:p>
    <w:p>
      <w:pPr>
        <w:pStyle w:val="MDPI32textnoindent"/>
        <w:spacing w:line="240" w:lineRule="auto" w:before="0" w:after="40"/>
        <w:ind w:left="425" w:hanging="425"/>
        <w:tabs>
          <w:tab w:val="left" w:pos="425"/>
        </w:tabs>
      </w:pPr>
      <w:bookmarkStart w:id="1064" w:name="_Ref_64"/>
      <w:r>
        <w:rPr>
          <w:b w:val="0"/>
          <w:sz w:val="18"/>
        </w:rPr>
        <w:t>64</w:t>
      </w:r>
      <w:bookmarkEnd w:id="1064"/>
      <w:r>
        <w:rPr>
          <w:sz w:val="18"/>
        </w:rPr>
        <w:t>.</w:t>
        <w:tab/>
      </w:r>
      <w:r>
        <w:rPr>
          <w:b w:val="0"/>
          <w:i w:val="0"/>
          <w:sz w:val="18"/>
        </w:rPr>
        <w:t xml:space="preserve">Kleibergen, F.; Paap, R. </w:t>
      </w:r>
      <w:r>
        <w:rPr>
          <w:b w:val="0"/>
          <w:i w:val="0"/>
          <w:sz w:val="18"/>
        </w:rPr>
        <w:t xml:space="preserve">Generalized Reduced Rank Tests Using the Singular Value Decomposition. </w:t>
      </w:r>
      <w:r>
        <w:rPr>
          <w:b w:val="0"/>
          <w:i/>
          <w:sz w:val="18"/>
        </w:rPr>
        <w:t xml:space="preserve">J. Econom. </w:t>
      </w:r>
      <w:r>
        <w:rPr>
          <w:b/>
          <w:i w:val="0"/>
          <w:sz w:val="18"/>
        </w:rPr>
        <w:t>2006</w:t>
      </w:r>
      <w:r>
        <w:rPr>
          <w:b w:val="0"/>
          <w:i w:val="0"/>
          <w:sz w:val="18"/>
        </w:rPr>
        <w:t xml:space="preserve">, </w:t>
      </w:r>
      <w:r>
        <w:rPr>
          <w:b w:val="0"/>
          <w:i/>
          <w:sz w:val="18"/>
        </w:rPr>
        <w:t>133</w:t>
      </w:r>
      <w:r>
        <w:rPr>
          <w:b w:val="0"/>
          <w:i w:val="0"/>
          <w:sz w:val="18"/>
        </w:rPr>
        <w:t>, 97–126.</w:t>
      </w:r>
      <w:r>
        <w:rPr>
          <w:b w:val="0"/>
          <w:i w:val="0"/>
          <w:sz w:val="18"/>
        </w:rPr>
        <w:t xml:space="preserve"> [CrossRef]</w:t>
      </w:r>
    </w:p>
    <w:p>
      <w:pPr>
        <w:pStyle w:val="MDPI32textnoindent"/>
        <w:spacing w:line="240" w:lineRule="auto" w:before="0" w:after="40"/>
        <w:ind w:left="425" w:hanging="425"/>
        <w:tabs>
          <w:tab w:val="left" w:pos="425"/>
        </w:tabs>
      </w:pPr>
      <w:bookmarkStart w:id="1065" w:name="_Ref_65"/>
      <w:r>
        <w:rPr>
          <w:b w:val="0"/>
          <w:sz w:val="18"/>
        </w:rPr>
        <w:t>65</w:t>
      </w:r>
      <w:bookmarkEnd w:id="1065"/>
      <w:r>
        <w:rPr>
          <w:sz w:val="18"/>
        </w:rPr>
        <w:t>.</w:t>
        <w:tab/>
      </w:r>
      <w:r>
        <w:rPr>
          <w:b w:val="0"/>
          <w:i w:val="0"/>
          <w:sz w:val="18"/>
        </w:rPr>
        <w:t xml:space="preserve">Stock, J.H.; Yogo, M. </w:t>
      </w:r>
      <w:r>
        <w:rPr>
          <w:b w:val="0"/>
          <w:i w:val="0"/>
          <w:sz w:val="18"/>
        </w:rPr>
        <w:t xml:space="preserve">Testing for Weak Instruments in Linear IV Regression. </w:t>
      </w:r>
      <w:r>
        <w:rPr>
          <w:b w:val="0"/>
          <w:i w:val="0"/>
          <w:sz w:val="18"/>
        </w:rPr>
        <w:t xml:space="preserve">In </w:t>
      </w:r>
      <w:r>
        <w:rPr>
          <w:b w:val="0"/>
          <w:i/>
          <w:sz w:val="18"/>
        </w:rPr>
        <w:t>Identification and Inference for Econometric Models: Essays in Honor of Thomas Rothenberg</w:t>
      </w:r>
      <w:r>
        <w:rPr>
          <w:b w:val="0"/>
          <w:i w:val="0"/>
          <w:sz w:val="18"/>
        </w:rPr>
        <w:t xml:space="preserve">; Andrews, D.W.K., Stock, J.H., Eds.; </w:t>
      </w:r>
      <w:r>
        <w:rPr>
          <w:b w:val="0"/>
          <w:i w:val="0"/>
          <w:sz w:val="18"/>
        </w:rPr>
        <w:t>Cambridge University Press: Cambridge, UK, 2005; pp. 80–108.</w:t>
      </w:r>
    </w:p>
    <w:p>
      <w:pPr>
        <w:pStyle w:val="MDPI32textnoindent"/>
        <w:spacing w:line="240" w:lineRule="auto" w:before="0" w:after="40"/>
        <w:ind w:left="425" w:hanging="425"/>
        <w:tabs>
          <w:tab w:val="left" w:pos="425"/>
        </w:tabs>
      </w:pPr>
      <w:bookmarkStart w:id="1066" w:name="_Ref_66"/>
      <w:r>
        <w:rPr>
          <w:b w:val="0"/>
          <w:sz w:val="18"/>
        </w:rPr>
        <w:t>66</w:t>
      </w:r>
      <w:bookmarkEnd w:id="1066"/>
      <w:r>
        <w:rPr>
          <w:sz w:val="18"/>
        </w:rPr>
        <w:t>.</w:t>
        <w:tab/>
      </w:r>
      <w:r>
        <w:rPr>
          <w:b w:val="0"/>
          <w:i w:val="0"/>
          <w:sz w:val="18"/>
        </w:rPr>
        <w:t xml:space="preserve">Rosenbaum, P.R.; Rubin, D.B. </w:t>
      </w:r>
      <w:r>
        <w:rPr>
          <w:b w:val="0"/>
          <w:i w:val="0"/>
          <w:sz w:val="18"/>
        </w:rPr>
        <w:t xml:space="preserve">The Central Role of the Propensity Score in Observational Studies for Causal Effects. </w:t>
      </w:r>
      <w:r>
        <w:rPr>
          <w:b w:val="0"/>
          <w:i/>
          <w:sz w:val="18"/>
        </w:rPr>
        <w:t xml:space="preserve">Biometrika </w:t>
      </w:r>
      <w:r>
        <w:rPr>
          <w:b/>
          <w:i w:val="0"/>
          <w:sz w:val="18"/>
        </w:rPr>
        <w:t>1983</w:t>
      </w:r>
      <w:r>
        <w:rPr>
          <w:b w:val="0"/>
          <w:i w:val="0"/>
          <w:sz w:val="18"/>
        </w:rPr>
        <w:t xml:space="preserve">, </w:t>
      </w:r>
      <w:r>
        <w:rPr>
          <w:b w:val="0"/>
          <w:i/>
          <w:sz w:val="18"/>
        </w:rPr>
        <w:t>70</w:t>
      </w:r>
      <w:r>
        <w:rPr>
          <w:b w:val="0"/>
          <w:i w:val="0"/>
          <w:sz w:val="18"/>
        </w:rPr>
        <w:t>, 41–55.</w:t>
      </w:r>
      <w:r>
        <w:rPr>
          <w:b w:val="0"/>
          <w:i w:val="0"/>
          <w:sz w:val="18"/>
        </w:rPr>
        <w:t xml:space="preserve"> [CrossRef]</w:t>
      </w:r>
    </w:p>
    <w:p>
      <w:pPr>
        <w:pStyle w:val="MDPI32textnoindent"/>
        <w:spacing w:line="240" w:lineRule="auto" w:before="0" w:after="40"/>
        <w:ind w:left="425" w:hanging="425"/>
        <w:tabs>
          <w:tab w:val="left" w:pos="425"/>
        </w:tabs>
      </w:pPr>
      <w:bookmarkStart w:id="1067" w:name="_Ref_67"/>
      <w:r>
        <w:rPr>
          <w:b w:val="0"/>
          <w:sz w:val="18"/>
        </w:rPr>
        <w:t>67</w:t>
      </w:r>
      <w:bookmarkEnd w:id="1067"/>
      <w:r>
        <w:rPr>
          <w:sz w:val="18"/>
        </w:rPr>
        <w:t>.</w:t>
        <w:tab/>
      </w:r>
      <w:r>
        <w:rPr>
          <w:b w:val="0"/>
          <w:i w:val="0"/>
          <w:sz w:val="18"/>
        </w:rPr>
        <w:t xml:space="preserve">Hainmueller, J. </w:t>
      </w:r>
      <w:r>
        <w:rPr>
          <w:b w:val="0"/>
          <w:i w:val="0"/>
          <w:sz w:val="18"/>
        </w:rPr>
        <w:t xml:space="preserve">Entropy Balancing for Causal Effects: A Multivariate Reweighting Method to Produce Balanced Samples in Observational Studies. </w:t>
      </w:r>
      <w:r>
        <w:rPr>
          <w:b w:val="0"/>
          <w:i/>
          <w:sz w:val="18"/>
        </w:rPr>
        <w:t xml:space="preserve">Polit. Anal. </w:t>
      </w:r>
      <w:r>
        <w:rPr>
          <w:b/>
          <w:i w:val="0"/>
          <w:sz w:val="18"/>
        </w:rPr>
        <w:t>2012</w:t>
      </w:r>
      <w:r>
        <w:rPr>
          <w:b w:val="0"/>
          <w:i w:val="0"/>
          <w:sz w:val="18"/>
        </w:rPr>
        <w:t xml:space="preserve">, </w:t>
      </w:r>
      <w:r>
        <w:rPr>
          <w:b w:val="0"/>
          <w:i/>
          <w:sz w:val="18"/>
        </w:rPr>
        <w:t>20</w:t>
      </w:r>
      <w:r>
        <w:rPr>
          <w:b w:val="0"/>
          <w:i w:val="0"/>
          <w:sz w:val="18"/>
        </w:rPr>
        <w:t>, 25–46.</w:t>
      </w:r>
      <w:r>
        <w:rPr>
          <w:b w:val="0"/>
          <w:i w:val="0"/>
          <w:sz w:val="18"/>
        </w:rPr>
        <w:t xml:space="preserve"> [CrossRef]</w:t>
      </w:r>
    </w:p>
    <w:p>
      <w:pPr>
        <w:pStyle w:val="MDPI32textnoindent"/>
        <w:spacing w:line="240" w:lineRule="auto" w:before="0" w:after="40"/>
        <w:ind w:left="425" w:hanging="425"/>
        <w:tabs>
          <w:tab w:val="left" w:pos="425"/>
        </w:tabs>
      </w:pPr>
      <w:bookmarkStart w:id="1068" w:name="_Ref_68"/>
      <w:r>
        <w:rPr>
          <w:b w:val="0"/>
          <w:sz w:val="18"/>
        </w:rPr>
        <w:t>68</w:t>
      </w:r>
      <w:bookmarkEnd w:id="1068"/>
      <w:r>
        <w:rPr>
          <w:sz w:val="18"/>
        </w:rPr>
        <w:t>.</w:t>
        <w:tab/>
      </w:r>
      <w:r>
        <w:rPr>
          <w:b w:val="0"/>
          <w:i w:val="0"/>
          <w:sz w:val="18"/>
        </w:rPr>
        <w:t xml:space="preserve">Oster, E. </w:t>
      </w:r>
      <w:r>
        <w:rPr>
          <w:b w:val="0"/>
          <w:i w:val="0"/>
          <w:sz w:val="18"/>
        </w:rPr>
        <w:t xml:space="preserve">Unobservable Selection and Coefficient Stability: Theory and Evidence. </w:t>
      </w:r>
      <w:r>
        <w:rPr>
          <w:b w:val="0"/>
          <w:i/>
          <w:sz w:val="18"/>
        </w:rPr>
        <w:t xml:space="preserve">J. Bus. Econ. Stat. </w:t>
      </w:r>
      <w:r>
        <w:rPr>
          <w:b/>
          <w:i w:val="0"/>
          <w:sz w:val="18"/>
        </w:rPr>
        <w:t>2019</w:t>
      </w:r>
      <w:r>
        <w:rPr>
          <w:b w:val="0"/>
          <w:i w:val="0"/>
          <w:sz w:val="18"/>
        </w:rPr>
        <w:t xml:space="preserve">, </w:t>
      </w:r>
      <w:r>
        <w:rPr>
          <w:b w:val="0"/>
          <w:i/>
          <w:sz w:val="18"/>
        </w:rPr>
        <w:t>37</w:t>
      </w:r>
      <w:r>
        <w:rPr>
          <w:b w:val="0"/>
          <w:i w:val="0"/>
          <w:sz w:val="18"/>
        </w:rPr>
        <w:t>, 187–204.</w:t>
      </w:r>
      <w:r>
        <w:rPr>
          <w:b w:val="0"/>
          <w:i w:val="0"/>
          <w:sz w:val="18"/>
        </w:rPr>
        <w:t xml:space="preserve"> [CrossRef]</w:t>
      </w:r>
    </w:p>
    <w:p>
      <w:pPr>
        <w:pStyle w:val="MDPI32textnoindent"/>
        <w:spacing w:line="240" w:lineRule="auto" w:before="0" w:after="40"/>
        <w:ind w:left="425" w:hanging="425"/>
        <w:tabs>
          <w:tab w:val="left" w:pos="425"/>
        </w:tabs>
      </w:pPr>
      <w:bookmarkStart w:id="1069" w:name="_Ref_69"/>
      <w:r>
        <w:rPr>
          <w:b w:val="0"/>
          <w:sz w:val="18"/>
        </w:rPr>
        <w:t>69</w:t>
      </w:r>
      <w:bookmarkEnd w:id="1069"/>
      <w:r>
        <w:rPr>
          <w:sz w:val="18"/>
        </w:rPr>
        <w:t>.</w:t>
        <w:tab/>
      </w:r>
      <w:r>
        <w:rPr>
          <w:b w:val="0"/>
          <w:i w:val="0"/>
          <w:sz w:val="18"/>
        </w:rPr>
        <w:t xml:space="preserve">Autor, D. </w:t>
      </w:r>
      <w:r>
        <w:rPr>
          <w:b w:val="0"/>
          <w:i/>
          <w:sz w:val="18"/>
        </w:rPr>
        <w:t xml:space="preserve">Applying AI to Rebuild Middle Class Jobs; </w:t>
      </w:r>
      <w:r>
        <w:rPr>
          <w:b w:val="0"/>
          <w:i w:val="0"/>
          <w:sz w:val="18"/>
        </w:rPr>
        <w:t xml:space="preserve">NBER Working Paper 32140; </w:t>
      </w:r>
      <w:r>
        <w:rPr>
          <w:b w:val="0"/>
          <w:i w:val="0"/>
          <w:sz w:val="18"/>
        </w:rPr>
        <w:t>National Bureau of Economic Research: Cambridge, MA, USA, 2024.</w:t>
      </w:r>
    </w:p>
    <w:p>
      <w:pPr>
        <w:pStyle w:val="MDPI32textnoindent"/>
        <w:spacing w:line="240" w:lineRule="auto" w:before="0" w:after="40"/>
        <w:ind w:left="425" w:hanging="425"/>
        <w:tabs>
          <w:tab w:val="left" w:pos="425"/>
        </w:tabs>
      </w:pPr>
      <w:bookmarkStart w:id="1070" w:name="_Ref_70"/>
      <w:r>
        <w:rPr>
          <w:b w:val="0"/>
          <w:sz w:val="18"/>
        </w:rPr>
        <w:t>70</w:t>
      </w:r>
      <w:bookmarkEnd w:id="1070"/>
      <w:r>
        <w:rPr>
          <w:sz w:val="18"/>
        </w:rPr>
        <w:t>.</w:t>
        <w:tab/>
      </w:r>
      <w:r>
        <w:rPr>
          <w:b w:val="0"/>
          <w:i w:val="0"/>
          <w:sz w:val="18"/>
        </w:rPr>
        <w:t xml:space="preserve">von Wachter, T. </w:t>
      </w:r>
      <w:r>
        <w:rPr>
          <w:b w:val="0"/>
          <w:i w:val="0"/>
          <w:sz w:val="18"/>
        </w:rPr>
        <w:t xml:space="preserve">The Persistent Effects of Initial Labor Market Conditions for Young Adults and Their Sources. </w:t>
      </w:r>
      <w:r>
        <w:rPr>
          <w:b w:val="0"/>
          <w:i/>
          <w:sz w:val="18"/>
        </w:rPr>
        <w:t xml:space="preserve">J. Econ. Perspect. </w:t>
      </w:r>
      <w:r>
        <w:rPr>
          <w:b/>
          <w:i w:val="0"/>
          <w:sz w:val="18"/>
        </w:rPr>
        <w:t>2020</w:t>
      </w:r>
      <w:r>
        <w:rPr>
          <w:b w:val="0"/>
          <w:i w:val="0"/>
          <w:sz w:val="18"/>
        </w:rPr>
        <w:t xml:space="preserve">, </w:t>
      </w:r>
      <w:r>
        <w:rPr>
          <w:b w:val="0"/>
          <w:i/>
          <w:sz w:val="18"/>
        </w:rPr>
        <w:t>34</w:t>
      </w:r>
      <w:r>
        <w:rPr>
          <w:b w:val="0"/>
          <w:i w:val="0"/>
          <w:sz w:val="18"/>
        </w:rPr>
        <w:t>, 168–194.</w:t>
      </w:r>
      <w:r>
        <w:rPr>
          <w:b w:val="0"/>
          <w:i w:val="0"/>
          <w:sz w:val="18"/>
        </w:rPr>
        <w:t xml:space="preserve"> [CrossRef]</w:t>
      </w:r>
    </w:p>
    <w:sectPr w:rsidR="003D34A1" w:rsidRPr="00B86B71" w:rsidSect="00C245DC">
      <w:headerReference w:type="even" r:id="rId11"/>
      <w:headerReference w:type="default" r:id="rId12"/>
      <w:footerReference w:type="default" r:id="rId13"/>
      <w:headerReference w:type="first" r:id="rId14"/>
      <w:footerReference w:type="first" r:id="rId15"/>
      <w:type w:val="continuous"/>
      <w:pgSz w:w="11906" w:h="16838" w:code="9"/>
      <w:pgMar w:top="1417" w:right="720" w:bottom="907" w:left="720" w:header="720" w:footer="612" w:gutter="0"/>
      <w:lnNumType w:countBy="1" w:distance="255" w:restart="continuous"/>
      <w:pgNumType w:start="1"/>
      <w:cols w:space="425"/>
      <w:titlePg/>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2C0D8D" w14:textId="77777777" w:rsidR="00042A41" w:rsidRPr="00FA5AAF" w:rsidRDefault="00042A41">
      <w:pPr>
        <w:spacing w:line="240" w:lineRule="auto"/>
      </w:pPr>
      <w:r w:rsidRPr="00FA5AAF">
        <w:separator/>
      </w:r>
    </w:p>
  </w:endnote>
  <w:endnote w:type="continuationSeparator" w:id="0">
    <w:p w14:paraId="0A21264B" w14:textId="77777777" w:rsidR="00042A41" w:rsidRPr="00FA5AAF" w:rsidRDefault="00042A41">
      <w:pPr>
        <w:spacing w:line="240" w:lineRule="auto"/>
      </w:pPr>
      <w:r w:rsidRPr="00FA5AA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等线">
    <w:altName w:val="DengXian"/>
    <w:panose1 w:val="02010600030101010101"/>
    <w:charset w:val="86"/>
    <w:family w:val="auto"/>
    <w:pitch w:val="variable"/>
    <w:sig w:usb0="A00002BF" w:usb1="38CF7CFA" w:usb2="00000016" w:usb3="00000000" w:csb0="0004000F" w:csb1="00000000"/>
  </w:font>
  <w:font w:name="URWPalladioL-Ital">
    <w:altName w:val="Yu Gothic"/>
    <w:panose1 w:val="00000000000000000000"/>
    <w:charset w:val="80"/>
    <w:family w:val="auto"/>
    <w:notTrueType/>
    <w:pitch w:val="default"/>
    <w:sig w:usb0="00000001" w:usb1="08070000" w:usb2="00000010" w:usb3="00000000" w:csb0="00020000"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723B7" w14:textId="77777777" w:rsidR="00697B5A" w:rsidRPr="00FA5AAF" w:rsidRDefault="00697B5A" w:rsidP="00697B5A">
    <w:pPr>
      <w:pStyle w:val="Footer"/>
      <w:spacing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C9B57" w14:textId="77777777" w:rsidR="00CF1526" w:rsidRPr="00FA5AAF" w:rsidRDefault="00CF1526" w:rsidP="00942152">
    <w:pPr>
      <w:pBdr>
        <w:top w:val="single" w:sz="4" w:space="0" w:color="000000"/>
      </w:pBdr>
      <w:tabs>
        <w:tab w:val="right" w:pos="8844"/>
      </w:tabs>
      <w:adjustRightInd w:val="0"/>
      <w:snapToGrid w:val="0"/>
      <w:spacing w:before="480" w:line="100" w:lineRule="exact"/>
      <w:jc w:val="left"/>
      <w:rPr>
        <w:i/>
        <w:sz w:val="16"/>
        <w:szCs w:val="16"/>
      </w:rPr>
    </w:pPr>
  </w:p>
  <w:p w14:paraId="2F5022B6" w14:textId="22010ACB" w:rsidR="00697B5A" w:rsidRPr="00FA5AAF" w:rsidRDefault="00697B5A" w:rsidP="007E21E9">
    <w:pPr>
      <w:tabs>
        <w:tab w:val="right" w:pos="10466"/>
      </w:tabs>
      <w:adjustRightInd w:val="0"/>
      <w:snapToGrid w:val="0"/>
      <w:spacing w:line="240" w:lineRule="auto"/>
      <w:rPr>
        <w:sz w:val="16"/>
        <w:szCs w:val="16"/>
      </w:rPr>
    </w:pPr>
    <w:r w:rsidRPr="00FA5AAF">
      <w:rPr>
        <w:i/>
        <w:sz w:val="16"/>
        <w:szCs w:val="16"/>
      </w:rPr>
      <w:t xml:space="preserve">Systems </w:t>
    </w:r>
    <w:r w:rsidR="00C245DC" w:rsidRPr="00FA5AAF">
      <w:rPr>
        <w:b/>
        <w:bCs/>
        <w:iCs/>
        <w:sz w:val="16"/>
        <w:szCs w:val="16"/>
      </w:rPr>
      <w:t>2025</w:t>
    </w:r>
    <w:r w:rsidR="00C047A0" w:rsidRPr="00FA5AAF">
      <w:rPr>
        <w:bCs/>
        <w:iCs/>
        <w:sz w:val="16"/>
        <w:szCs w:val="16"/>
      </w:rPr>
      <w:t>,</w:t>
    </w:r>
    <w:r w:rsidR="00C245DC" w:rsidRPr="00FA5AAF">
      <w:rPr>
        <w:bCs/>
        <w:i/>
        <w:iCs/>
        <w:sz w:val="16"/>
        <w:szCs w:val="16"/>
      </w:rPr>
      <w:t xml:space="preserve"> 13</w:t>
    </w:r>
    <w:r w:rsidR="00C047A0" w:rsidRPr="00FA5AAF">
      <w:rPr>
        <w:bCs/>
        <w:iCs/>
        <w:sz w:val="16"/>
        <w:szCs w:val="16"/>
      </w:rPr>
      <w:t xml:space="preserve">, </w:t>
    </w:r>
    <w:r w:rsidR="005F1025" w:rsidRPr="00FA5AAF">
      <w:rPr>
        <w:bCs/>
        <w:iCs/>
        <w:sz w:val="16"/>
        <w:szCs w:val="16"/>
      </w:rPr>
      <w:t>x</w:t>
    </w:r>
    <w:r w:rsidR="007E21E9" w:rsidRPr="00FA5AAF">
      <w:rPr>
        <w:sz w:val="16"/>
        <w:szCs w:val="16"/>
      </w:rPr>
      <w:tab/>
    </w:r>
    <w:r w:rsidR="00C245DC" w:rsidRPr="00FA5AAF">
      <w:rPr>
        <w:sz w:val="16"/>
        <w:szCs w:val="16"/>
      </w:rPr>
      <w:t>https://doi.org/10.3390/xxxxx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F28F93" w14:textId="77777777" w:rsidR="00042A41" w:rsidRPr="00FA5AAF" w:rsidRDefault="00042A41">
      <w:pPr>
        <w:spacing w:line="240" w:lineRule="auto"/>
      </w:pPr>
      <w:r w:rsidRPr="00FA5AAF">
        <w:separator/>
      </w:r>
    </w:p>
  </w:footnote>
  <w:footnote w:type="continuationSeparator" w:id="0">
    <w:p w14:paraId="571C0C7B" w14:textId="77777777" w:rsidR="00042A41" w:rsidRPr="00FA5AAF" w:rsidRDefault="00042A41">
      <w:pPr>
        <w:spacing w:line="240" w:lineRule="auto"/>
      </w:pPr>
      <w:r w:rsidRPr="00FA5AAF">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89A58" w14:textId="77777777" w:rsidR="00697B5A" w:rsidRPr="00FA5AAF" w:rsidRDefault="00697B5A" w:rsidP="00697B5A">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740F5" w14:textId="333822ED" w:rsidR="00CF1526" w:rsidRPr="00FA5AAF" w:rsidRDefault="00697B5A" w:rsidP="007E21E9">
    <w:pPr>
      <w:tabs>
        <w:tab w:val="right" w:pos="10466"/>
      </w:tabs>
      <w:adjustRightInd w:val="0"/>
      <w:snapToGrid w:val="0"/>
      <w:spacing w:line="240" w:lineRule="auto"/>
      <w:rPr>
        <w:sz w:val="16"/>
      </w:rPr>
    </w:pPr>
    <w:r w:rsidRPr="00FA5AAF">
      <w:rPr>
        <w:i/>
        <w:sz w:val="16"/>
      </w:rPr>
      <w:t xml:space="preserve">Systems </w:t>
    </w:r>
    <w:r w:rsidR="00C245DC" w:rsidRPr="00FA5AAF">
      <w:rPr>
        <w:b/>
        <w:sz w:val="16"/>
      </w:rPr>
      <w:t>2025</w:t>
    </w:r>
    <w:r w:rsidR="00C047A0" w:rsidRPr="00FA5AAF">
      <w:rPr>
        <w:sz w:val="16"/>
      </w:rPr>
      <w:t>,</w:t>
    </w:r>
    <w:r w:rsidR="00C245DC" w:rsidRPr="00FA5AAF">
      <w:rPr>
        <w:i/>
        <w:sz w:val="16"/>
      </w:rPr>
      <w:t xml:space="preserve"> 13</w:t>
    </w:r>
    <w:r w:rsidR="005F1025" w:rsidRPr="00FA5AAF">
      <w:rPr>
        <w:sz w:val="16"/>
      </w:rPr>
      <w:t xml:space="preserve">, x </w:t>
    </w:r>
    <w:r w:rsidR="00C245DC" w:rsidRPr="00FA5AAF">
      <w:rPr>
        <w:sz w:val="16"/>
      </w:rPr>
      <w:t>FOR PEER REVIEW</w:t>
    </w:r>
    <w:r w:rsidR="00C245DC" w:rsidRPr="00FA5AAF">
      <w:rPr>
        <w:sz w:val="16"/>
      </w:rPr>
      <w:ptab w:relativeTo="margin" w:alignment="right" w:leader="none"/>
    </w:r>
    <w:r w:rsidR="00C245DC" w:rsidRPr="00FA5AAF">
      <w:rPr>
        <w:sz w:val="16"/>
      </w:rPr>
      <w:fldChar w:fldCharType="begin"/>
    </w:r>
    <w:r w:rsidR="00C245DC" w:rsidRPr="00FA5AAF">
      <w:rPr>
        <w:sz w:val="16"/>
      </w:rPr>
      <w:instrText xml:space="preserve"> PAGE   \* MERGEFORMAT </w:instrText>
    </w:r>
    <w:r w:rsidR="00C245DC" w:rsidRPr="00FA5AAF">
      <w:rPr>
        <w:sz w:val="16"/>
      </w:rPr>
      <w:fldChar w:fldCharType="separate"/>
    </w:r>
    <w:r w:rsidR="00C245DC" w:rsidRPr="00FA5AAF">
      <w:rPr>
        <w:sz w:val="16"/>
      </w:rPr>
      <w:t>2</w:t>
    </w:r>
    <w:r w:rsidR="00C245DC" w:rsidRPr="00FA5AAF">
      <w:rPr>
        <w:sz w:val="16"/>
      </w:rPr>
      <w:fldChar w:fldCharType="end"/>
    </w:r>
    <w:r w:rsidR="00C245DC" w:rsidRPr="00FA5AAF">
      <w:rPr>
        <w:sz w:val="16"/>
      </w:rPr>
      <w:t xml:space="preserve"> of </w:t>
    </w:r>
    <w:r w:rsidR="00C245DC" w:rsidRPr="00FA5AAF">
      <w:rPr>
        <w:sz w:val="16"/>
      </w:rPr>
      <w:fldChar w:fldCharType="begin"/>
    </w:r>
    <w:r w:rsidR="00C245DC" w:rsidRPr="00FA5AAF">
      <w:rPr>
        <w:sz w:val="16"/>
      </w:rPr>
      <w:instrText xml:space="preserve"> NUMPAGES   \* MERGEFORMAT </w:instrText>
    </w:r>
    <w:r w:rsidR="00C245DC" w:rsidRPr="00FA5AAF">
      <w:rPr>
        <w:sz w:val="16"/>
      </w:rPr>
      <w:fldChar w:fldCharType="separate"/>
    </w:r>
    <w:r w:rsidR="00C245DC" w:rsidRPr="00FA5AAF">
      <w:rPr>
        <w:sz w:val="16"/>
      </w:rPr>
      <w:t>8</w:t>
    </w:r>
    <w:r w:rsidR="00C245DC" w:rsidRPr="00FA5AAF">
      <w:rPr>
        <w:sz w:val="16"/>
      </w:rPr>
      <w:fldChar w:fldCharType="end"/>
    </w:r>
  </w:p>
  <w:p w14:paraId="2153CD40" w14:textId="77777777" w:rsidR="00697B5A" w:rsidRPr="00FA5AAF" w:rsidRDefault="00697B5A" w:rsidP="00942152">
    <w:pPr>
      <w:pBdr>
        <w:bottom w:val="single" w:sz="4" w:space="1" w:color="000000"/>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7" w:type="dxa"/>
      <w:tblCellMar>
        <w:left w:w="0" w:type="dxa"/>
        <w:right w:w="0" w:type="dxa"/>
      </w:tblCellMar>
      <w:tblLook w:val="04A0" w:firstRow="1" w:lastRow="0" w:firstColumn="1" w:lastColumn="0" w:noHBand="0" w:noVBand="1"/>
    </w:tblPr>
    <w:tblGrid>
      <w:gridCol w:w="3679"/>
      <w:gridCol w:w="4535"/>
      <w:gridCol w:w="2273"/>
    </w:tblGrid>
    <w:tr w:rsidR="00CF1526" w:rsidRPr="00FA5AAF" w14:paraId="64528AE3" w14:textId="77777777" w:rsidTr="003D5EB7">
      <w:trPr>
        <w:trHeight w:val="686"/>
      </w:trPr>
      <w:tc>
        <w:tcPr>
          <w:tcW w:w="3679" w:type="dxa"/>
          <w:shd w:val="clear" w:color="auto" w:fill="auto"/>
          <w:vAlign w:val="center"/>
        </w:tcPr>
        <w:p w14:paraId="17A05555" w14:textId="19B635A0" w:rsidR="00CF1526" w:rsidRPr="00FA5AAF" w:rsidRDefault="00686F99" w:rsidP="007E21E9">
          <w:pPr>
            <w:pStyle w:val="Header"/>
            <w:pBdr>
              <w:bottom w:val="none" w:sz="0" w:space="0" w:color="auto"/>
            </w:pBdr>
            <w:jc w:val="left"/>
            <w:rPr>
              <w:rFonts w:eastAsia="等线"/>
              <w:b/>
              <w:bCs/>
            </w:rPr>
          </w:pPr>
          <w:r w:rsidRPr="00FA5AAF">
            <w:rPr>
              <w:rFonts w:eastAsia="等线"/>
              <w:b/>
              <w:bCs/>
              <w:noProof/>
            </w:rPr>
            <w:drawing>
              <wp:inline distT="0" distB="0" distL="0" distR="0" wp14:anchorId="7E33E9A7" wp14:editId="320F0D53">
                <wp:extent cx="1210817" cy="432000"/>
                <wp:effectExtent l="0" t="0" r="8890" b="6350"/>
                <wp:docPr id="1563321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21446" name=""/>
                        <pic:cNvPicPr/>
                      </pic:nvPicPr>
                      <pic:blipFill>
                        <a:blip r:embed="rId1"/>
                        <a:stretch>
                          <a:fillRect/>
                        </a:stretch>
                      </pic:blipFill>
                      <pic:spPr>
                        <a:xfrm>
                          <a:off x="0" y="0"/>
                          <a:ext cx="1210817" cy="432000"/>
                        </a:xfrm>
                        <a:prstGeom prst="rect">
                          <a:avLst/>
                        </a:prstGeom>
                      </pic:spPr>
                    </pic:pic>
                  </a:graphicData>
                </a:graphic>
              </wp:inline>
            </w:drawing>
          </w:r>
        </w:p>
      </w:tc>
      <w:tc>
        <w:tcPr>
          <w:tcW w:w="4535" w:type="dxa"/>
          <w:shd w:val="clear" w:color="auto" w:fill="auto"/>
          <w:vAlign w:val="center"/>
        </w:tcPr>
        <w:p w14:paraId="7CF66176" w14:textId="77777777" w:rsidR="00CF1526" w:rsidRPr="00FA5AAF" w:rsidRDefault="00CF1526" w:rsidP="007E21E9">
          <w:pPr>
            <w:pStyle w:val="Header"/>
            <w:pBdr>
              <w:bottom w:val="none" w:sz="0" w:space="0" w:color="auto"/>
            </w:pBdr>
            <w:rPr>
              <w:rFonts w:eastAsia="等线"/>
              <w:b/>
              <w:bCs/>
            </w:rPr>
          </w:pPr>
        </w:p>
      </w:tc>
      <w:tc>
        <w:tcPr>
          <w:tcW w:w="2273" w:type="dxa"/>
          <w:shd w:val="clear" w:color="auto" w:fill="auto"/>
          <w:vAlign w:val="center"/>
        </w:tcPr>
        <w:p w14:paraId="1305E5EE" w14:textId="25C19A66" w:rsidR="00CF1526" w:rsidRPr="00FA5AAF" w:rsidRDefault="003D5EB7" w:rsidP="003D5EB7">
          <w:pPr>
            <w:pStyle w:val="Header"/>
            <w:pBdr>
              <w:bottom w:val="none" w:sz="0" w:space="0" w:color="auto"/>
            </w:pBdr>
            <w:jc w:val="right"/>
            <w:rPr>
              <w:rFonts w:eastAsia="等线"/>
              <w:b/>
              <w:bCs/>
            </w:rPr>
          </w:pPr>
          <w:r w:rsidRPr="00FA5AAF">
            <w:rPr>
              <w:rFonts w:eastAsia="等线"/>
              <w:b/>
              <w:bCs/>
              <w:noProof/>
            </w:rPr>
            <w:drawing>
              <wp:inline distT="0" distB="0" distL="0" distR="0" wp14:anchorId="0F4CF8B9" wp14:editId="58D9554F">
                <wp:extent cx="540000" cy="360000"/>
                <wp:effectExtent l="0" t="0" r="0" b="2540"/>
                <wp:docPr id="815455501" name="Picture 1"/>
                <wp:cNvGraphicFramePr/>
                <a:graphic xmlns:a="http://schemas.openxmlformats.org/drawingml/2006/main">
                  <a:graphicData uri="http://schemas.openxmlformats.org/drawingml/2006/picture">
                    <pic:pic xmlns:pic="http://schemas.openxmlformats.org/drawingml/2006/picture">
                      <pic:nvPicPr>
                        <pic:cNvPr id="815455501" name=""/>
                        <pic:cNvPicPr/>
                      </pic:nvPicPr>
                      <pic:blipFill>
                        <a:blip r:embed="rId2"/>
                        <a:stretch>
                          <a:fillRect/>
                        </a:stretch>
                      </pic:blipFill>
                      <pic:spPr>
                        <a:xfrm>
                          <a:off x="0" y="0"/>
                          <a:ext cx="540000" cy="360000"/>
                        </a:xfrm>
                        <a:prstGeom prst="rect">
                          <a:avLst/>
                        </a:prstGeom>
                      </pic:spPr>
                    </pic:pic>
                  </a:graphicData>
                </a:graphic>
              </wp:inline>
            </w:drawing>
          </w:r>
        </w:p>
      </w:tc>
    </w:tr>
  </w:tbl>
  <w:p w14:paraId="4DA725D8" w14:textId="77777777" w:rsidR="00697B5A" w:rsidRPr="00FA5AAF" w:rsidRDefault="00697B5A" w:rsidP="00C245DC">
    <w:pPr>
      <w:pBdr>
        <w:bottom w:val="single" w:sz="4" w:space="1" w:color="000000"/>
      </w:pBdr>
      <w:adjustRightInd w:val="0"/>
      <w:snapToGrid w:val="0"/>
      <w:spacing w:before="120" w:line="100" w:lineRule="exact"/>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5E1431"/>
    <w:multiLevelType w:val="hybridMultilevel"/>
    <w:tmpl w:val="A61AAF98"/>
    <w:lvl w:ilvl="0" w:tplc="D848CE30">
      <w:start w:val="1"/>
      <w:numFmt w:val="decimal"/>
      <w:lvlRestart w:val="0"/>
      <w:pStyle w:val="MDPI8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B468F5"/>
    <w:multiLevelType w:val="hybridMultilevel"/>
    <w:tmpl w:val="E7903E34"/>
    <w:lvl w:ilvl="0" w:tplc="2A78C5DA">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0C6F5D"/>
    <w:multiLevelType w:val="hybridMultilevel"/>
    <w:tmpl w:val="8BFE0D56"/>
    <w:lvl w:ilvl="0" w:tplc="CCCE9BD4">
      <w:start w:val="1"/>
      <w:numFmt w:val="bullet"/>
      <w:lvlRestart w:val="0"/>
      <w:lvlText w:val=""/>
      <w:lvlJc w:val="left"/>
      <w:pPr>
        <w:ind w:left="3033" w:hanging="425"/>
      </w:pPr>
      <w:rPr>
        <w:rFonts w:ascii="Symbol" w:hAnsi="Symbol" w:hint="defaul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3"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5"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7" w15:restartNumberingAfterBreak="0">
    <w:nsid w:val="42114A6C"/>
    <w:multiLevelType w:val="hybridMultilevel"/>
    <w:tmpl w:val="CC4E641A"/>
    <w:lvl w:ilvl="0" w:tplc="3F1A14D6">
      <w:start w:val="1"/>
      <w:numFmt w:val="decimal"/>
      <w:lvlRestart w:val="0"/>
      <w:pStyle w:val="MDPI71footnotes"/>
      <w:lvlText w:val="%1."/>
      <w:lvlJc w:val="left"/>
      <w:pPr>
        <w:ind w:left="425" w:hanging="425"/>
      </w:pPr>
      <w:rPr>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2E2771B"/>
    <w:multiLevelType w:val="hybridMultilevel"/>
    <w:tmpl w:val="A2A06AAC"/>
    <w:lvl w:ilvl="0" w:tplc="C788203A">
      <w:start w:val="1"/>
      <w:numFmt w:val="decimal"/>
      <w:lvlRestart w:val="0"/>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4075B53"/>
    <w:multiLevelType w:val="hybridMultilevel"/>
    <w:tmpl w:val="A0DCA02E"/>
    <w:lvl w:ilvl="0" w:tplc="5CB0595C">
      <w:start w:val="1"/>
      <w:numFmt w:val="decimal"/>
      <w:lvlRestart w:val="0"/>
      <w:lvlText w:val="%1."/>
      <w:lvlJc w:val="left"/>
      <w:pPr>
        <w:ind w:left="3033" w:hanging="425"/>
      </w:p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10" w15:restartNumberingAfterBreak="0">
    <w:nsid w:val="706D5736"/>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5DC474D"/>
    <w:multiLevelType w:val="hybridMultilevel"/>
    <w:tmpl w:val="92AEC3E0"/>
    <w:lvl w:ilvl="0" w:tplc="C7E4EB54">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num w:numId="1" w16cid:durableId="142891102">
    <w:abstractNumId w:val="4"/>
  </w:num>
  <w:num w:numId="2" w16cid:durableId="948045547">
    <w:abstractNumId w:val="6"/>
  </w:num>
  <w:num w:numId="3" w16cid:durableId="1557161254">
    <w:abstractNumId w:val="3"/>
  </w:num>
  <w:num w:numId="4" w16cid:durableId="206609931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801730135">
    <w:abstractNumId w:val="5"/>
  </w:num>
  <w:num w:numId="6" w16cid:durableId="685132415">
    <w:abstractNumId w:val="9"/>
  </w:num>
  <w:num w:numId="7" w16cid:durableId="1862694624">
    <w:abstractNumId w:val="2"/>
  </w:num>
  <w:num w:numId="8" w16cid:durableId="1063598598">
    <w:abstractNumId w:val="9"/>
  </w:num>
  <w:num w:numId="9" w16cid:durableId="1656185621">
    <w:abstractNumId w:val="2"/>
  </w:num>
  <w:num w:numId="10" w16cid:durableId="2055427729">
    <w:abstractNumId w:val="9"/>
  </w:num>
  <w:num w:numId="11" w16cid:durableId="589847698">
    <w:abstractNumId w:val="2"/>
  </w:num>
  <w:num w:numId="12" w16cid:durableId="1759599816">
    <w:abstractNumId w:val="10"/>
  </w:num>
  <w:num w:numId="13" w16cid:durableId="624196927">
    <w:abstractNumId w:val="9"/>
  </w:num>
  <w:num w:numId="14" w16cid:durableId="17394898">
    <w:abstractNumId w:val="2"/>
  </w:num>
  <w:num w:numId="15" w16cid:durableId="2087678822">
    <w:abstractNumId w:val="1"/>
  </w:num>
  <w:num w:numId="16" w16cid:durableId="1671523435">
    <w:abstractNumId w:val="8"/>
  </w:num>
  <w:num w:numId="17" w16cid:durableId="1772772747">
    <w:abstractNumId w:val="0"/>
  </w:num>
  <w:num w:numId="18" w16cid:durableId="146285709">
    <w:abstractNumId w:val="9"/>
  </w:num>
  <w:num w:numId="19" w16cid:durableId="773982015">
    <w:abstractNumId w:val="2"/>
  </w:num>
  <w:num w:numId="20" w16cid:durableId="2070960159">
    <w:abstractNumId w:val="1"/>
  </w:num>
  <w:num w:numId="21" w16cid:durableId="1475757333">
    <w:abstractNumId w:val="7"/>
  </w:num>
  <w:num w:numId="22" w16cid:durableId="577398895">
    <w:abstractNumId w:val="11"/>
  </w:num>
  <w:num w:numId="23" w16cid:durableId="18912593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autoHyphenation/>
  <w:drawingGridHorizontalSpacing w:val="10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3241"/>
    <w:rsid w:val="00024355"/>
    <w:rsid w:val="000273DF"/>
    <w:rsid w:val="00030C02"/>
    <w:rsid w:val="00042A41"/>
    <w:rsid w:val="00052E90"/>
    <w:rsid w:val="000724B2"/>
    <w:rsid w:val="00096207"/>
    <w:rsid w:val="000B02FD"/>
    <w:rsid w:val="000B1763"/>
    <w:rsid w:val="000E5122"/>
    <w:rsid w:val="000F06FD"/>
    <w:rsid w:val="00107006"/>
    <w:rsid w:val="001566B5"/>
    <w:rsid w:val="00173241"/>
    <w:rsid w:val="001807D0"/>
    <w:rsid w:val="001A3141"/>
    <w:rsid w:val="001A4946"/>
    <w:rsid w:val="001B15BB"/>
    <w:rsid w:val="001B1E4C"/>
    <w:rsid w:val="001B3476"/>
    <w:rsid w:val="001C4F5D"/>
    <w:rsid w:val="001D3F55"/>
    <w:rsid w:val="001E2AEB"/>
    <w:rsid w:val="001F333C"/>
    <w:rsid w:val="001F6B2A"/>
    <w:rsid w:val="00212227"/>
    <w:rsid w:val="0021537E"/>
    <w:rsid w:val="00217EE2"/>
    <w:rsid w:val="0024581C"/>
    <w:rsid w:val="00274866"/>
    <w:rsid w:val="00290CA2"/>
    <w:rsid w:val="00291165"/>
    <w:rsid w:val="00295161"/>
    <w:rsid w:val="002B4C82"/>
    <w:rsid w:val="002C420F"/>
    <w:rsid w:val="002D0DC4"/>
    <w:rsid w:val="003212F5"/>
    <w:rsid w:val="003234A8"/>
    <w:rsid w:val="00326141"/>
    <w:rsid w:val="0033365D"/>
    <w:rsid w:val="0033394C"/>
    <w:rsid w:val="00386F7E"/>
    <w:rsid w:val="003A5C3C"/>
    <w:rsid w:val="003C7481"/>
    <w:rsid w:val="003D34A1"/>
    <w:rsid w:val="003D5EB7"/>
    <w:rsid w:val="003E1CB9"/>
    <w:rsid w:val="003F37F7"/>
    <w:rsid w:val="00401D30"/>
    <w:rsid w:val="00402B74"/>
    <w:rsid w:val="00402BA1"/>
    <w:rsid w:val="00411E95"/>
    <w:rsid w:val="0042259B"/>
    <w:rsid w:val="00463FB0"/>
    <w:rsid w:val="004701FA"/>
    <w:rsid w:val="00473F73"/>
    <w:rsid w:val="0048675C"/>
    <w:rsid w:val="00491A38"/>
    <w:rsid w:val="004A44EE"/>
    <w:rsid w:val="004C2D9F"/>
    <w:rsid w:val="004D586B"/>
    <w:rsid w:val="004E1514"/>
    <w:rsid w:val="004E661E"/>
    <w:rsid w:val="0052050E"/>
    <w:rsid w:val="005352E0"/>
    <w:rsid w:val="00545B32"/>
    <w:rsid w:val="005546D2"/>
    <w:rsid w:val="00567F4C"/>
    <w:rsid w:val="005778BD"/>
    <w:rsid w:val="005944E0"/>
    <w:rsid w:val="00597CEF"/>
    <w:rsid w:val="005B6B9B"/>
    <w:rsid w:val="005C2797"/>
    <w:rsid w:val="005C4752"/>
    <w:rsid w:val="005D49F7"/>
    <w:rsid w:val="005E64C3"/>
    <w:rsid w:val="005F1025"/>
    <w:rsid w:val="00602843"/>
    <w:rsid w:val="006060F0"/>
    <w:rsid w:val="00621CD0"/>
    <w:rsid w:val="00631236"/>
    <w:rsid w:val="00662367"/>
    <w:rsid w:val="00667908"/>
    <w:rsid w:val="0068146A"/>
    <w:rsid w:val="00682756"/>
    <w:rsid w:val="0068346F"/>
    <w:rsid w:val="00686F99"/>
    <w:rsid w:val="00691935"/>
    <w:rsid w:val="00692393"/>
    <w:rsid w:val="00692EF9"/>
    <w:rsid w:val="00696B45"/>
    <w:rsid w:val="00696F7D"/>
    <w:rsid w:val="0069792F"/>
    <w:rsid w:val="00697B5A"/>
    <w:rsid w:val="006A501D"/>
    <w:rsid w:val="006A61B7"/>
    <w:rsid w:val="006C34CE"/>
    <w:rsid w:val="006F3EB8"/>
    <w:rsid w:val="00700834"/>
    <w:rsid w:val="00706180"/>
    <w:rsid w:val="00711C35"/>
    <w:rsid w:val="0072104A"/>
    <w:rsid w:val="007267C3"/>
    <w:rsid w:val="00726AE9"/>
    <w:rsid w:val="00745775"/>
    <w:rsid w:val="00746DB9"/>
    <w:rsid w:val="00752DC1"/>
    <w:rsid w:val="0075693E"/>
    <w:rsid w:val="00787A94"/>
    <w:rsid w:val="007A45A6"/>
    <w:rsid w:val="007A5599"/>
    <w:rsid w:val="007C63CB"/>
    <w:rsid w:val="007E21E9"/>
    <w:rsid w:val="008046B5"/>
    <w:rsid w:val="00825361"/>
    <w:rsid w:val="00826DC7"/>
    <w:rsid w:val="00844CCF"/>
    <w:rsid w:val="00852894"/>
    <w:rsid w:val="00853F7A"/>
    <w:rsid w:val="00855A5A"/>
    <w:rsid w:val="00860B4F"/>
    <w:rsid w:val="00862970"/>
    <w:rsid w:val="00865AC6"/>
    <w:rsid w:val="00880CDC"/>
    <w:rsid w:val="00894AF0"/>
    <w:rsid w:val="008B2F77"/>
    <w:rsid w:val="008B355C"/>
    <w:rsid w:val="00906CDA"/>
    <w:rsid w:val="00920CE2"/>
    <w:rsid w:val="00931D46"/>
    <w:rsid w:val="00933543"/>
    <w:rsid w:val="00942152"/>
    <w:rsid w:val="009711A9"/>
    <w:rsid w:val="00973C3F"/>
    <w:rsid w:val="00974BF0"/>
    <w:rsid w:val="00991250"/>
    <w:rsid w:val="0099645E"/>
    <w:rsid w:val="009F65D2"/>
    <w:rsid w:val="009F70E6"/>
    <w:rsid w:val="009F7EF7"/>
    <w:rsid w:val="00A0209A"/>
    <w:rsid w:val="00A0510E"/>
    <w:rsid w:val="00A27049"/>
    <w:rsid w:val="00A50BAC"/>
    <w:rsid w:val="00A62098"/>
    <w:rsid w:val="00A87F05"/>
    <w:rsid w:val="00A96919"/>
    <w:rsid w:val="00AB1C83"/>
    <w:rsid w:val="00AB2CFC"/>
    <w:rsid w:val="00AB7F9D"/>
    <w:rsid w:val="00AC011A"/>
    <w:rsid w:val="00AD0917"/>
    <w:rsid w:val="00AE3076"/>
    <w:rsid w:val="00AE78A6"/>
    <w:rsid w:val="00AF4572"/>
    <w:rsid w:val="00B227AE"/>
    <w:rsid w:val="00B3089C"/>
    <w:rsid w:val="00B44A3E"/>
    <w:rsid w:val="00B50D0A"/>
    <w:rsid w:val="00B5395F"/>
    <w:rsid w:val="00B619EF"/>
    <w:rsid w:val="00B70A81"/>
    <w:rsid w:val="00B831DB"/>
    <w:rsid w:val="00B86B71"/>
    <w:rsid w:val="00B97843"/>
    <w:rsid w:val="00BA0752"/>
    <w:rsid w:val="00BA697E"/>
    <w:rsid w:val="00BB4ECE"/>
    <w:rsid w:val="00BB65AA"/>
    <w:rsid w:val="00BC1DAF"/>
    <w:rsid w:val="00BD0190"/>
    <w:rsid w:val="00BD78F6"/>
    <w:rsid w:val="00BE46B3"/>
    <w:rsid w:val="00BF2449"/>
    <w:rsid w:val="00BF5B29"/>
    <w:rsid w:val="00BF72BA"/>
    <w:rsid w:val="00C047A0"/>
    <w:rsid w:val="00C12FD6"/>
    <w:rsid w:val="00C20ADD"/>
    <w:rsid w:val="00C245DC"/>
    <w:rsid w:val="00C2479E"/>
    <w:rsid w:val="00C51301"/>
    <w:rsid w:val="00C551F8"/>
    <w:rsid w:val="00C57C44"/>
    <w:rsid w:val="00C77DFC"/>
    <w:rsid w:val="00CB1365"/>
    <w:rsid w:val="00CD2C47"/>
    <w:rsid w:val="00CD4E06"/>
    <w:rsid w:val="00CE1FFF"/>
    <w:rsid w:val="00CE47B8"/>
    <w:rsid w:val="00CF1526"/>
    <w:rsid w:val="00D0346E"/>
    <w:rsid w:val="00D04039"/>
    <w:rsid w:val="00D21345"/>
    <w:rsid w:val="00D22698"/>
    <w:rsid w:val="00D42C10"/>
    <w:rsid w:val="00D474EE"/>
    <w:rsid w:val="00D552C0"/>
    <w:rsid w:val="00D63E61"/>
    <w:rsid w:val="00D802CB"/>
    <w:rsid w:val="00DD53BE"/>
    <w:rsid w:val="00DD6B43"/>
    <w:rsid w:val="00DE5229"/>
    <w:rsid w:val="00E03F3D"/>
    <w:rsid w:val="00E10DAA"/>
    <w:rsid w:val="00E2035E"/>
    <w:rsid w:val="00E56996"/>
    <w:rsid w:val="00E74221"/>
    <w:rsid w:val="00EA1995"/>
    <w:rsid w:val="00EA2E33"/>
    <w:rsid w:val="00EB578D"/>
    <w:rsid w:val="00EB627A"/>
    <w:rsid w:val="00EC3E5C"/>
    <w:rsid w:val="00ED31D0"/>
    <w:rsid w:val="00F06AB4"/>
    <w:rsid w:val="00F073E1"/>
    <w:rsid w:val="00F10D3F"/>
    <w:rsid w:val="00F147BC"/>
    <w:rsid w:val="00F179A9"/>
    <w:rsid w:val="00F34FEE"/>
    <w:rsid w:val="00F358F1"/>
    <w:rsid w:val="00F3641D"/>
    <w:rsid w:val="00F40B07"/>
    <w:rsid w:val="00F47333"/>
    <w:rsid w:val="00F50D7B"/>
    <w:rsid w:val="00F51ED6"/>
    <w:rsid w:val="00F5210F"/>
    <w:rsid w:val="00F8722C"/>
    <w:rsid w:val="00FA5AAF"/>
    <w:rsid w:val="00FD300C"/>
    <w:rsid w:val="00FD4B6A"/>
    <w:rsid w:val="00FE2998"/>
    <w:rsid w:val="00FE3D1A"/>
    <w:rsid w:val="00FF03E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5782C9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4A1"/>
    <w:pPr>
      <w:spacing w:line="280" w:lineRule="atLeast"/>
      <w:jc w:val="both"/>
    </w:pPr>
    <w:rPr>
      <w:rFonts w:ascii="Palatino Linotype" w:hAnsi="Palatino Linotype"/>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DPI11articletype">
    <w:name w:val="MDPI_1.1_article_type"/>
    <w:next w:val="Normal"/>
    <w:qFormat/>
    <w:rsid w:val="003D34A1"/>
    <w:pPr>
      <w:adjustRightInd w:val="0"/>
      <w:snapToGrid w:val="0"/>
      <w:spacing w:before="240"/>
    </w:pPr>
    <w:rPr>
      <w:rFonts w:ascii="Palatino Linotype" w:eastAsia="Times New Roman" w:hAnsi="Palatino Linotype"/>
      <w:i/>
      <w:snapToGrid w:val="0"/>
      <w:color w:val="000000"/>
      <w:szCs w:val="22"/>
      <w:lang w:eastAsia="de-DE" w:bidi="en-US"/>
    </w:rPr>
  </w:style>
  <w:style w:type="paragraph" w:customStyle="1" w:styleId="MDPI12title">
    <w:name w:val="MDPI_1.2_title"/>
    <w:next w:val="Normal"/>
    <w:qFormat/>
    <w:rsid w:val="003D34A1"/>
    <w:pPr>
      <w:adjustRightInd w:val="0"/>
      <w:snapToGrid w:val="0"/>
      <w:spacing w:after="240" w:line="240" w:lineRule="atLeast"/>
    </w:pPr>
    <w:rPr>
      <w:rFonts w:ascii="Palatino Linotype" w:eastAsia="Times New Roman" w:hAnsi="Palatino Linotype"/>
      <w:b/>
      <w:snapToGrid w:val="0"/>
      <w:color w:val="000000"/>
      <w:sz w:val="36"/>
      <w:lang w:eastAsia="de-DE" w:bidi="en-US"/>
    </w:rPr>
  </w:style>
  <w:style w:type="paragraph" w:customStyle="1" w:styleId="MDPI13authornames">
    <w:name w:val="MDPI_1.3_authornames"/>
    <w:next w:val="Normal"/>
    <w:qFormat/>
    <w:rsid w:val="003D34A1"/>
    <w:pPr>
      <w:adjustRightInd w:val="0"/>
      <w:snapToGrid w:val="0"/>
      <w:spacing w:after="360" w:line="260" w:lineRule="atLeast"/>
    </w:pPr>
    <w:rPr>
      <w:rFonts w:ascii="Palatino Linotype" w:eastAsia="Times New Roman" w:hAnsi="Palatino Linotype"/>
      <w:b/>
      <w:color w:val="000000"/>
      <w:szCs w:val="22"/>
      <w:lang w:eastAsia="de-DE" w:bidi="en-US"/>
    </w:rPr>
  </w:style>
  <w:style w:type="paragraph" w:customStyle="1" w:styleId="MDPI14history">
    <w:name w:val="MDPI_1.4_history"/>
    <w:basedOn w:val="Normal"/>
    <w:next w:val="Normal"/>
    <w:qFormat/>
    <w:rsid w:val="003D34A1"/>
    <w:pPr>
      <w:adjustRightInd w:val="0"/>
      <w:snapToGrid w:val="0"/>
      <w:spacing w:line="240" w:lineRule="atLeast"/>
      <w:ind w:right="113"/>
      <w:jc w:val="left"/>
    </w:pPr>
    <w:rPr>
      <w:rFonts w:eastAsia="Times New Roman"/>
      <w:sz w:val="14"/>
      <w:lang w:eastAsia="de-DE" w:bidi="en-US"/>
    </w:rPr>
  </w:style>
  <w:style w:type="paragraph" w:customStyle="1" w:styleId="MDPI16affiliation">
    <w:name w:val="MDPI_1.6_affiliation"/>
    <w:qFormat/>
    <w:rsid w:val="003D34A1"/>
    <w:pPr>
      <w:adjustRightInd w:val="0"/>
      <w:snapToGrid w:val="0"/>
      <w:spacing w:line="200" w:lineRule="atLeast"/>
      <w:ind w:left="2806" w:hanging="198"/>
    </w:pPr>
    <w:rPr>
      <w:rFonts w:ascii="Palatino Linotype" w:eastAsia="Times New Roman" w:hAnsi="Palatino Linotype"/>
      <w:color w:val="000000"/>
      <w:sz w:val="16"/>
      <w:szCs w:val="18"/>
      <w:lang w:eastAsia="de-DE" w:bidi="en-US"/>
    </w:rPr>
  </w:style>
  <w:style w:type="paragraph" w:customStyle="1" w:styleId="MDPI17abstract">
    <w:name w:val="MDPI_1.7_abstract"/>
    <w:next w:val="Normal"/>
    <w:qFormat/>
    <w:rsid w:val="003D34A1"/>
    <w:pPr>
      <w:adjustRightInd w:val="0"/>
      <w:snapToGrid w:val="0"/>
      <w:spacing w:before="240" w:after="120" w:line="280" w:lineRule="atLeast"/>
      <w:ind w:left="2608"/>
      <w:jc w:val="both"/>
    </w:pPr>
    <w:rPr>
      <w:rFonts w:ascii="Palatino Linotype" w:eastAsia="Times New Roman" w:hAnsi="Palatino Linotype"/>
      <w:color w:val="000000"/>
      <w:szCs w:val="22"/>
      <w:lang w:eastAsia="de-DE" w:bidi="en-US"/>
    </w:rPr>
  </w:style>
  <w:style w:type="paragraph" w:customStyle="1" w:styleId="MDPI18keywords">
    <w:name w:val="MDPI_1.8_keywords"/>
    <w:next w:val="Normal"/>
    <w:qFormat/>
    <w:rsid w:val="003D34A1"/>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19line">
    <w:name w:val="MDPI_1.9_line"/>
    <w:qFormat/>
    <w:rsid w:val="003D34A1"/>
    <w:pPr>
      <w:pBdr>
        <w:bottom w:val="single" w:sz="6" w:space="1" w:color="auto"/>
      </w:pBdr>
      <w:adjustRightInd w:val="0"/>
      <w:snapToGrid w:val="0"/>
      <w:spacing w:after="480" w:line="280" w:lineRule="atLeast"/>
      <w:ind w:left="2608"/>
      <w:jc w:val="both"/>
    </w:pPr>
    <w:rPr>
      <w:rFonts w:ascii="Palatino Linotype" w:eastAsia="Times New Roman" w:hAnsi="Palatino Linotype" w:cs="Cordia New"/>
      <w:color w:val="000000"/>
      <w:szCs w:val="24"/>
      <w:lang w:eastAsia="de-DE" w:bidi="en-US"/>
    </w:rPr>
  </w:style>
  <w:style w:type="table" w:customStyle="1" w:styleId="Mdeck5tablebodythreelines">
    <w:name w:val="M_deck_5_table_body_three_lines"/>
    <w:basedOn w:val="TableNormal"/>
    <w:uiPriority w:val="99"/>
    <w:rsid w:val="00173241"/>
    <w:pPr>
      <w:adjustRightInd w:val="0"/>
      <w:snapToGrid w:val="0"/>
      <w:spacing w:line="300" w:lineRule="exact"/>
      <w:jc w:val="center"/>
    </w:pPr>
    <w:rPr>
      <w:rFonts w:ascii="Times New Roman" w:hAnsi="Times New Roman"/>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TableGrid">
    <w:name w:val="Table Grid"/>
    <w:basedOn w:val="TableNormal"/>
    <w:uiPriority w:val="59"/>
    <w:rsid w:val="003D34A1"/>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3D34A1"/>
    <w:pPr>
      <w:tabs>
        <w:tab w:val="center" w:pos="4153"/>
        <w:tab w:val="right" w:pos="8306"/>
      </w:tabs>
      <w:snapToGrid w:val="0"/>
      <w:spacing w:line="240" w:lineRule="atLeast"/>
    </w:pPr>
    <w:rPr>
      <w:szCs w:val="18"/>
    </w:rPr>
  </w:style>
  <w:style w:type="character" w:customStyle="1" w:styleId="FooterChar">
    <w:name w:val="Footer Char"/>
    <w:link w:val="Footer"/>
    <w:uiPriority w:val="99"/>
    <w:rsid w:val="003D34A1"/>
    <w:rPr>
      <w:rFonts w:ascii="Palatino Linotype" w:hAnsi="Palatino Linotype"/>
      <w:noProof/>
      <w:color w:val="000000"/>
      <w:szCs w:val="18"/>
    </w:rPr>
  </w:style>
  <w:style w:type="paragraph" w:styleId="Header">
    <w:name w:val="header"/>
    <w:basedOn w:val="Normal"/>
    <w:link w:val="HeaderChar"/>
    <w:uiPriority w:val="99"/>
    <w:rsid w:val="003D34A1"/>
    <w:pPr>
      <w:pBdr>
        <w:bottom w:val="single" w:sz="6" w:space="1" w:color="auto"/>
      </w:pBdr>
      <w:tabs>
        <w:tab w:val="center" w:pos="4153"/>
        <w:tab w:val="right" w:pos="8306"/>
      </w:tabs>
      <w:snapToGrid w:val="0"/>
      <w:spacing w:line="240" w:lineRule="atLeast"/>
      <w:jc w:val="center"/>
    </w:pPr>
    <w:rPr>
      <w:szCs w:val="18"/>
    </w:rPr>
  </w:style>
  <w:style w:type="character" w:customStyle="1" w:styleId="HeaderChar">
    <w:name w:val="Header Char"/>
    <w:link w:val="Header"/>
    <w:uiPriority w:val="99"/>
    <w:rsid w:val="003D34A1"/>
    <w:rPr>
      <w:rFonts w:ascii="Palatino Linotype" w:hAnsi="Palatino Linotype"/>
      <w:noProof/>
      <w:color w:val="000000"/>
      <w:szCs w:val="18"/>
    </w:rPr>
  </w:style>
  <w:style w:type="paragraph" w:customStyle="1" w:styleId="MDPI32textnoindent">
    <w:name w:val="MDPI_3.2_text_no_indent"/>
    <w:basedOn w:val="MDPI31text"/>
    <w:qFormat/>
    <w:rsid w:val="003D34A1"/>
    <w:pPr>
      <w:ind w:firstLine="0"/>
    </w:pPr>
  </w:style>
  <w:style w:type="paragraph" w:customStyle="1" w:styleId="MDPI31text">
    <w:name w:val="MDPI_3.1_text"/>
    <w:qFormat/>
    <w:rsid w:val="00BA0752"/>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3textspaceafter">
    <w:name w:val="MDPI_3.3_text_space_after"/>
    <w:qFormat/>
    <w:rsid w:val="003D34A1"/>
    <w:pPr>
      <w:adjustRightInd w:val="0"/>
      <w:snapToGrid w:val="0"/>
      <w:spacing w:after="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4textspacebefore">
    <w:name w:val="MDPI_3.4_text_space_before"/>
    <w:qFormat/>
    <w:rsid w:val="003D34A1"/>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5textbeforelist">
    <w:name w:val="MDPI_3.5_text_before_list"/>
    <w:qFormat/>
    <w:rsid w:val="003D34A1"/>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6textafterlist">
    <w:name w:val="MDPI_3.6_text_after_list"/>
    <w:qFormat/>
    <w:rsid w:val="003D34A1"/>
    <w:pPr>
      <w:adjustRightInd w:val="0"/>
      <w:snapToGrid w:val="0"/>
      <w:spacing w:before="12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7itemize">
    <w:name w:val="MDPI_3.7_itemize"/>
    <w:qFormat/>
    <w:rsid w:val="00A96919"/>
    <w:pPr>
      <w:numPr>
        <w:numId w:val="22"/>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8bullet">
    <w:name w:val="MDPI_3.8_bullet"/>
    <w:qFormat/>
    <w:rsid w:val="00A96919"/>
    <w:pPr>
      <w:numPr>
        <w:numId w:val="20"/>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9equation">
    <w:name w:val="MDPI_3.9_equation"/>
    <w:qFormat/>
    <w:rsid w:val="003D34A1"/>
    <w:pPr>
      <w:adjustRightInd w:val="0"/>
      <w:snapToGrid w:val="0"/>
      <w:spacing w:before="120" w:after="120" w:line="28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3D34A1"/>
    <w:pPr>
      <w:spacing w:before="120" w:after="120" w:line="280" w:lineRule="atLeast"/>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3D34A1"/>
    <w:pPr>
      <w:adjustRightInd w:val="0"/>
      <w:snapToGrid w:val="0"/>
      <w:spacing w:before="240" w:after="120"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42tablebody">
    <w:name w:val="MDPI_4.2_table_body"/>
    <w:qFormat/>
    <w:rsid w:val="000B1763"/>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MDPI43tablefooter">
    <w:name w:val="MDPI_4.3_table_footer"/>
    <w:next w:val="MDPI31text"/>
    <w:qFormat/>
    <w:rsid w:val="003D34A1"/>
    <w:pPr>
      <w:adjustRightInd w:val="0"/>
      <w:snapToGrid w:val="0"/>
      <w:spacing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51figurecaption">
    <w:name w:val="MDPI_5.1_figure_caption"/>
    <w:qFormat/>
    <w:rsid w:val="003D34A1"/>
    <w:pPr>
      <w:adjustRightInd w:val="0"/>
      <w:snapToGrid w:val="0"/>
      <w:spacing w:before="120" w:after="240" w:line="280" w:lineRule="atLeast"/>
      <w:ind w:left="2608"/>
      <w:jc w:val="both"/>
    </w:pPr>
    <w:rPr>
      <w:rFonts w:ascii="Palatino Linotype" w:eastAsia="Times New Roman" w:hAnsi="Palatino Linotype"/>
      <w:color w:val="000000"/>
      <w:sz w:val="18"/>
      <w:lang w:eastAsia="de-DE" w:bidi="en-US"/>
    </w:rPr>
  </w:style>
  <w:style w:type="paragraph" w:customStyle="1" w:styleId="MDPI52figure">
    <w:name w:val="MDPI_5.2_figure"/>
    <w:qFormat/>
    <w:rsid w:val="003D34A1"/>
    <w:pPr>
      <w:adjustRightInd w:val="0"/>
      <w:snapToGrid w:val="0"/>
      <w:spacing w:before="240" w:after="120"/>
      <w:jc w:val="center"/>
    </w:pPr>
    <w:rPr>
      <w:rFonts w:ascii="Palatino Linotype" w:eastAsia="Times New Roman" w:hAnsi="Palatino Linotype"/>
      <w:snapToGrid w:val="0"/>
      <w:color w:val="000000"/>
      <w:lang w:eastAsia="de-DE" w:bidi="en-US"/>
    </w:rPr>
  </w:style>
  <w:style w:type="paragraph" w:customStyle="1" w:styleId="MDPI82theorem">
    <w:name w:val="MDPI_8.2_theorem"/>
    <w:qFormat/>
    <w:rsid w:val="003D34A1"/>
    <w:pPr>
      <w:adjustRightInd w:val="0"/>
      <w:snapToGrid w:val="0"/>
      <w:spacing w:line="280" w:lineRule="atLeast"/>
      <w:ind w:left="2608"/>
      <w:jc w:val="both"/>
    </w:pPr>
    <w:rPr>
      <w:rFonts w:ascii="Palatino Linotype" w:eastAsia="Times New Roman" w:hAnsi="Palatino Linotype"/>
      <w:i/>
      <w:snapToGrid w:val="0"/>
      <w:color w:val="000000"/>
      <w:szCs w:val="22"/>
      <w:lang w:eastAsia="de-DE" w:bidi="en-US"/>
    </w:rPr>
  </w:style>
  <w:style w:type="paragraph" w:customStyle="1" w:styleId="MDPI83proof">
    <w:name w:val="MDPI_8.3_proof"/>
    <w:qFormat/>
    <w:rsid w:val="003D34A1"/>
    <w:pPr>
      <w:adjustRightInd w:val="0"/>
      <w:snapToGrid w:val="0"/>
      <w:spacing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23heading3">
    <w:name w:val="MDPI_2.3_heading3"/>
    <w:qFormat/>
    <w:rsid w:val="003D34A1"/>
    <w:pPr>
      <w:adjustRightInd w:val="0"/>
      <w:snapToGrid w:val="0"/>
      <w:spacing w:before="60" w:after="60" w:line="280" w:lineRule="atLeast"/>
      <w:ind w:left="2608"/>
      <w:outlineLvl w:val="2"/>
    </w:pPr>
    <w:rPr>
      <w:rFonts w:ascii="Palatino Linotype" w:eastAsia="Times New Roman" w:hAnsi="Palatino Linotype"/>
      <w:snapToGrid w:val="0"/>
      <w:color w:val="000000"/>
      <w:szCs w:val="22"/>
      <w:lang w:eastAsia="de-DE" w:bidi="en-US"/>
    </w:rPr>
  </w:style>
  <w:style w:type="paragraph" w:customStyle="1" w:styleId="MDPI21heading1">
    <w:name w:val="MDPI_2.1_heading1"/>
    <w:qFormat/>
    <w:rsid w:val="003D34A1"/>
    <w:pPr>
      <w:adjustRightInd w:val="0"/>
      <w:snapToGrid w:val="0"/>
      <w:spacing w:before="240" w:after="60" w:line="280" w:lineRule="atLeast"/>
      <w:ind w:left="2608"/>
      <w:outlineLvl w:val="0"/>
    </w:pPr>
    <w:rPr>
      <w:rFonts w:ascii="Palatino Linotype" w:eastAsia="Times New Roman" w:hAnsi="Palatino Linotype"/>
      <w:b/>
      <w:snapToGrid w:val="0"/>
      <w:color w:val="000000"/>
      <w:sz w:val="24"/>
      <w:szCs w:val="22"/>
      <w:lang w:eastAsia="de-DE" w:bidi="en-US"/>
    </w:rPr>
  </w:style>
  <w:style w:type="paragraph" w:customStyle="1" w:styleId="MDPI22heading2">
    <w:name w:val="MDPI_2.2_heading2"/>
    <w:qFormat/>
    <w:rsid w:val="003D34A1"/>
    <w:pPr>
      <w:adjustRightInd w:val="0"/>
      <w:snapToGrid w:val="0"/>
      <w:spacing w:before="60" w:after="60" w:line="280" w:lineRule="atLeast"/>
      <w:ind w:left="2608"/>
      <w:outlineLvl w:val="1"/>
    </w:pPr>
    <w:rPr>
      <w:rFonts w:ascii="Palatino Linotype" w:eastAsia="Times New Roman" w:hAnsi="Palatino Linotype"/>
      <w:i/>
      <w:noProof/>
      <w:snapToGrid w:val="0"/>
      <w:color w:val="000000"/>
      <w:szCs w:val="22"/>
      <w:lang w:eastAsia="de-DE" w:bidi="en-US"/>
    </w:rPr>
  </w:style>
  <w:style w:type="paragraph" w:customStyle="1" w:styleId="MDPI81references">
    <w:name w:val="MDPI_8.1_references"/>
    <w:qFormat/>
    <w:rsid w:val="00682756"/>
    <w:pPr>
      <w:numPr>
        <w:numId w:val="23"/>
      </w:numPr>
      <w:adjustRightInd w:val="0"/>
      <w:snapToGrid w:val="0"/>
      <w:spacing w:line="280" w:lineRule="atLeast"/>
      <w:jc w:val="both"/>
    </w:pPr>
    <w:rPr>
      <w:rFonts w:ascii="Palatino Linotype" w:eastAsia="Times New Roman" w:hAnsi="Palatino Linotype"/>
      <w:color w:val="000000"/>
      <w:sz w:val="18"/>
      <w:lang w:eastAsia="de-DE" w:bidi="en-US"/>
    </w:rPr>
  </w:style>
  <w:style w:type="paragraph" w:styleId="BalloonText">
    <w:name w:val="Balloon Text"/>
    <w:basedOn w:val="Normal"/>
    <w:link w:val="BalloonTextChar"/>
    <w:uiPriority w:val="99"/>
    <w:rsid w:val="003D34A1"/>
    <w:rPr>
      <w:rFonts w:cs="Tahoma"/>
      <w:szCs w:val="18"/>
    </w:rPr>
  </w:style>
  <w:style w:type="character" w:customStyle="1" w:styleId="BalloonTextChar">
    <w:name w:val="Balloon Text Char"/>
    <w:link w:val="BalloonText"/>
    <w:uiPriority w:val="99"/>
    <w:rsid w:val="003D34A1"/>
    <w:rPr>
      <w:rFonts w:ascii="Palatino Linotype" w:hAnsi="Palatino Linotype" w:cs="Tahoma"/>
      <w:noProof/>
      <w:color w:val="000000"/>
      <w:szCs w:val="18"/>
    </w:rPr>
  </w:style>
  <w:style w:type="character" w:styleId="LineNumber">
    <w:name w:val="line number"/>
    <w:uiPriority w:val="99"/>
    <w:rsid w:val="00030C02"/>
    <w:rPr>
      <w:rFonts w:ascii="Palatino Linotype" w:hAnsi="Palatino Linotype"/>
      <w:sz w:val="16"/>
    </w:rPr>
  </w:style>
  <w:style w:type="table" w:customStyle="1" w:styleId="MDPI41threelinetable">
    <w:name w:val="MDPI_4.1_three_line_table"/>
    <w:basedOn w:val="TableNormal"/>
    <w:uiPriority w:val="99"/>
    <w:rsid w:val="003D34A1"/>
    <w:pPr>
      <w:adjustRightInd w:val="0"/>
      <w:snapToGrid w:val="0"/>
      <w:spacing w:line="280" w:lineRule="atLeast"/>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Hyperlink">
    <w:name w:val="Hyperlink"/>
    <w:uiPriority w:val="99"/>
    <w:rsid w:val="003D34A1"/>
    <w:rPr>
      <w:color w:val="0000FF"/>
      <w:u w:val="single"/>
    </w:rPr>
  </w:style>
  <w:style w:type="character" w:styleId="UnresolvedMention">
    <w:name w:val="Unresolved Mention"/>
    <w:uiPriority w:val="99"/>
    <w:semiHidden/>
    <w:unhideWhenUsed/>
    <w:rsid w:val="00EA2E33"/>
    <w:rPr>
      <w:color w:val="605E5C"/>
      <w:shd w:val="clear" w:color="auto" w:fill="E1DFDD"/>
    </w:rPr>
  </w:style>
  <w:style w:type="table" w:styleId="PlainTable4">
    <w:name w:val="Plain Table 4"/>
    <w:basedOn w:val="TableNormal"/>
    <w:uiPriority w:val="44"/>
    <w:rsid w:val="00C047A0"/>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61citation">
    <w:name w:val="MDPI_6.1_citation"/>
    <w:qFormat/>
    <w:rsid w:val="003D34A1"/>
    <w:pPr>
      <w:adjustRightInd w:val="0"/>
      <w:snapToGrid w:val="0"/>
      <w:spacing w:before="120" w:after="120" w:line="240" w:lineRule="atLeast"/>
      <w:ind w:right="113"/>
    </w:pPr>
    <w:rPr>
      <w:rFonts w:ascii="Palatino Linotype" w:hAnsi="Palatino Linotype" w:cs="Cordia New"/>
      <w:sz w:val="14"/>
      <w:szCs w:val="22"/>
    </w:rPr>
  </w:style>
  <w:style w:type="paragraph" w:customStyle="1" w:styleId="MDPI62backmatter">
    <w:name w:val="MDPI_6.2_back_matter"/>
    <w:qFormat/>
    <w:rsid w:val="003D34A1"/>
    <w:pPr>
      <w:adjustRightInd w:val="0"/>
      <w:snapToGrid w:val="0"/>
      <w:spacing w:after="120" w:line="280" w:lineRule="atLeast"/>
      <w:ind w:left="2608"/>
      <w:jc w:val="both"/>
    </w:pPr>
    <w:rPr>
      <w:rFonts w:ascii="Palatino Linotype" w:eastAsia="Times New Roman" w:hAnsi="Palatino Linotype"/>
      <w:snapToGrid w:val="0"/>
      <w:color w:val="000000"/>
      <w:sz w:val="18"/>
      <w:lang w:eastAsia="en-US" w:bidi="en-US"/>
    </w:rPr>
  </w:style>
  <w:style w:type="paragraph" w:customStyle="1" w:styleId="MDPI63notes">
    <w:name w:val="MDPI_6.3_notes"/>
    <w:qFormat/>
    <w:rsid w:val="003D34A1"/>
    <w:pPr>
      <w:adjustRightInd w:val="0"/>
      <w:snapToGrid w:val="0"/>
      <w:spacing w:before="240" w:line="280" w:lineRule="atLeast"/>
      <w:jc w:val="both"/>
    </w:pPr>
    <w:rPr>
      <w:rFonts w:ascii="Palatino Linotype" w:hAnsi="Palatino Linotype"/>
      <w:snapToGrid w:val="0"/>
      <w:color w:val="000000"/>
      <w:sz w:val="18"/>
      <w:lang w:eastAsia="en-US" w:bidi="en-US"/>
    </w:rPr>
  </w:style>
  <w:style w:type="paragraph" w:customStyle="1" w:styleId="MDPI15academiceditor">
    <w:name w:val="MDPI_1.5_academic_editor"/>
    <w:qFormat/>
    <w:rsid w:val="001F6B2A"/>
    <w:pPr>
      <w:adjustRightInd w:val="0"/>
      <w:snapToGrid w:val="0"/>
      <w:spacing w:before="120" w:line="240" w:lineRule="atLeast"/>
      <w:ind w:right="113"/>
    </w:pPr>
    <w:rPr>
      <w:rFonts w:ascii="Palatino Linotype" w:eastAsia="Times New Roman" w:hAnsi="Palatino Linotype"/>
      <w:color w:val="000000"/>
      <w:sz w:val="14"/>
      <w:szCs w:val="22"/>
      <w:lang w:eastAsia="de-DE" w:bidi="en-US"/>
    </w:rPr>
  </w:style>
  <w:style w:type="paragraph" w:customStyle="1" w:styleId="MDPI411onetablecaption">
    <w:name w:val="MDPI_4.1.1_one_table_caption"/>
    <w:qFormat/>
    <w:rsid w:val="003D34A1"/>
    <w:pPr>
      <w:adjustRightInd w:val="0"/>
      <w:snapToGrid w:val="0"/>
      <w:spacing w:before="240" w:after="120" w:line="280" w:lineRule="atLeast"/>
      <w:jc w:val="center"/>
    </w:pPr>
    <w:rPr>
      <w:rFonts w:ascii="Palatino Linotype" w:hAnsi="Palatino Linotype" w:cs="Cordia New"/>
      <w:noProof/>
      <w:color w:val="000000"/>
      <w:sz w:val="18"/>
      <w:szCs w:val="22"/>
      <w:lang w:bidi="en-US"/>
    </w:rPr>
  </w:style>
  <w:style w:type="paragraph" w:customStyle="1" w:styleId="MDPI511onefigurecaption">
    <w:name w:val="MDPI_5.1.1_one_figure_caption"/>
    <w:qFormat/>
    <w:rsid w:val="003D34A1"/>
    <w:pPr>
      <w:adjustRightInd w:val="0"/>
      <w:snapToGrid w:val="0"/>
      <w:spacing w:before="240" w:after="120" w:line="280" w:lineRule="atLeast"/>
      <w:jc w:val="center"/>
    </w:pPr>
    <w:rPr>
      <w:rFonts w:ascii="Palatino Linotype" w:hAnsi="Palatino Linotype"/>
      <w:noProof/>
      <w:color w:val="000000"/>
      <w:sz w:val="18"/>
      <w:lang w:bidi="en-US"/>
    </w:rPr>
  </w:style>
  <w:style w:type="paragraph" w:customStyle="1" w:styleId="MDPI72copyright">
    <w:name w:val="MDPI_7.2_copyright"/>
    <w:qFormat/>
    <w:rsid w:val="00E10DAA"/>
    <w:pPr>
      <w:adjustRightInd w:val="0"/>
      <w:snapToGrid w:val="0"/>
      <w:spacing w:before="120" w:line="240" w:lineRule="atLeast"/>
      <w:ind w:right="113"/>
    </w:pPr>
    <w:rPr>
      <w:rFonts w:ascii="Palatino Linotype" w:eastAsia="Times New Roman" w:hAnsi="Palatino Linotype"/>
      <w:noProof/>
      <w:snapToGrid w:val="0"/>
      <w:color w:val="000000"/>
      <w:sz w:val="14"/>
      <w:lang w:val="en-GB" w:eastAsia="en-GB"/>
    </w:rPr>
  </w:style>
  <w:style w:type="table" w:customStyle="1" w:styleId="MDPItable">
    <w:name w:val="MDPI_table"/>
    <w:basedOn w:val="TableNormal"/>
    <w:uiPriority w:val="99"/>
    <w:rsid w:val="003D34A1"/>
    <w:rPr>
      <w:rFonts w:ascii="Palatino Linotype" w:hAnsi="Palatino Linotype"/>
      <w:color w:val="000000"/>
      <w:lang w:val="en-CA" w:eastAsia="en-US"/>
    </w:rPr>
    <w:tblPr>
      <w:tblCellMar>
        <w:left w:w="0" w:type="dxa"/>
        <w:right w:w="0" w:type="dxa"/>
      </w:tblCellMar>
    </w:tblPr>
  </w:style>
  <w:style w:type="character" w:customStyle="1" w:styleId="apple-converted-space">
    <w:name w:val="apple-converted-space"/>
    <w:rsid w:val="003D34A1"/>
  </w:style>
  <w:style w:type="paragraph" w:styleId="Bibliography">
    <w:name w:val="Bibliography"/>
    <w:basedOn w:val="Normal"/>
    <w:next w:val="Normal"/>
    <w:uiPriority w:val="37"/>
    <w:semiHidden/>
    <w:unhideWhenUsed/>
    <w:rsid w:val="003D34A1"/>
  </w:style>
  <w:style w:type="paragraph" w:styleId="BodyText">
    <w:name w:val="Body Text"/>
    <w:link w:val="BodyTextChar"/>
    <w:rsid w:val="003D34A1"/>
    <w:pPr>
      <w:spacing w:after="120" w:line="340" w:lineRule="atLeast"/>
      <w:jc w:val="both"/>
    </w:pPr>
    <w:rPr>
      <w:rFonts w:ascii="Palatino Linotype" w:hAnsi="Palatino Linotype"/>
      <w:color w:val="000000"/>
      <w:sz w:val="24"/>
      <w:lang w:eastAsia="de-DE"/>
    </w:rPr>
  </w:style>
  <w:style w:type="character" w:customStyle="1" w:styleId="BodyTextChar">
    <w:name w:val="Body Text Char"/>
    <w:link w:val="BodyText"/>
    <w:rsid w:val="003D34A1"/>
    <w:rPr>
      <w:rFonts w:ascii="Palatino Linotype" w:hAnsi="Palatino Linotype"/>
      <w:color w:val="000000"/>
      <w:sz w:val="24"/>
      <w:lang w:eastAsia="de-DE"/>
    </w:rPr>
  </w:style>
  <w:style w:type="character" w:styleId="CommentReference">
    <w:name w:val="annotation reference"/>
    <w:rsid w:val="003D34A1"/>
    <w:rPr>
      <w:sz w:val="21"/>
      <w:szCs w:val="21"/>
    </w:rPr>
  </w:style>
  <w:style w:type="paragraph" w:styleId="CommentText">
    <w:name w:val="annotation text"/>
    <w:basedOn w:val="Normal"/>
    <w:link w:val="CommentTextChar"/>
    <w:rsid w:val="003D34A1"/>
  </w:style>
  <w:style w:type="character" w:customStyle="1" w:styleId="CommentTextChar">
    <w:name w:val="Comment Text Char"/>
    <w:link w:val="CommentText"/>
    <w:rsid w:val="003D34A1"/>
    <w:rPr>
      <w:rFonts w:ascii="Palatino Linotype" w:hAnsi="Palatino Linotype"/>
      <w:noProof/>
      <w:color w:val="000000"/>
    </w:rPr>
  </w:style>
  <w:style w:type="paragraph" w:styleId="CommentSubject">
    <w:name w:val="annotation subject"/>
    <w:basedOn w:val="CommentText"/>
    <w:next w:val="CommentText"/>
    <w:link w:val="CommentSubjectChar"/>
    <w:rsid w:val="003D34A1"/>
    <w:rPr>
      <w:b/>
      <w:bCs/>
    </w:rPr>
  </w:style>
  <w:style w:type="character" w:customStyle="1" w:styleId="CommentSubjectChar">
    <w:name w:val="Comment Subject Char"/>
    <w:link w:val="CommentSubject"/>
    <w:rsid w:val="003D34A1"/>
    <w:rPr>
      <w:rFonts w:ascii="Palatino Linotype" w:hAnsi="Palatino Linotype"/>
      <w:b/>
      <w:bCs/>
      <w:noProof/>
      <w:color w:val="000000"/>
    </w:rPr>
  </w:style>
  <w:style w:type="character" w:styleId="EndnoteReference">
    <w:name w:val="endnote reference"/>
    <w:rsid w:val="003D34A1"/>
    <w:rPr>
      <w:vertAlign w:val="superscript"/>
    </w:rPr>
  </w:style>
  <w:style w:type="paragraph" w:styleId="EndnoteText">
    <w:name w:val="endnote text"/>
    <w:basedOn w:val="Normal"/>
    <w:link w:val="EndnoteTextChar"/>
    <w:semiHidden/>
    <w:unhideWhenUsed/>
    <w:rsid w:val="003D34A1"/>
    <w:pPr>
      <w:spacing w:line="240" w:lineRule="auto"/>
    </w:pPr>
  </w:style>
  <w:style w:type="character" w:customStyle="1" w:styleId="EndnoteTextChar">
    <w:name w:val="Endnote Text Char"/>
    <w:link w:val="EndnoteText"/>
    <w:semiHidden/>
    <w:rsid w:val="003D34A1"/>
    <w:rPr>
      <w:rFonts w:ascii="Palatino Linotype" w:hAnsi="Palatino Linotype"/>
      <w:noProof/>
      <w:color w:val="000000"/>
    </w:rPr>
  </w:style>
  <w:style w:type="character" w:styleId="FollowedHyperlink">
    <w:name w:val="FollowedHyperlink"/>
    <w:rsid w:val="003D34A1"/>
    <w:rPr>
      <w:color w:val="954F72"/>
      <w:u w:val="single"/>
    </w:rPr>
  </w:style>
  <w:style w:type="paragraph" w:styleId="FootnoteText">
    <w:name w:val="footnote text"/>
    <w:basedOn w:val="Normal"/>
    <w:link w:val="FootnoteTextChar"/>
    <w:semiHidden/>
    <w:unhideWhenUsed/>
    <w:rsid w:val="003D34A1"/>
    <w:pPr>
      <w:spacing w:line="240" w:lineRule="auto"/>
    </w:pPr>
  </w:style>
  <w:style w:type="character" w:customStyle="1" w:styleId="FootnoteTextChar">
    <w:name w:val="Footnote Text Char"/>
    <w:link w:val="FootnoteText"/>
    <w:semiHidden/>
    <w:rsid w:val="003D34A1"/>
    <w:rPr>
      <w:rFonts w:ascii="Palatino Linotype" w:hAnsi="Palatino Linotype"/>
      <w:noProof/>
      <w:color w:val="000000"/>
    </w:rPr>
  </w:style>
  <w:style w:type="paragraph" w:styleId="NormalWeb">
    <w:name w:val="Normal (Web)"/>
    <w:basedOn w:val="Normal"/>
    <w:uiPriority w:val="99"/>
    <w:rsid w:val="003D34A1"/>
    <w:rPr>
      <w:szCs w:val="24"/>
    </w:rPr>
  </w:style>
  <w:style w:type="paragraph" w:customStyle="1" w:styleId="MsoFootnoteText0">
    <w:name w:val="MsoFootnoteText"/>
    <w:basedOn w:val="NormalWeb"/>
    <w:qFormat/>
    <w:rsid w:val="003D34A1"/>
    <w:rPr>
      <w:rFonts w:ascii="Times New Roman" w:hAnsi="Times New Roman"/>
    </w:rPr>
  </w:style>
  <w:style w:type="character" w:styleId="PageNumber">
    <w:name w:val="page number"/>
    <w:rsid w:val="003D34A1"/>
  </w:style>
  <w:style w:type="character" w:styleId="PlaceholderText">
    <w:name w:val="Placeholder Text"/>
    <w:uiPriority w:val="99"/>
    <w:semiHidden/>
    <w:rsid w:val="003D34A1"/>
    <w:rPr>
      <w:color w:val="808080"/>
    </w:rPr>
  </w:style>
  <w:style w:type="paragraph" w:customStyle="1" w:styleId="MDPI71footnotes">
    <w:name w:val="MDPI_7.1_footnotes"/>
    <w:qFormat/>
    <w:rsid w:val="00F358F1"/>
    <w:pPr>
      <w:numPr>
        <w:numId w:val="21"/>
      </w:numPr>
      <w:adjustRightInd w:val="0"/>
      <w:snapToGrid w:val="0"/>
      <w:spacing w:line="280" w:lineRule="atLeast"/>
    </w:pPr>
    <w:rPr>
      <w:rFonts w:ascii="Palatino Linotype" w:eastAsiaTheme="minorEastAsia" w:hAnsi="Palatino Linotype"/>
      <w:noProof/>
      <w:color w:val="000000"/>
      <w:sz w:val="18"/>
    </w:rPr>
  </w:style>
  <w:style w:type="character" w:styleId="Strong">
    <w:name w:val="Strong"/>
    <w:basedOn w:val="DefaultParagraphFont"/>
    <w:uiPriority w:val="22"/>
    <w:qFormat/>
    <w:rsid w:val="001C4F5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iso-8859-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img.mdpi.org/data/contributor-role-instruction.pdf"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1"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s>
</file>

<file path=word/_rels/head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systems-template.dot</Template>
  <TotalTime>1</TotalTime>
  <Pages>6</Pages>
  <Words>2274</Words>
  <Characters>12077</Characters>
  <Application>Microsoft Office Word</Application>
  <DocSecurity>0</DocSecurity>
  <Lines>287</Lines>
  <Paragraphs>191</Paragraphs>
  <ScaleCrop>false</ScaleCrop>
  <HeadingPairs>
    <vt:vector size="2" baseType="variant">
      <vt:variant>
        <vt:lpstr>Title</vt:lpstr>
      </vt:variant>
      <vt:variant>
        <vt:i4>1</vt:i4>
      </vt:variant>
    </vt:vector>
  </HeadingPairs>
  <TitlesOfParts>
    <vt:vector size="1" baseType="lpstr">
      <vt:lpstr>Type of the Paper (Article</vt:lpstr>
    </vt:vector>
  </TitlesOfParts>
  <Company/>
  <LinksUpToDate>false</LinksUpToDate>
  <CharactersWithSpaces>14160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of the Paper (Article</dc:title>
  <dc:subject/>
  <dc:creator>MDPI</dc:creator>
  <cp:keywords/>
  <dc:description/>
  <cp:lastModifiedBy>MDPI</cp:lastModifiedBy>
  <cp:revision>4</cp:revision>
  <dcterms:created xsi:type="dcterms:W3CDTF">2025-06-13T06:12:00Z</dcterms:created>
  <dcterms:modified xsi:type="dcterms:W3CDTF">2025-06-17T06:48:00Z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5470e00577bbcda9f6f0393045ea6a6a1d505038b62b8a58bba9ca28bce24e25</vt:lpwstr>
  </property>
</Properties>
</file>