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ABFAA">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Dear Editors:</w:t>
      </w:r>
    </w:p>
    <w:p w14:paraId="278D64B4">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ascii="Times New Roman" w:hAnsi="Times New Roman"/>
        </w:rPr>
        <w:t>We would like to submit the enclosed manuscript entitled “</w:t>
      </w:r>
      <w:r>
        <w:rPr>
          <w:rFonts w:ascii="Times New Roman" w:hAnsi="Times New Roman"/>
          <w:b/>
        </w:rPr>
        <w:t>Supporting Young Job Seekers with a Large Language Model Career Companion: A Randomized Controlled Trial of Effects on Career Distress, Career Adaptability, and Mental Well-Being</w:t>
      </w:r>
      <w:r>
        <w:rPr>
          <w:rFonts w:ascii="Times New Roman" w:hAnsi="Times New Roman"/>
        </w:rPr>
        <w:t xml:space="preserve">” for consideration for publication in </w:t>
      </w:r>
      <w:r>
        <w:rPr>
          <w:rFonts w:ascii="Times New Roman" w:hAnsi="Times New Roman"/>
          <w:b/>
        </w:rPr>
        <w:t>Behavioral Sciences</w:t>
      </w:r>
      <w:r>
        <w:rPr>
          <w:rFonts w:ascii="Times New Roman" w:hAnsi="Times New Roman"/>
        </w:rPr>
        <w:t>, as a contribution to the Special Issue “The Use of AI in the Behavioral Sciences” (Guest Editor: Dr. Danilo Garcia).</w:t>
      </w:r>
    </w:p>
    <w:p w14:paraId="2D6DF39A">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No conflict of interest exists in the submission of this manuscript. The manuscript has been approved by all authors for publication. On behalf of my co-authors, I would like to declare that the work described in this manuscript is original research that has not been published previously and is not under consideration for publication elsewhere, either in whole or in part. All authors listed have approved the enclosed manuscript.</w:t>
      </w:r>
    </w:p>
    <w:p w14:paraId="2885119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ascii="Times New Roman" w:hAnsi="Times New Roman"/>
        </w:rPr>
        <w:t xml:space="preserve">This randomized controlled trial asks whether AI can be used not only to understand but to support the human condition—the closing invitation of this Special Issue. A total of 356 unemployed or precariously employed young adults in Zhejiang, China, were randomized to four weeks of CareerMate, a large language model (LLM) career-companion chatbot designed from self-determination theory and career construction theory, or to a resources-only waitlist. CareerMate durably reduced career distress (adjusted d ≈ −0.4 at weeks 4 and 8) and depressive symptoms and improved career adaptability, decision self-efficacy, mental well-being, and job-search activity; gains in basic psychological need satisfaction mediated 23% of the primary effect; and the sentiment trajectory of participants’ own chat language, scored by an LLM blind to outcomes, tracked their recovery in real time. We believe the manuscript sits at the heart of </w:t>
      </w:r>
      <w:r>
        <w:rPr>
          <w:rFonts w:ascii="Times New Roman" w:hAnsi="Times New Roman"/>
          <w:b/>
        </w:rPr>
        <w:t>Behavioral Sciences</w:t>
      </w:r>
      <w:r>
        <w:rPr>
          <w:rFonts w:ascii="Times New Roman" w:hAnsi="Times New Roman"/>
        </w:rPr>
        <w:t xml:space="preserve"> and of this Special Issue: it is psychological in theory and outcome (motivation, well-being, mental health), interventional in design, and it closes the loop between AI-delivered support and AI-based analysis of open-ended language.</w:t>
      </w:r>
    </w:p>
    <w:p w14:paraId="735B0FBB">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hint="eastAsia" w:ascii="Times New Roman" w:hAnsi="Times New Roman" w:cs="Times New Roman"/>
        </w:rPr>
      </w:pPr>
      <w:r>
        <w:rPr>
          <w:rFonts w:hint="eastAsia" w:ascii="Times New Roman" w:hAnsi="Times New Roman" w:cs="Times New Roman"/>
        </w:rPr>
        <w:t>The innovations of this paper are as follows.</w:t>
      </w:r>
    </w:p>
    <w:p w14:paraId="42A23D6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(1) To our knowledge, this is the first randomized controlled trial of an LLM-based intervention for young job seekers’ career distress.</w:t>
      </w:r>
      <w:r>
        <w:rPr>
          <w:rFonts w:ascii="Times New Roman" w:hAnsi="Times New Roman"/>
        </w:rPr>
        <w:t xml:space="preserve"> It extends the conversational-agent evidence base from clinical symptoms to career psychology, a domain where scalable psychological support is scarcest exactly where youth unemployment is highest.</w:t>
      </w:r>
    </w:p>
    <w:p w14:paraId="5E96F1B1">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(2) The intervention is theory-driven and its mechanism is tested, not assumed.</w:t>
      </w:r>
      <w:r>
        <w:rPr>
          <w:rFonts w:ascii="Times New Roman" w:hAnsi="Times New Roman"/>
        </w:rPr>
        <w:t xml:space="preserve"> The dialogue policy operationalizes self-determination theory and career construction theory, and bootstrap mediation shows that increases in basic psychological need satisfaction carry a significant share of the treatment effect.</w:t>
      </w:r>
    </w:p>
    <w:p w14:paraId="03FD17E5">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(3) Participants’ own language serves as a real-time process marker.</w:t>
      </w:r>
      <w:r>
        <w:rPr>
          <w:rFonts w:ascii="Times New Roman" w:hAnsi="Times New Roman"/>
        </w:rPr>
        <w:t xml:space="preserve"> LLM-scored sentiment trajectories of chat messages track outcome improvement, demonstrating the Special Issue’s central theme—quantifying open-ended language—inside a randomized intervention rather than a cross-sectional survey.</w:t>
      </w:r>
    </w:p>
    <w:p w14:paraId="0F32396B">
      <w:pPr>
        <w:keepNext w:val="0"/>
        <w:keepLines w:val="0"/>
        <w:pageBreakBefore w:val="0"/>
        <w:widowControl w:val="0"/>
        <w:kinsoku/>
        <w:wordWrap/>
        <w:overflowPunct/>
        <w:topLinePunct w:val="0"/>
        <w:autoSpaceDE/>
        <w:autoSpaceDN/>
        <w:bidi w:val="0"/>
        <w:adjustRightInd w:val="0"/>
        <w:snapToGrid w:val="0"/>
        <w:ind w:firstLine="422" w:firstLineChars="200"/>
        <w:textAlignment w:val="auto"/>
        <w:rPr>
          <w:rFonts w:hint="eastAsia" w:ascii="Times New Roman" w:hAnsi="Times New Roman" w:cs="Times New Roman"/>
        </w:rPr>
      </w:pPr>
      <w:r>
        <w:rPr>
          <w:rFonts w:ascii="Times New Roman" w:hAnsi="Times New Roman"/>
          <w:b/>
        </w:rPr>
        <w:t>(4) Safety and responsibility are built in and reported.</w:t>
      </w:r>
      <w:r>
        <w:rPr>
          <w:rFonts w:ascii="Times New Roman" w:hAnsi="Times New Roman"/>
        </w:rPr>
        <w:t xml:space="preserve"> A three-tier human-oversight protocol (keyword and LLM risk flagging, crisis resources, 24-hour counselor review) processed 1.3% of sessions without a single serious adverse event, offering a concrete template for the responsible deployment the Special Issue calls for.</w:t>
      </w:r>
    </w:p>
    <w:p w14:paraId="34C1AFF2">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r>
        <w:rPr>
          <w:rFonts w:hint="eastAsia" w:ascii="Times New Roman" w:hAnsi="Times New Roman" w:cs="Times New Roman"/>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cs="Times New Roman"/>
        </w:rPr>
      </w:pPr>
    </w:p>
    <w:p w14:paraId="40C896F8">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Degree: Ph.D.</w:t>
      </w:r>
    </w:p>
    <w:p w14:paraId="6A54732B">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Institution and address: College of Business, Jiaxing University;</w:t>
      </w:r>
      <w:r>
        <w:rPr>
          <w:rFonts w:hint="eastAsia" w:ascii="Times New Roman" w:hAnsi="Times New Roman" w:cs="Times New Roman"/>
        </w:rPr>
        <w:t xml:space="preserve"> </w:t>
      </w:r>
      <w:r>
        <w:rPr>
          <w:rFonts w:ascii="Times New Roman" w:hAnsi="Times New Roman" w:cs="Times New Roman"/>
        </w:rPr>
        <w:t>Jiaxing 314001,China;</w:t>
      </w:r>
    </w:p>
    <w:p w14:paraId="44D338F9">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 xml:space="preserve">Email: </w:t>
      </w:r>
      <w:r>
        <w:rPr>
          <w:rFonts w:hint="eastAsia" w:ascii="Times New Roman" w:hAnsi="Times New Roman" w:cs="Times New Roman"/>
          <w:sz w:val="24"/>
          <w:szCs w:val="21"/>
        </w:rPr>
        <w:t>caixinyu@zjxu.edu.cn</w:t>
      </w:r>
    </w:p>
    <w:p w14:paraId="763D8810">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p>
    <w:p w14:paraId="3199C55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ascii="Times New Roman" w:hAnsi="Times New Roman" w:cs="Times New Roman"/>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 xml:space="preserve">                                                             Very sincerely yours,</w:t>
      </w:r>
    </w:p>
    <w:p w14:paraId="641F7432">
      <w:pPr>
        <w:keepNext w:val="0"/>
        <w:keepLines w:val="0"/>
        <w:pageBreakBefore w:val="0"/>
        <w:widowControl w:val="0"/>
        <w:tabs>
          <w:tab w:val="left" w:pos="7320"/>
        </w:tabs>
        <w:kinsoku/>
        <w:wordWrap/>
        <w:overflowPunct/>
        <w:topLinePunct w:val="0"/>
        <w:autoSpaceDE/>
        <w:autoSpaceDN/>
        <w:bidi w:val="0"/>
        <w:adjustRightInd w:val="0"/>
        <w:snapToGrid w:val="0"/>
        <w:textAlignment w:val="auto"/>
      </w:pPr>
      <w:r>
        <w:rPr>
          <w:rFonts w:ascii="Times New Roman" w:hAnsi="Times New Roman" w:cs="Times New Roman"/>
        </w:rPr>
        <w:tab/>
      </w:r>
      <w:r>
        <w:rPr>
          <w:rFonts w:hint="eastAsia" w:ascii="Times New Roman" w:hAnsi="Times New Roman" w:cs="Times New Roman"/>
        </w:rPr>
        <w:t>Xinyu Cai</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字符"/>
    <w:basedOn w:val="5"/>
    <w:link w:val="3"/>
    <w:qFormat/>
    <w:uiPriority w:val="99"/>
    <w:rPr>
      <w:sz w:val="18"/>
      <w:szCs w:val="18"/>
    </w:rPr>
  </w:style>
  <w:style w:type="character" w:customStyle="1" w:styleId="8">
    <w:name w:val="页脚 字符"/>
    <w:basedOn w:val="5"/>
    <w:link w:val="2"/>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359</Words>
  <Characters>2183</Characters>
  <Lines>18</Lines>
  <Paragraphs>5</Paragraphs>
  <TotalTime>24</TotalTime>
  <ScaleCrop>false</ScaleCrop>
  <LinksUpToDate>false</LinksUpToDate>
  <CharactersWithSpaces>2592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2026-07-07T10:58:10Z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