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57068C"/>
          <w:sz w:val="28"/>
        </w:rPr>
        <w:t>EMERGING TECHNOLOGIES</w:t>
      </w:r>
    </w:p>
    <w:p>
      <w:pPr>
        <w:pStyle w:val="Title"/>
        <w:jc w:val="center"/>
      </w:pPr>
      <w:r>
        <w:t>Promethean Agent Record</w:t>
      </w:r>
    </w:p>
    <w:p>
      <w:pPr>
        <w:jc w:val="center"/>
      </w:pPr>
      <w:r>
        <w:t>MASY1 GC 1800  |  Assignment 4 SubAgent 3  |  Yufei Cai  |  October 19 2026</w:t>
      </w:r>
    </w:p>
    <w:tbl>
      <w:tblPr>
        <w:tblW w:type="auto" w:w="0"/>
        <w:tblLook w:firstColumn="1" w:firstRow="1" w:lastColumn="0" w:lastRow="0" w:noHBand="0" w:noVBand="1" w:val="04A0"/>
      </w:tblPr>
      <w:tblGrid>
        <w:gridCol w:w="10454"/>
      </w:tblGrid>
      <w:tr>
        <w:tc>
          <w:tcPr>
            <w:tcW w:type="dxa" w:w="10454"/>
            <w:shd w:fill="F3EDF7"/>
            <w:tcMar>
              <w:top w:w="90" w:type="dxa"/>
              <w:start w:w="120" w:type="dxa"/>
              <w:bottom w:w="90" w:type="dxa"/>
              <w:end w:w="120" w:type="dxa"/>
            </w:tcMar>
          </w:tcPr>
          <w:p>
            <w:pPr>
              <w:pStyle w:val="Callout"/>
            </w:pPr>
            <w:r>
              <w:t>Conclusion: Evidence does not justify a Promethean label for this agentic system. Long-range potential warrants monitoring, not automatic chart-review adoption. This judgment stays stable across contexts.</w:t>
            </w:r>
          </w:p>
        </w:tc>
      </w:tr>
    </w:tbl>
    <w:p>
      <w:pPr>
        <w:pStyle w:val="Heading1"/>
      </w:pPr>
      <w:r>
        <w:t>A Agent and Version</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Pr>
          <w:tblHeader/>
          <w:cantSplit/>
        </w:trPr>
      </w:tr>
      <w:tr>
        <w:tc>
          <w:tcPr>
            <w:tcW w:type="dxa" w:w="5227"/>
            <w:tcMar>
              <w:top w:w="70" w:type="dxa"/>
              <w:start w:w="90" w:type="dxa"/>
              <w:bottom w:w="70" w:type="dxa"/>
              <w:end w:w="90" w:type="dxa"/>
            </w:tcMar>
            <w:vAlign w:val="top"/>
          </w:tcPr>
          <w:p>
            <w:pPr>
              <w:spacing w:after="20"/>
            </w:pPr>
            <w:r>
              <w:rPr>
                <w:sz w:val="17"/>
              </w:rPr>
              <w:t>Student / team</w:t>
            </w:r>
          </w:p>
        </w:tc>
        <w:tc>
          <w:tcPr>
            <w:tcW w:type="dxa" w:w="5227"/>
            <w:tcMar>
              <w:top w:w="70" w:type="dxa"/>
              <w:start w:w="90" w:type="dxa"/>
              <w:bottom w:w="70" w:type="dxa"/>
              <w:end w:w="90" w:type="dxa"/>
            </w:tcMar>
            <w:vAlign w:val="top"/>
          </w:tcPr>
          <w:p>
            <w:pPr>
              <w:spacing w:after="20"/>
            </w:pPr>
            <w:r>
              <w:rPr>
                <w:sz w:val="17"/>
              </w:rPr>
              <w:t>Yufei Cai | Individual submission</w:t>
            </w:r>
          </w:p>
        </w:tc>
        <w:trPr>
          <w:cantSplit/>
        </w:trPr>
      </w:tr>
      <w:tr>
        <w:tc>
          <w:tcPr>
            <w:tcW w:type="dxa" w:w="5227"/>
            <w:tcMar>
              <w:top w:w="70" w:type="dxa"/>
              <w:start w:w="90" w:type="dxa"/>
              <w:bottom w:w="70" w:type="dxa"/>
              <w:end w:w="90" w:type="dxa"/>
            </w:tcMar>
            <w:vAlign w:val="top"/>
          </w:tcPr>
          <w:p>
            <w:pPr>
              <w:spacing w:after="20"/>
            </w:pPr>
            <w:r>
              <w:rPr>
                <w:sz w:val="17"/>
              </w:rPr>
              <w:t>Assignment / specialist agent</w:t>
            </w:r>
          </w:p>
        </w:tc>
        <w:tc>
          <w:tcPr>
            <w:tcW w:type="dxa" w:w="5227"/>
            <w:tcMar>
              <w:top w:w="70" w:type="dxa"/>
              <w:start w:w="90" w:type="dxa"/>
              <w:bottom w:w="70" w:type="dxa"/>
              <w:end w:w="90" w:type="dxa"/>
            </w:tcMar>
            <w:vAlign w:val="top"/>
          </w:tcPr>
          <w:p>
            <w:pPr>
              <w:spacing w:after="20"/>
            </w:pPr>
            <w:r>
              <w:rPr>
                <w:sz w:val="17"/>
              </w:rPr>
              <w:t>Assignment 4 | SubAgent 3 | Version 1.0-student</w:t>
            </w:r>
          </w:p>
        </w:tc>
        <w:trPr>
          <w:cantSplit/>
        </w:trPr>
      </w:tr>
      <w:tr>
        <w:tc>
          <w:tcPr>
            <w:tcW w:type="dxa" w:w="5227"/>
            <w:tcMar>
              <w:top w:w="70" w:type="dxa"/>
              <w:start w:w="90" w:type="dxa"/>
              <w:bottom w:w="70" w:type="dxa"/>
              <w:end w:w="90" w:type="dxa"/>
            </w:tcMar>
            <w:vAlign w:val="top"/>
          </w:tcPr>
          <w:p>
            <w:pPr>
              <w:spacing w:after="20"/>
            </w:pPr>
            <w:r>
              <w:rPr>
                <w:sz w:val="17"/>
              </w:rPr>
              <w:t>Date</w:t>
            </w:r>
          </w:p>
        </w:tc>
        <w:tc>
          <w:tcPr>
            <w:tcW w:type="dxa" w:w="5227"/>
            <w:tcMar>
              <w:top w:w="70" w:type="dxa"/>
              <w:start w:w="90" w:type="dxa"/>
              <w:bottom w:w="70" w:type="dxa"/>
              <w:end w:w="90" w:type="dxa"/>
            </w:tcMar>
            <w:vAlign w:val="top"/>
          </w:tcPr>
          <w:p>
            <w:pPr>
              <w:spacing w:after="20"/>
            </w:pPr>
            <w:r>
              <w:rPr>
                <w:sz w:val="17"/>
              </w:rPr>
              <w:t>October 19, 2026</w:t>
            </w:r>
          </w:p>
        </w:tc>
        <w:trPr>
          <w:cantSplit/>
        </w:trPr>
      </w:tr>
      <w:tr>
        <w:tc>
          <w:tcPr>
            <w:tcW w:type="dxa" w:w="5227"/>
            <w:tcMar>
              <w:top w:w="70" w:type="dxa"/>
              <w:start w:w="90" w:type="dxa"/>
              <w:bottom w:w="70" w:type="dxa"/>
              <w:end w:w="90" w:type="dxa"/>
            </w:tcMar>
            <w:vAlign w:val="top"/>
          </w:tcPr>
          <w:p>
            <w:pPr>
              <w:spacing w:after="20"/>
            </w:pPr>
            <w:r>
              <w:rPr>
                <w:sz w:val="17"/>
              </w:rPr>
              <w:t>GitHub repository</w:t>
            </w:r>
          </w:p>
        </w:tc>
        <w:tc>
          <w:tcPr>
            <w:tcW w:type="dxa" w:w="5227"/>
            <w:tcMar>
              <w:top w:w="70" w:type="dxa"/>
              <w:start w:w="90" w:type="dxa"/>
              <w:bottom w:w="70" w:type="dxa"/>
              <w:end w:w="90" w:type="dxa"/>
            </w:tcMar>
            <w:vAlign w:val="top"/>
          </w:tcPr>
          <w:p>
            <w:pPr>
              <w:spacing w:after="20"/>
            </w:pPr>
            <w:r>
              <w:rPr>
                <w:sz w:val="17"/>
              </w:rPr>
              <w:t>https://github.com/caiyf17/masy1800-assignment2-creation-agent</w:t>
              <w:br/>
              <w:t>Path: assignments/assignment4</w:t>
            </w:r>
          </w:p>
        </w:tc>
        <w:trPr>
          <w:cantSplit/>
        </w:trPr>
      </w:tr>
      <w:tr>
        <w:tc>
          <w:tcPr>
            <w:tcW w:type="dxa" w:w="5227"/>
            <w:tcMar>
              <w:top w:w="70" w:type="dxa"/>
              <w:start w:w="90" w:type="dxa"/>
              <w:bottom w:w="70" w:type="dxa"/>
              <w:end w:w="90" w:type="dxa"/>
            </w:tcMar>
            <w:vAlign w:val="top"/>
          </w:tcPr>
          <w:p>
            <w:pPr>
              <w:spacing w:after="20"/>
            </w:pPr>
            <w:r>
              <w:rPr>
                <w:sz w:val="17"/>
              </w:rPr>
              <w:t>Branch</w:t>
            </w:r>
          </w:p>
        </w:tc>
        <w:tc>
          <w:tcPr>
            <w:tcW w:type="dxa" w:w="5227"/>
            <w:tcMar>
              <w:top w:w="70" w:type="dxa"/>
              <w:start w:w="90" w:type="dxa"/>
              <w:bottom w:w="70" w:type="dxa"/>
              <w:end w:w="90" w:type="dxa"/>
            </w:tcMar>
            <w:vAlign w:val="top"/>
          </w:tcPr>
          <w:p>
            <w:pPr>
              <w:spacing w:after="20"/>
            </w:pPr>
            <w:r>
              <w:rPr>
                <w:sz w:val="17"/>
              </w:rPr>
              <w:t>assignment-4-promethean-agent</w:t>
            </w:r>
          </w:p>
        </w:tc>
        <w:trPr>
          <w:cantSplit/>
        </w:trPr>
      </w:tr>
      <w:tr>
        <w:tc>
          <w:tcPr>
            <w:tcW w:type="dxa" w:w="5227"/>
            <w:tcMar>
              <w:top w:w="70" w:type="dxa"/>
              <w:start w:w="90" w:type="dxa"/>
              <w:bottom w:w="70" w:type="dxa"/>
              <w:end w:w="90" w:type="dxa"/>
            </w:tcMar>
            <w:vAlign w:val="top"/>
          </w:tcPr>
          <w:p>
            <w:pPr>
              <w:spacing w:after="20"/>
            </w:pPr>
            <w:r>
              <w:rPr>
                <w:sz w:val="17"/>
              </w:rPr>
              <w:t>Commit</w:t>
            </w:r>
          </w:p>
        </w:tc>
        <w:tc>
          <w:tcPr>
            <w:tcW w:type="dxa" w:w="5227"/>
            <w:tcMar>
              <w:top w:w="70" w:type="dxa"/>
              <w:start w:w="90" w:type="dxa"/>
              <w:bottom w:w="70" w:type="dxa"/>
              <w:end w:w="90" w:type="dxa"/>
            </w:tcMar>
            <w:vAlign w:val="top"/>
          </w:tcPr>
          <w:p>
            <w:pPr>
              <w:spacing w:after="20"/>
            </w:pPr>
            <w:r>
              <w:rPr>
                <w:sz w:val="17"/>
              </w:rPr>
              <w:t>66817a9b16af | Implementation and tests; report follows on this branch.</w:t>
            </w:r>
          </w:p>
        </w:tc>
        <w:trPr>
          <w:cantSplit/>
        </w:trPr>
      </w:tr>
      <w:tr>
        <w:tc>
          <w:tcPr>
            <w:tcW w:type="dxa" w:w="5227"/>
            <w:tcMar>
              <w:top w:w="70" w:type="dxa"/>
              <w:start w:w="90" w:type="dxa"/>
              <w:bottom w:w="70" w:type="dxa"/>
              <w:end w:w="90" w:type="dxa"/>
            </w:tcMar>
            <w:vAlign w:val="top"/>
          </w:tcPr>
          <w:p>
            <w:pPr>
              <w:spacing w:after="20"/>
            </w:pPr>
            <w:r>
              <w:rPr>
                <w:sz w:val="17"/>
              </w:rPr>
              <w:t>Frozen scaffold version</w:t>
            </w:r>
          </w:p>
        </w:tc>
        <w:tc>
          <w:tcPr>
            <w:tcW w:type="dxa" w:w="5227"/>
            <w:tcMar>
              <w:top w:w="70" w:type="dxa"/>
              <w:start w:w="90" w:type="dxa"/>
              <w:bottom w:w="70" w:type="dxa"/>
              <w:end w:w="90" w:type="dxa"/>
            </w:tcMar>
            <w:vAlign w:val="top"/>
          </w:tcPr>
          <w:p>
            <w:pPr>
              <w:spacing w:after="20"/>
            </w:pPr>
            <w:r>
              <w:rPr>
                <w:sz w:val="17"/>
              </w:rPr>
              <w:t>MASY1800_ET_Agent_Scaffold_v1_0 | All seven frozen architecture/tool files unchanged.</w:t>
            </w:r>
          </w:p>
        </w:tc>
        <w:trPr>
          <w:cantSplit/>
        </w:trPr>
      </w:tr>
    </w:tbl>
    <w:p>
      <w:pPr>
        <w:pStyle w:val="Heading1"/>
      </w:pPr>
      <w:r>
        <w:t>B Specialist Purpose and Context</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Pr>
          <w:tblHeader/>
          <w:cantSplit/>
        </w:trPr>
      </w:tr>
      <w:tr>
        <w:tc>
          <w:tcPr>
            <w:tcW w:type="dxa" w:w="5227"/>
            <w:tcMar>
              <w:top w:w="70" w:type="dxa"/>
              <w:start w:w="90" w:type="dxa"/>
              <w:bottom w:w="70" w:type="dxa"/>
              <w:end w:w="90" w:type="dxa"/>
            </w:tcMar>
            <w:vAlign w:val="top"/>
          </w:tcPr>
          <w:p>
            <w:pPr>
              <w:spacing w:after="20"/>
            </w:pPr>
            <w:r>
              <w:rPr>
                <w:sz w:val="17"/>
              </w:rPr>
              <w:t>Governing analytical question</w:t>
            </w:r>
          </w:p>
        </w:tc>
        <w:tc>
          <w:tcPr>
            <w:tcW w:type="dxa" w:w="5227"/>
            <w:tcMar>
              <w:top w:w="70" w:type="dxa"/>
              <w:start w:w="90" w:type="dxa"/>
              <w:bottom w:w="70" w:type="dxa"/>
              <w:end w:w="90" w:type="dxa"/>
            </w:tcMar>
            <w:vAlign w:val="top"/>
          </w:tcPr>
          <w:p>
            <w:pPr>
              <w:spacing w:after="20"/>
            </w:pPr>
            <w:r>
              <w:rPr>
                <w:sz w:val="17"/>
              </w:rPr>
              <w:t>Is this technology incremental, breakthrough or potentially civilization-changing, and how much should its broader potential influence the present application decision?</w:t>
            </w:r>
          </w:p>
        </w:tc>
        <w:trPr>
          <w:cantSplit/>
        </w:trPr>
      </w:tr>
      <w:tr>
        <w:tc>
          <w:tcPr>
            <w:tcW w:type="dxa" w:w="5227"/>
            <w:tcMar>
              <w:top w:w="70" w:type="dxa"/>
              <w:start w:w="90" w:type="dxa"/>
              <w:bottom w:w="70" w:type="dxa"/>
              <w:end w:w="90" w:type="dxa"/>
            </w:tcMar>
            <w:vAlign w:val="top"/>
          </w:tcPr>
          <w:p>
            <w:pPr>
              <w:spacing w:after="20"/>
            </w:pPr>
            <w:r>
              <w:rPr>
                <w:sz w:val="17"/>
              </w:rPr>
              <w:t>Emerging technology</w:t>
            </w:r>
          </w:p>
        </w:tc>
        <w:tc>
          <w:tcPr>
            <w:tcW w:type="dxa" w:w="5227"/>
            <w:tcMar>
              <w:top w:w="70" w:type="dxa"/>
              <w:start w:w="90" w:type="dxa"/>
              <w:bottom w:w="70" w:type="dxa"/>
              <w:end w:w="90" w:type="dxa"/>
            </w:tcMar>
            <w:vAlign w:val="top"/>
          </w:tcPr>
          <w:p>
            <w:pPr>
              <w:spacing w:after="20"/>
            </w:pPr>
            <w:r>
              <w:rPr>
                <w:sz w:val="17"/>
              </w:rPr>
              <w:t>An integrated language model, model-selected tools, observations, permissions and human stopping authority for bounded digital work. Not a single caption button or all generative AI.</w:t>
            </w:r>
          </w:p>
        </w:tc>
        <w:trPr>
          <w:cantSplit/>
        </w:trPr>
      </w:tr>
      <w:tr>
        <w:tc>
          <w:tcPr>
            <w:tcW w:type="dxa" w:w="5227"/>
            <w:tcMar>
              <w:top w:w="70" w:type="dxa"/>
              <w:start w:w="90" w:type="dxa"/>
              <w:bottom w:w="70" w:type="dxa"/>
              <w:end w:w="90" w:type="dxa"/>
            </w:tcMar>
            <w:vAlign w:val="top"/>
          </w:tcPr>
          <w:p>
            <w:pPr>
              <w:spacing w:after="20"/>
            </w:pPr>
            <w:r>
              <w:rPr>
                <w:sz w:val="17"/>
              </w:rPr>
              <w:t>Intended application</w:t>
            </w:r>
          </w:p>
        </w:tc>
        <w:tc>
          <w:tcPr>
            <w:tcW w:type="dxa" w:w="5227"/>
            <w:tcMar>
              <w:top w:w="70" w:type="dxa"/>
              <w:start w:w="90" w:type="dxa"/>
              <w:bottom w:w="70" w:type="dxa"/>
              <w:end w:w="90" w:type="dxa"/>
            </w:tcMar>
            <w:vAlign w:val="top"/>
          </w:tcPr>
          <w:p>
            <w:pPr>
              <w:spacing w:after="20"/>
            </w:pPr>
            <w:r>
              <w:rPr>
                <w:sz w:val="17"/>
              </w:rPr>
              <w:t>Proposed read-only chart review: compare charts and claims with approved source tables and draft corrections. A named human owns review and release; no autonomous publication.</w:t>
            </w:r>
          </w:p>
        </w:tc>
        <w:trPr>
          <w:cantSplit/>
        </w:trPr>
      </w:tr>
      <w:tr>
        <w:tc>
          <w:tcPr>
            <w:tcW w:type="dxa" w:w="5227"/>
            <w:tcMar>
              <w:top w:w="70" w:type="dxa"/>
              <w:start w:w="90" w:type="dxa"/>
              <w:bottom w:w="70" w:type="dxa"/>
              <w:end w:w="90" w:type="dxa"/>
            </w:tcMar>
            <w:vAlign w:val="top"/>
          </w:tcPr>
          <w:p>
            <w:pPr>
              <w:spacing w:after="20"/>
            </w:pPr>
            <w:r>
              <w:rPr>
                <w:sz w:val="17"/>
              </w:rPr>
              <w:t>Organization / industry</w:t>
            </w:r>
          </w:p>
        </w:tc>
        <w:tc>
          <w:tcPr>
            <w:tcW w:type="dxa" w:w="5227"/>
            <w:tcMar>
              <w:top w:w="70" w:type="dxa"/>
              <w:start w:w="90" w:type="dxa"/>
              <w:bottom w:w="70" w:type="dxa"/>
              <w:end w:w="90" w:type="dxa"/>
            </w:tcMar>
            <w:vAlign w:val="top"/>
          </w:tcPr>
          <w:p>
            <w:pPr>
              <w:spacing w:after="20"/>
            </w:pPr>
            <w:r>
              <w:rPr>
                <w:sz w:val="17"/>
              </w:rPr>
              <w:t>Primary: hypothetical US financial-services firm. Contrast: hypothetical 20-person public-data media startup. Lab 3 lineage; one common chart-review application.</w:t>
            </w:r>
          </w:p>
        </w:tc>
        <w:trPr>
          <w:cantSplit/>
        </w:trPr>
      </w:tr>
      <w:tr>
        <w:tc>
          <w:tcPr>
            <w:tcW w:type="dxa" w:w="5227"/>
            <w:tcMar>
              <w:top w:w="70" w:type="dxa"/>
              <w:start w:w="90" w:type="dxa"/>
              <w:bottom w:w="70" w:type="dxa"/>
              <w:end w:w="90" w:type="dxa"/>
            </w:tcMar>
            <w:vAlign w:val="top"/>
          </w:tcPr>
          <w:p>
            <w:pPr>
              <w:spacing w:after="20"/>
            </w:pPr>
            <w:r>
              <w:rPr>
                <w:sz w:val="17"/>
              </w:rPr>
              <w:t>Adoption posture</w:t>
            </w:r>
          </w:p>
        </w:tc>
        <w:tc>
          <w:tcPr>
            <w:tcW w:type="dxa" w:w="5227"/>
            <w:tcMar>
              <w:top w:w="70" w:type="dxa"/>
              <w:start w:w="90" w:type="dxa"/>
              <w:bottom w:w="70" w:type="dxa"/>
              <w:end w:w="90" w:type="dxa"/>
            </w:tcMar>
            <w:vAlign w:val="top"/>
          </w:tcPr>
          <w:p>
            <w:pPr>
              <w:spacing w:after="20"/>
            </w:pPr>
            <w:r>
              <w:rPr>
                <w:sz w:val="17"/>
              </w:rPr>
              <w:t>Finance: cautious under existing constraints. Media: more experimental within an approved public sandbox. A separate probe changes finance posture only.</w:t>
            </w:r>
          </w:p>
        </w:tc>
        <w:trPr>
          <w:cantSplit/>
        </w:trPr>
      </w:tr>
      <w:tr>
        <w:tc>
          <w:tcPr>
            <w:tcW w:type="dxa" w:w="5227"/>
            <w:tcMar>
              <w:top w:w="70" w:type="dxa"/>
              <w:start w:w="90" w:type="dxa"/>
              <w:bottom w:w="70" w:type="dxa"/>
              <w:end w:w="90" w:type="dxa"/>
            </w:tcMar>
            <w:vAlign w:val="top"/>
          </w:tcPr>
          <w:p>
            <w:pPr>
              <w:spacing w:after="20"/>
            </w:pPr>
            <w:r>
              <w:rPr>
                <w:sz w:val="17"/>
              </w:rPr>
              <w:t>Risk / consequence context</w:t>
            </w:r>
          </w:p>
        </w:tc>
        <w:tc>
          <w:tcPr>
            <w:tcW w:type="dxa" w:w="5227"/>
            <w:tcMar>
              <w:top w:w="70" w:type="dxa"/>
              <w:start w:w="90" w:type="dxa"/>
              <w:bottom w:w="70" w:type="dxa"/>
              <w:end w:w="90" w:type="dxa"/>
            </w:tcMar>
            <w:vAlign w:val="top"/>
          </w:tcPr>
          <w:p>
            <w:pPr>
              <w:spacing w:after="20"/>
            </w:pPr>
            <w:r>
              <w:rPr>
                <w:sz w:val="17"/>
              </w:rPr>
              <w:t>Finance has sensitive data, legacy systems and no approved external model environment. Media has limited engineering capacity and publication credibility risk. Neither has measured agent results.</w:t>
            </w:r>
          </w:p>
        </w:tc>
        <w:trPr>
          <w:cantSplit/>
        </w:trPr>
      </w:tr>
      <w:tr>
        <w:tc>
          <w:tcPr>
            <w:tcW w:type="dxa" w:w="5227"/>
            <w:tcMar>
              <w:top w:w="70" w:type="dxa"/>
              <w:start w:w="90" w:type="dxa"/>
              <w:bottom w:w="70" w:type="dxa"/>
              <w:end w:w="90" w:type="dxa"/>
            </w:tcMar>
            <w:vAlign w:val="top"/>
          </w:tcPr>
          <w:p>
            <w:pPr>
              <w:spacing w:after="20"/>
            </w:pPr>
            <w:r>
              <w:rPr>
                <w:sz w:val="17"/>
              </w:rPr>
              <w:t>Management question / time horizon</w:t>
            </w:r>
          </w:p>
        </w:tc>
        <w:tc>
          <w:tcPr>
            <w:tcW w:type="dxa" w:w="5227"/>
            <w:tcMar>
              <w:top w:w="70" w:type="dxa"/>
              <w:start w:w="90" w:type="dxa"/>
              <w:bottom w:w="70" w:type="dxa"/>
              <w:end w:w="90" w:type="dxa"/>
            </w:tcMar>
            <w:vAlign w:val="top"/>
          </w:tcPr>
          <w:p>
            <w:pPr>
              <w:spacing w:after="20"/>
            </w:pPr>
            <w:r>
              <w:rPr>
                <w:sz w:val="17"/>
              </w:rPr>
              <w:t>Four-week evidence exercise; 12-month organizational horizon; separate long-range classification. What significance is justified and how much should it influence chart review now?</w:t>
            </w:r>
          </w:p>
        </w:tc>
        <w:trPr>
          <w:cantSplit/>
        </w:trPr>
      </w:tr>
    </w:tbl>
    <w:p>
      <w:pPr>
        <w:pStyle w:val="Heading1"/>
        <w:pageBreakBefore/>
      </w:pPr>
      <w:r>
        <w:t>C Three Level Finding</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Pr>
          <w:tblHeader/>
          <w:cantSplit/>
        </w:trPr>
      </w:tr>
      <w:tr>
        <w:tc>
          <w:tcPr>
            <w:tcW w:type="dxa" w:w="5227"/>
            <w:tcMar>
              <w:top w:w="70" w:type="dxa"/>
              <w:start w:w="90" w:type="dxa"/>
              <w:bottom w:w="70" w:type="dxa"/>
              <w:end w:w="90" w:type="dxa"/>
            </w:tcMar>
            <w:vAlign w:val="top"/>
          </w:tcPr>
          <w:p>
            <w:pPr>
              <w:spacing w:after="20"/>
            </w:pPr>
            <w:r>
              <w:rPr>
                <w:sz w:val="17"/>
              </w:rPr>
              <w:t>ET generally</w:t>
            </w:r>
          </w:p>
        </w:tc>
        <w:tc>
          <w:tcPr>
            <w:tcW w:type="dxa" w:w="5227"/>
            <w:tcMar>
              <w:top w:w="70" w:type="dxa"/>
              <w:start w:w="90" w:type="dxa"/>
              <w:bottom w:w="70" w:type="dxa"/>
              <w:end w:w="90" w:type="dxa"/>
            </w:tcMar>
            <w:vAlign w:val="top"/>
          </w:tcPr>
          <w:p>
            <w:pPr>
              <w:spacing w:after="20"/>
            </w:pPr>
            <w:r>
              <w:rPr>
                <w:sz w:val="17"/>
              </w:rPr>
              <w:t>Withhold a definitive general category. Potentially Promethean is an unconfirmed hypothesis, not an affirmative finding. The system boundary is defined, but categorical barrier dissolution and pivotal criteria are unestablished. Unknown does not mean impossible.</w:t>
            </w:r>
          </w:p>
        </w:tc>
        <w:trPr>
          <w:cantSplit/>
        </w:trPr>
      </w:tr>
      <w:tr>
        <w:tc>
          <w:tcPr>
            <w:tcW w:type="dxa" w:w="5227"/>
            <w:tcMar>
              <w:top w:w="70" w:type="dxa"/>
              <w:start w:w="90" w:type="dxa"/>
              <w:bottom w:w="70" w:type="dxa"/>
              <w:end w:w="90" w:type="dxa"/>
            </w:tcMar>
            <w:vAlign w:val="top"/>
          </w:tcPr>
          <w:p>
            <w:pPr>
              <w:spacing w:after="20"/>
            </w:pPr>
            <w:r>
              <w:rPr>
                <w:sz w:val="17"/>
              </w:rPr>
              <w:t>ET for this application</w:t>
            </w:r>
          </w:p>
        </w:tc>
        <w:tc>
          <w:tcPr>
            <w:tcW w:type="dxa" w:w="5227"/>
            <w:tcMar>
              <w:top w:w="70" w:type="dxa"/>
              <w:start w:w="90" w:type="dxa"/>
              <w:bottom w:w="70" w:type="dxa"/>
              <w:end w:w="90" w:type="dxa"/>
            </w:tcMar>
            <w:vAlign w:val="top"/>
          </w:tcPr>
          <w:p>
            <w:pPr>
              <w:spacing w:after="20"/>
            </w:pPr>
            <w:r>
              <w:rPr>
                <w:sz w:val="17"/>
              </w:rPr>
              <w:t>Prospective incremental process improvement against manual reconciliation and deterministic checks. No measured benefit is supplied. A breakthrough alternative needs evidence of a consequential capability discontinuity at equivalent quality and full cost.</w:t>
            </w:r>
          </w:p>
        </w:tc>
        <w:trPr>
          <w:cantSplit/>
        </w:trPr>
      </w:tr>
      <w:tr>
        <w:tc>
          <w:tcPr>
            <w:tcW w:type="dxa" w:w="5227"/>
            <w:tcMar>
              <w:top w:w="70" w:type="dxa"/>
              <w:start w:w="90" w:type="dxa"/>
              <w:bottom w:w="70" w:type="dxa"/>
              <w:end w:w="90" w:type="dxa"/>
            </w:tcMar>
            <w:vAlign w:val="top"/>
          </w:tcPr>
          <w:p>
            <w:pPr>
              <w:spacing w:after="20"/>
            </w:pPr>
            <w:r>
              <w:rPr>
                <w:sz w:val="17"/>
              </w:rPr>
              <w:t>ET for this application in this organization</w:t>
            </w:r>
          </w:p>
        </w:tc>
        <w:tc>
          <w:tcPr>
            <w:tcW w:type="dxa" w:w="5227"/>
            <w:tcMar>
              <w:top w:w="70" w:type="dxa"/>
              <w:start w:w="90" w:type="dxa"/>
              <w:bottom w:w="70" w:type="dxa"/>
              <w:end w:w="90" w:type="dxa"/>
            </w:tcMar>
            <w:vAlign w:val="top"/>
          </w:tcPr>
          <w:p>
            <w:pPr>
              <w:spacing w:after="20"/>
            </w:pPr>
            <w:r>
              <w:rPr>
                <w:sz w:val="17"/>
              </w:rPr>
              <w:t>Finance: confine any authorized evidence exercise to public or synthetic material until environment permission exists; retain analyst sign-off. Media: its approved public sandbox makes reversible learning more feasible, but editor sign-off and a simple-check comparator remain necessary.</w:t>
            </w:r>
          </w:p>
        </w:tc>
        <w:trPr>
          <w:cantSplit/>
        </w:trPr>
      </w:tr>
      <w:tr>
        <w:tc>
          <w:tcPr>
            <w:tcW w:type="dxa" w:w="5227"/>
            <w:tcMar>
              <w:top w:w="70" w:type="dxa"/>
              <w:start w:w="90" w:type="dxa"/>
              <w:bottom w:w="70" w:type="dxa"/>
              <w:end w:w="90" w:type="dxa"/>
            </w:tcMar>
            <w:vAlign w:val="top"/>
          </w:tcPr>
          <w:p>
            <w:pPr>
              <w:spacing w:after="20"/>
            </w:pPr>
            <w:r>
              <w:rPr>
                <w:sz w:val="17"/>
              </w:rPr>
              <w:t>Bounded management implication</w:t>
            </w:r>
          </w:p>
        </w:tc>
        <w:tc>
          <w:tcPr>
            <w:tcW w:type="dxa" w:w="5227"/>
            <w:tcMar>
              <w:top w:w="70" w:type="dxa"/>
              <w:start w:w="90" w:type="dxa"/>
              <w:bottom w:w="70" w:type="dxa"/>
              <w:end w:w="90" w:type="dxa"/>
            </w:tcMar>
            <w:vAlign w:val="top"/>
          </w:tcPr>
          <w:p>
            <w:pPr>
              <w:spacing w:after="20"/>
            </w:pPr>
            <w:r>
              <w:rPr>
                <w:sz w:val="17"/>
              </w:rPr>
              <w:t>Long-range potential can justify attention and evidence gathering. It cannot demonstrate ROI, waive data permission or authorize production. Adoption and Organizational Readiness retain the action and operating-readiness decisions.</w:t>
            </w:r>
          </w:p>
        </w:tc>
        <w:trPr>
          <w:cantSplit/>
        </w:trPr>
      </w:tr>
      <w:tr>
        <w:tc>
          <w:tcPr>
            <w:tcW w:type="dxa" w:w="5227"/>
            <w:tcMar>
              <w:top w:w="70" w:type="dxa"/>
              <w:start w:w="90" w:type="dxa"/>
              <w:bottom w:w="70" w:type="dxa"/>
              <w:end w:w="90" w:type="dxa"/>
            </w:tcMar>
            <w:vAlign w:val="top"/>
          </w:tcPr>
          <w:p>
            <w:pPr>
              <w:spacing w:after="20"/>
            </w:pPr>
            <w:r>
              <w:rPr>
                <w:sz w:val="17"/>
              </w:rPr>
              <w:t>Confidence / uncertainty</w:t>
            </w:r>
          </w:p>
        </w:tc>
        <w:tc>
          <w:tcPr>
            <w:tcW w:type="dxa" w:w="5227"/>
            <w:tcMar>
              <w:top w:w="70" w:type="dxa"/>
              <w:start w:w="90" w:type="dxa"/>
              <w:bottom w:w="70" w:type="dxa"/>
              <w:end w:w="90" w:type="dxa"/>
            </w:tcMar>
            <w:vAlign w:val="top"/>
          </w:tcPr>
          <w:p>
            <w:pPr>
              <w:spacing w:after="20"/>
            </w:pPr>
            <w:r>
              <w:rPr>
                <w:sz w:val="17"/>
              </w:rPr>
              <w:t>High confidence in the need for scope and measurement distinctions; low confidence in a definitive long-range empirical category. The strongest competing pathway is scalable delegation that lowers expertise barriers; the counter-case is costly, supervised complements within existing institutions.</w:t>
            </w:r>
          </w:p>
        </w:tc>
        <w:trPr>
          <w:cantSplit/>
        </w:trPr>
      </w:tr>
      <w:tr>
        <w:tc>
          <w:tcPr>
            <w:tcW w:type="dxa" w:w="5227"/>
            <w:tcMar>
              <w:top w:w="70" w:type="dxa"/>
              <w:start w:w="90" w:type="dxa"/>
              <w:bottom w:w="70" w:type="dxa"/>
              <w:end w:w="90" w:type="dxa"/>
            </w:tcMar>
            <w:vAlign w:val="top"/>
          </w:tcPr>
          <w:p>
            <w:pPr>
              <w:spacing w:after="20"/>
            </w:pPr>
            <w:r>
              <w:rPr>
                <w:sz w:val="17"/>
              </w:rPr>
              <w:t>What evidence or condition would change the conclusion</w:t>
            </w:r>
          </w:p>
        </w:tc>
        <w:tc>
          <w:tcPr>
            <w:tcW w:type="dxa" w:w="5227"/>
            <w:tcMar>
              <w:top w:w="70" w:type="dxa"/>
              <w:start w:w="90" w:type="dxa"/>
              <w:bottom w:w="70" w:type="dxa"/>
              <w:end w:w="90" w:type="dxa"/>
            </w:tcMar>
            <w:vAlign w:val="top"/>
          </w:tcPr>
          <w:p>
            <w:pPr>
              <w:spacing w:after="20"/>
            </w:pPr>
            <w:r>
              <w:rPr>
                <w:sz w:val="17"/>
              </w:rPr>
              <w:t>Raise confidence with independent, matched full-workflow comparisons, usable access distribution and dated, agent-attributed durable effects across at least three societal tiers. Weaken the local case if simpler checks perform as well; revise the broader case if evidence shows concentrated or reversible effects.</w:t>
            </w:r>
          </w:p>
        </w:tc>
        <w:trPr>
          <w:cantSplit/>
        </w:trPr>
      </w:tr>
    </w:tbl>
    <w:p>
      <w:pPr>
        <w:pStyle w:val="Heading2"/>
        <w:keepNext/>
      </w:pPr>
      <w:r>
        <w:t>Explicit criteria and gates</w:t>
      </w:r>
    </w:p>
    <w:p>
      <w:pPr>
        <w:pStyle w:val="Normal"/>
      </w:pPr>
      <w:r>
        <w:t>Gate 1 defines the integrated system. Gate 2 asks what previously categorical human constraint is dissolved, not merely made cheaper. The pathway is plausible, but unresolved. Incremental improves within a category; breakthrough demonstrates a consequential domain discontinuity; potentially Promethean needs a credible barrier pathway and composite support across all six criteria. No numeric sum or majority vote substitutes for evidence.</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Criterion</w:t>
            </w:r>
          </w:p>
        </w:tc>
        <w:tc>
          <w:tcPr>
            <w:tcW w:type="dxa" w:w="5227"/>
            <w:tcMar>
              <w:top w:w="70" w:type="dxa"/>
              <w:start w:w="90" w:type="dxa"/>
              <w:bottom w:w="70" w:type="dxa"/>
              <w:end w:w="90" w:type="dxa"/>
            </w:tcMar>
            <w:vAlign w:val="top"/>
            <w:shd w:fill="57068C"/>
          </w:tcPr>
          <w:p>
            <w:pPr>
              <w:spacing w:after="20"/>
            </w:pPr>
            <w:r>
              <w:rPr>
                <w:b/>
                <w:color w:val="FFFFFF"/>
                <w:sz w:val="17"/>
              </w:rPr>
              <w:t>Evidence state and reason</w:t>
            </w:r>
          </w:p>
        </w:tc>
        <w:trPr>
          <w:tblHeader/>
          <w:cantSplit/>
        </w:trPr>
      </w:tr>
      <w:tr>
        <w:tc>
          <w:tcPr>
            <w:tcW w:type="dxa" w:w="5227"/>
            <w:tcMar>
              <w:top w:w="70" w:type="dxa"/>
              <w:start w:w="90" w:type="dxa"/>
              <w:bottom w:w="70" w:type="dxa"/>
              <w:end w:w="90" w:type="dxa"/>
            </w:tcMar>
            <w:vAlign w:val="top"/>
          </w:tcPr>
          <w:p>
            <w:pPr>
              <w:spacing w:after="20"/>
            </w:pPr>
            <w:r>
              <w:rPr>
                <w:sz w:val="17"/>
              </w:rPr>
              <w:t>C1 10X relevant performance</w:t>
            </w:r>
          </w:p>
        </w:tc>
        <w:tc>
          <w:tcPr>
            <w:tcW w:type="dxa" w:w="5227"/>
            <w:tcMar>
              <w:top w:w="70" w:type="dxa"/>
              <w:start w:w="90" w:type="dxa"/>
              <w:bottom w:w="70" w:type="dxa"/>
              <w:end w:w="90" w:type="dxa"/>
            </w:tcMar>
            <w:vAlign w:val="top"/>
          </w:tcPr>
          <w:p>
            <w:pPr>
              <w:spacing w:after="20"/>
            </w:pPr>
            <w:r>
              <w:rPr>
                <w:sz w:val="17"/>
              </w:rPr>
              <w:t>Unknown. No matched, quality-adjusted end-to-end ratio for the defined system; benchmark success and adjacent productivity cannot supply it.</w:t>
            </w:r>
          </w:p>
        </w:tc>
        <w:trPr>
          <w:cantSplit/>
        </w:trPr>
      </w:tr>
      <w:tr>
        <w:tc>
          <w:tcPr>
            <w:tcW w:type="dxa" w:w="5227"/>
            <w:tcMar>
              <w:top w:w="70" w:type="dxa"/>
              <w:start w:w="90" w:type="dxa"/>
              <w:bottom w:w="70" w:type="dxa"/>
              <w:end w:w="90" w:type="dxa"/>
            </w:tcMar>
            <w:vAlign w:val="top"/>
          </w:tcPr>
          <w:p>
            <w:pPr>
              <w:spacing w:after="20"/>
            </w:pPr>
            <w:r>
              <w:rPr>
                <w:sz w:val="17"/>
              </w:rPr>
              <w:t>C2 Paradigm shift</w:t>
            </w:r>
          </w:p>
        </w:tc>
        <w:tc>
          <w:tcPr>
            <w:tcW w:type="dxa" w:w="5227"/>
            <w:tcMar>
              <w:top w:w="70" w:type="dxa"/>
              <w:start w:w="90" w:type="dxa"/>
              <w:bottom w:w="70" w:type="dxa"/>
              <w:end w:w="90" w:type="dxa"/>
            </w:tcMar>
            <w:vAlign w:val="top"/>
          </w:tcPr>
          <w:p>
            <w:pPr>
              <w:spacing w:after="20"/>
            </w:pPr>
            <w:r>
              <w:rPr>
                <w:sz w:val="17"/>
              </w:rPr>
              <w:t>Partial. Dynamic delegation is a plausible category change; continuity with prior automation and no demonstrated barrier dissolution remain.</w:t>
            </w:r>
          </w:p>
        </w:tc>
        <w:trPr>
          <w:cantSplit/>
        </w:trPr>
      </w:tr>
      <w:tr>
        <w:tc>
          <w:tcPr>
            <w:tcW w:type="dxa" w:w="5227"/>
            <w:tcMar>
              <w:top w:w="70" w:type="dxa"/>
              <w:start w:w="90" w:type="dxa"/>
              <w:bottom w:w="70" w:type="dxa"/>
              <w:end w:w="90" w:type="dxa"/>
            </w:tcMar>
            <w:vAlign w:val="top"/>
          </w:tcPr>
          <w:p>
            <w:pPr>
              <w:spacing w:after="20"/>
            </w:pPr>
            <w:r>
              <w:rPr>
                <w:sz w:val="17"/>
              </w:rPr>
              <w:t>C3 Scalability</w:t>
            </w:r>
          </w:p>
        </w:tc>
        <w:tc>
          <w:tcPr>
            <w:tcW w:type="dxa" w:w="5227"/>
            <w:tcMar>
              <w:top w:w="70" w:type="dxa"/>
              <w:start w:w="90" w:type="dxa"/>
              <w:bottom w:w="70" w:type="dxa"/>
              <w:end w:w="90" w:type="dxa"/>
            </w:tcMar>
            <w:vAlign w:val="top"/>
          </w:tcPr>
          <w:p>
            <w:pPr>
              <w:spacing w:after="20"/>
            </w:pPr>
            <w:r>
              <w:rPr>
                <w:sz w:val="17"/>
              </w:rPr>
              <w:t>Partial. Digital delivery is technically replicable; broad distribution and actual access for this agentic system are unmeasured.</w:t>
            </w:r>
          </w:p>
        </w:tc>
        <w:trPr>
          <w:cantSplit/>
        </w:trPr>
      </w:tr>
      <w:tr>
        <w:tc>
          <w:tcPr>
            <w:tcW w:type="dxa" w:w="5227"/>
            <w:tcMar>
              <w:top w:w="70" w:type="dxa"/>
              <w:start w:w="90" w:type="dxa"/>
              <w:bottom w:w="70" w:type="dxa"/>
              <w:end w:w="90" w:type="dxa"/>
            </w:tcMar>
            <w:vAlign w:val="top"/>
          </w:tcPr>
          <w:p>
            <w:pPr>
              <w:spacing w:after="20"/>
            </w:pPr>
            <w:r>
              <w:rPr>
                <w:sz w:val="17"/>
              </w:rPr>
              <w:t>C4 Democratization</w:t>
            </w:r>
          </w:p>
        </w:tc>
        <w:tc>
          <w:tcPr>
            <w:tcW w:type="dxa" w:w="5227"/>
            <w:tcMar>
              <w:top w:w="70" w:type="dxa"/>
              <w:start w:w="90" w:type="dxa"/>
              <w:bottom w:w="70" w:type="dxa"/>
              <w:end w:w="90" w:type="dxa"/>
            </w:tcMar>
            <w:vAlign w:val="top"/>
          </w:tcPr>
          <w:p>
            <w:pPr>
              <w:spacing w:after="20"/>
            </w:pPr>
            <w:r>
              <w:rPr>
                <w:sz w:val="17"/>
              </w:rPr>
              <w:t>Unknown. Lower skill barriers are plausible, but usable access and control distribution are not established.</w:t>
            </w:r>
          </w:p>
        </w:tc>
        <w:trPr>
          <w:cantSplit/>
        </w:trPr>
      </w:tr>
      <w:tr>
        <w:tc>
          <w:tcPr>
            <w:tcW w:type="dxa" w:w="5227"/>
            <w:tcMar>
              <w:top w:w="70" w:type="dxa"/>
              <w:start w:w="90" w:type="dxa"/>
              <w:bottom w:w="70" w:type="dxa"/>
              <w:end w:w="90" w:type="dxa"/>
            </w:tcMar>
            <w:vAlign w:val="top"/>
          </w:tcPr>
          <w:p>
            <w:pPr>
              <w:spacing w:after="20"/>
            </w:pPr>
            <w:r>
              <w:rPr>
                <w:sz w:val="17"/>
              </w:rPr>
              <w:t>C5 Catalytic effect</w:t>
            </w:r>
          </w:p>
        </w:tc>
        <w:tc>
          <w:tcPr>
            <w:tcW w:type="dxa" w:w="5227"/>
            <w:tcMar>
              <w:top w:w="70" w:type="dxa"/>
              <w:start w:w="90" w:type="dxa"/>
              <w:bottom w:w="70" w:type="dxa"/>
              <w:end w:w="90" w:type="dxa"/>
            </w:tcMar>
            <w:vAlign w:val="top"/>
          </w:tcPr>
          <w:p>
            <w:pPr>
              <w:spacing w:after="20"/>
            </w:pPr>
            <w:r>
              <w:rPr>
                <w:sz w:val="17"/>
              </w:rPr>
              <w:t>Partial. Tool composition can enable other workflows; an observed agent-attributed cross-domain cascade is not supplied.</w:t>
            </w:r>
          </w:p>
        </w:tc>
        <w:trPr>
          <w:cantSplit/>
        </w:trPr>
      </w:tr>
      <w:tr>
        <w:tc>
          <w:tcPr>
            <w:tcW w:type="dxa" w:w="5227"/>
            <w:tcMar>
              <w:top w:w="70" w:type="dxa"/>
              <w:start w:w="90" w:type="dxa"/>
              <w:bottom w:w="70" w:type="dxa"/>
              <w:end w:w="90" w:type="dxa"/>
            </w:tcMar>
            <w:vAlign w:val="top"/>
          </w:tcPr>
          <w:p>
            <w:pPr>
              <w:spacing w:after="20"/>
            </w:pPr>
            <w:r>
              <w:rPr>
                <w:sz w:val="17"/>
              </w:rPr>
              <w:t>C6 Broad irreversible impact</w:t>
            </w:r>
          </w:p>
        </w:tc>
        <w:tc>
          <w:tcPr>
            <w:tcW w:type="dxa" w:w="5227"/>
            <w:tcMar>
              <w:top w:w="70" w:type="dxa"/>
              <w:start w:w="90" w:type="dxa"/>
              <w:bottom w:w="70" w:type="dxa"/>
              <w:end w:w="90" w:type="dxa"/>
            </w:tcMar>
            <w:vAlign w:val="top"/>
          </w:tcPr>
          <w:p>
            <w:pPr>
              <w:spacing w:after="20"/>
            </w:pPr>
            <w:r>
              <w:rPr>
                <w:sz w:val="17"/>
              </w:rPr>
              <w:t>Unknown. Possible tiers include labor, governance and knowledge; durable observed change and suppression-test evidence are missing.</w:t>
            </w:r>
          </w:p>
        </w:tc>
        <w:trPr>
          <w:cantSplit/>
        </w:trPr>
      </w:tr>
    </w:tbl>
    <w:p>
      <w:pPr>
        <w:pStyle w:val="Heading1"/>
        <w:pageBreakBefore/>
      </w:pPr>
      <w:r>
        <w:t>D Evidence and Testing</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Pr>
          <w:tblHeader/>
          <w:cantSplit/>
        </w:trPr>
      </w:tr>
      <w:tr>
        <w:tc>
          <w:tcPr>
            <w:tcW w:type="dxa" w:w="5227"/>
            <w:tcMar>
              <w:top w:w="70" w:type="dxa"/>
              <w:start w:w="90" w:type="dxa"/>
              <w:bottom w:w="70" w:type="dxa"/>
              <w:end w:w="90" w:type="dxa"/>
            </w:tcMar>
            <w:vAlign w:val="top"/>
          </w:tcPr>
          <w:p>
            <w:pPr>
              <w:spacing w:after="20"/>
            </w:pPr>
            <w:r>
              <w:rPr>
                <w:sz w:val="17"/>
              </w:rPr>
              <w:t>Most important evidence/source(s)</w:t>
            </w:r>
          </w:p>
        </w:tc>
        <w:tc>
          <w:tcPr>
            <w:tcW w:type="dxa" w:w="5227"/>
            <w:tcMar>
              <w:top w:w="70" w:type="dxa"/>
              <w:start w:w="90" w:type="dxa"/>
              <w:bottom w:w="70" w:type="dxa"/>
              <w:end w:w="90" w:type="dxa"/>
            </w:tcMar>
            <w:vAlign w:val="top"/>
          </w:tcPr>
          <w:p>
            <w:pPr>
              <w:spacing w:after="20"/>
            </w:pPr>
            <w:r>
              <w:rPr>
                <w:sz w:val="17"/>
              </w:rPr>
              <w:t>S0 supplies the course gates and criteria. S1 ReAct and S2 Anthropic support bounded mechanisms, not civilizational reach. S3 METR defines task horizon. S4 historical productivity results must be read with S5’s 2026 methodological update. S6 reports human-worker assistance, not autonomous software agents. Full dated references and limits follow.</w:t>
            </w:r>
          </w:p>
        </w:tc>
        <w:trPr>
          <w:cantSplit/>
        </w:trPr>
      </w:tr>
      <w:tr>
        <w:tc>
          <w:tcPr>
            <w:tcW w:type="dxa" w:w="5227"/>
            <w:tcMar>
              <w:top w:w="70" w:type="dxa"/>
              <w:start w:w="90" w:type="dxa"/>
              <w:bottom w:w="70" w:type="dxa"/>
              <w:end w:w="90" w:type="dxa"/>
            </w:tcMar>
            <w:vAlign w:val="top"/>
          </w:tcPr>
          <w:p>
            <w:pPr>
              <w:spacing w:after="20"/>
            </w:pPr>
            <w:r>
              <w:rPr>
                <w:sz w:val="17"/>
              </w:rPr>
              <w:t>Primary test - result</w:t>
            </w:r>
          </w:p>
        </w:tc>
        <w:tc>
          <w:tcPr>
            <w:tcW w:type="dxa" w:w="5227"/>
            <w:tcMar>
              <w:top w:w="70" w:type="dxa"/>
              <w:start w:w="90" w:type="dxa"/>
              <w:bottom w:w="70" w:type="dxa"/>
              <w:end w:w="90" w:type="dxa"/>
            </w:tcMar>
            <w:vAlign w:val="top"/>
          </w:tcPr>
          <w:p>
            <w:pPr>
              <w:spacing w:after="20"/>
            </w:pPr>
            <w:r>
              <w:rPr>
                <w:sz w:val="17"/>
              </w:rPr>
              <w:t>The saved finance example withholds the general class, treats local value as unverified and does not let significance approve production. It preserves the common output contract. This is an assistant-authored prompt response, not a live chart experiment.</w:t>
            </w:r>
          </w:p>
        </w:tc>
        <w:trPr>
          <w:cantSplit/>
        </w:trPr>
      </w:tr>
      <w:tr>
        <w:tc>
          <w:tcPr>
            <w:tcW w:type="dxa" w:w="5227"/>
            <w:tcMar>
              <w:top w:w="70" w:type="dxa"/>
              <w:start w:w="90" w:type="dxa"/>
              <w:bottom w:w="70" w:type="dxa"/>
              <w:end w:w="90" w:type="dxa"/>
            </w:tcMar>
            <w:vAlign w:val="top"/>
          </w:tcPr>
          <w:p>
            <w:pPr>
              <w:spacing w:after="20"/>
            </w:pPr>
            <w:r>
              <w:rPr>
                <w:sz w:val="17"/>
              </w:rPr>
              <w:t>Contrast test - what appropriately stayed stable</w:t>
            </w:r>
          </w:p>
        </w:tc>
        <w:tc>
          <w:tcPr>
            <w:tcW w:type="dxa" w:w="5227"/>
            <w:tcMar>
              <w:top w:w="70" w:type="dxa"/>
              <w:start w:w="90" w:type="dxa"/>
              <w:bottom w:w="70" w:type="dxa"/>
              <w:end w:w="90" w:type="dxa"/>
            </w:tcMar>
            <w:vAlign w:val="top"/>
          </w:tcPr>
          <w:p>
            <w:pPr>
              <w:spacing w:after="20"/>
            </w:pPr>
            <w:r>
              <w:rPr>
                <w:sz w:val="17"/>
              </w:rPr>
              <w:t>The system, application, question, horizon and source packet remain fixed. General classification and uncertainty stay stable. The posture-only probe also leaves the general and application findings unchanged; enthusiasm does not create permission.</w:t>
            </w:r>
          </w:p>
        </w:tc>
        <w:trPr>
          <w:cantSplit/>
        </w:trPr>
      </w:tr>
      <w:tr>
        <w:tc>
          <w:tcPr>
            <w:tcW w:type="dxa" w:w="5227"/>
            <w:tcMar>
              <w:top w:w="70" w:type="dxa"/>
              <w:start w:w="90" w:type="dxa"/>
              <w:bottom w:w="70" w:type="dxa"/>
              <w:end w:w="90" w:type="dxa"/>
            </w:tcMar>
            <w:vAlign w:val="top"/>
          </w:tcPr>
          <w:p>
            <w:pPr>
              <w:spacing w:after="20"/>
            </w:pPr>
            <w:r>
              <w:rPr>
                <w:sz w:val="17"/>
              </w:rPr>
              <w:t>Contrast test - what appropriately changed</w:t>
            </w:r>
          </w:p>
        </w:tc>
        <w:tc>
          <w:tcPr>
            <w:tcW w:type="dxa" w:w="5227"/>
            <w:tcMar>
              <w:top w:w="70" w:type="dxa"/>
              <w:start w:w="90" w:type="dxa"/>
              <w:bottom w:w="70" w:type="dxa"/>
              <w:end w:w="90" w:type="dxa"/>
            </w:tcMar>
            <w:vAlign w:val="top"/>
          </w:tcPr>
          <w:p>
            <w:pPr>
              <w:spacing w:after="20"/>
            </w:pPr>
            <w:r>
              <w:rPr>
                <w:sz w:val="17"/>
              </w:rPr>
              <w:t>An approved public sandbox and reversible editorial queue make bounded learning more feasible in media. Finance’s unresolved environment and sensitive data constrain use. Several context fields change in the main contrast, so it is not a one-variable causal experiment.</w:t>
            </w:r>
          </w:p>
        </w:tc>
        <w:trPr>
          <w:cantSplit/>
        </w:trPr>
      </w:tr>
      <w:tr>
        <w:tc>
          <w:tcPr>
            <w:tcW w:type="dxa" w:w="5227"/>
            <w:tcMar>
              <w:top w:w="70" w:type="dxa"/>
              <w:start w:w="90" w:type="dxa"/>
              <w:bottom w:w="70" w:type="dxa"/>
              <w:end w:w="90" w:type="dxa"/>
            </w:tcMar>
            <w:vAlign w:val="top"/>
          </w:tcPr>
          <w:p>
            <w:pPr>
              <w:spacing w:after="20"/>
            </w:pPr>
            <w:r>
              <w:rPr>
                <w:sz w:val="17"/>
              </w:rPr>
              <w:t>Weakness/failure found</w:t>
            </w:r>
          </w:p>
        </w:tc>
        <w:tc>
          <w:tcPr>
            <w:tcW w:type="dxa" w:w="5227"/>
            <w:tcMar>
              <w:top w:w="70" w:type="dxa"/>
              <w:start w:w="90" w:type="dxa"/>
              <w:bottom w:w="70" w:type="dxa"/>
              <w:end w:w="90" w:type="dxa"/>
            </w:tcMar>
            <w:vAlign w:val="top"/>
          </w:tcPr>
          <w:p>
            <w:pPr>
              <w:spacing w:after="20"/>
            </w:pPr>
            <w:r>
              <w:rPr>
                <w:sz w:val="17"/>
              </w:rPr>
              <w:t>The preserved 0.1 diagnostic overclaim accepts generation-only 10X plus publicity as enough for a Promethean label, then recommends production. It is an explicitly constructed negative design control, not an independently observed model failure.</w:t>
            </w:r>
          </w:p>
        </w:tc>
        <w:trPr>
          <w:cantSplit/>
        </w:trPr>
      </w:tr>
      <w:tr>
        <w:tc>
          <w:tcPr>
            <w:tcW w:type="dxa" w:w="5227"/>
            <w:tcMar>
              <w:top w:w="70" w:type="dxa"/>
              <w:start w:w="90" w:type="dxa"/>
              <w:bottom w:w="70" w:type="dxa"/>
              <w:end w:w="90" w:type="dxa"/>
            </w:tcMar>
            <w:vAlign w:val="top"/>
          </w:tcPr>
          <w:p>
            <w:pPr>
              <w:spacing w:after="20"/>
            </w:pPr>
            <w:r>
              <w:rPr>
                <w:sz w:val="17"/>
              </w:rPr>
              <w:t>Revision made and why</w:t>
            </w:r>
          </w:p>
        </w:tc>
        <w:tc>
          <w:tcPr>
            <w:tcW w:type="dxa" w:w="5227"/>
            <w:tcMar>
              <w:top w:w="70" w:type="dxa"/>
              <w:start w:w="90" w:type="dxa"/>
              <w:bottom w:w="70" w:type="dxa"/>
              <w:end w:w="90" w:type="dxa"/>
            </w:tcMar>
            <w:vAlign w:val="top"/>
          </w:tcPr>
          <w:p>
            <w:pPr>
              <w:spacing w:after="20"/>
            </w:pPr>
            <w:r>
              <w:rPr>
                <w:sz w:val="17"/>
              </w:rPr>
              <w:t>Version 1.0 adds system and barrier gates, a quality-adjusted end-to-end denominator, six-criterion evidence states, source/date checks, abstention and specialist routing. The identical hype input now rejects the unsupported upgrade. The component probe stops scoring a caption button as a system.</w:t>
            </w:r>
          </w:p>
        </w:tc>
        <w:trPr>
          <w:cantSplit/>
        </w:trPr>
      </w:tr>
      <w:tr>
        <w:tc>
          <w:tcPr>
            <w:tcW w:type="dxa" w:w="5227"/>
            <w:tcMar>
              <w:top w:w="70" w:type="dxa"/>
              <w:start w:w="90" w:type="dxa"/>
              <w:bottom w:w="70" w:type="dxa"/>
              <w:end w:w="90" w:type="dxa"/>
            </w:tcMar>
            <w:vAlign w:val="top"/>
          </w:tcPr>
          <w:p>
            <w:pPr>
              <w:spacing w:after="20"/>
            </w:pPr>
            <w:r>
              <w:rPr>
                <w:sz w:val="17"/>
              </w:rPr>
              <w:t>Remaining limitation / abstention condition</w:t>
            </w:r>
          </w:p>
        </w:tc>
        <w:tc>
          <w:tcPr>
            <w:tcW w:type="dxa" w:w="5227"/>
            <w:tcMar>
              <w:top w:w="70" w:type="dxa"/>
              <w:start w:w="90" w:type="dxa"/>
              <w:bottom w:w="70" w:type="dxa"/>
              <w:end w:w="90" w:type="dxa"/>
            </w:tcMar>
            <w:vAlign w:val="top"/>
          </w:tcPr>
          <w:p>
            <w:pPr>
              <w:spacing w:after="20"/>
            </w:pPr>
            <w:r>
              <w:rPr>
                <w:sz w:val="17"/>
              </w:rPr>
              <w:t>Five final examples and three negative checker controls support qualitative inspection. Recheck: 58 passed, zero failed. These are schema, integrity and transparent fixture checks, not accuracy certification. No independent model/API test, real pilot, ROI, population adoption or irreversible outcome is claimed.</w:t>
            </w:r>
          </w:p>
        </w:tc>
        <w:trPr>
          <w:cantSplit/>
        </w:trPr>
      </w:tr>
    </w:tbl>
    <w:p>
      <w:pPr>
        <w:pStyle w:val="Heading1"/>
        <w:pageBreakBefore/>
      </w:pPr>
      <w:r>
        <w:t>E Independent Judgment and Handoff</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Pr>
          <w:tblHeader/>
          <w:cantSplit/>
        </w:trPr>
      </w:tr>
      <w:tr>
        <w:tc>
          <w:tcPr>
            <w:tcW w:type="dxa" w:w="5227"/>
            <w:tcMar>
              <w:top w:w="70" w:type="dxa"/>
              <w:start w:w="90" w:type="dxa"/>
              <w:bottom w:w="70" w:type="dxa"/>
              <w:end w:w="90" w:type="dxa"/>
            </w:tcMar>
            <w:vAlign w:val="top"/>
          </w:tcPr>
          <w:p>
            <w:pPr>
              <w:spacing w:after="20"/>
            </w:pPr>
            <w:r>
              <w:rPr>
                <w:sz w:val="17"/>
              </w:rPr>
              <w:t>Is the agent credible enough for team consideration? Why?</w:t>
            </w:r>
          </w:p>
        </w:tc>
        <w:tc>
          <w:tcPr>
            <w:tcW w:type="dxa" w:w="5227"/>
            <w:tcMar>
              <w:top w:w="70" w:type="dxa"/>
              <w:start w:w="90" w:type="dxa"/>
              <w:bottom w:w="70" w:type="dxa"/>
              <w:end w:w="90" w:type="dxa"/>
            </w:tcMar>
            <w:vAlign w:val="top"/>
          </w:tcPr>
          <w:p>
            <w:pPr>
              <w:spacing w:after="20"/>
            </w:pPr>
            <w:r>
              <w:rPr>
                <w:sz w:val="17"/>
              </w:rPr>
              <w:t>Yes, as a bounded individual candidate for team consideration, not a validated predictor of civilizational change. It uses the frozen interface and preserves contrary evidence. The current evidence is insufficient for a definitive general classification; the limitation belongs in the handoff.</w:t>
            </w:r>
          </w:p>
        </w:tc>
        <w:trPr>
          <w:cantSplit/>
        </w:trPr>
      </w:tr>
      <w:tr>
        <w:tc>
          <w:tcPr>
            <w:tcW w:type="dxa" w:w="5227"/>
            <w:tcMar>
              <w:top w:w="70" w:type="dxa"/>
              <w:start w:w="90" w:type="dxa"/>
              <w:bottom w:w="70" w:type="dxa"/>
              <w:end w:w="90" w:type="dxa"/>
            </w:tcMar>
            <w:vAlign w:val="top"/>
          </w:tcPr>
          <w:p>
            <w:pPr>
              <w:spacing w:after="20"/>
            </w:pPr>
            <w:r>
              <w:rPr>
                <w:sz w:val="17"/>
              </w:rPr>
              <w:t>Most important recommendation to the team</w:t>
            </w:r>
          </w:p>
        </w:tc>
        <w:tc>
          <w:tcPr>
            <w:tcW w:type="dxa" w:w="5227"/>
            <w:tcMar>
              <w:top w:w="70" w:type="dxa"/>
              <w:start w:w="90" w:type="dxa"/>
              <w:bottom w:w="70" w:type="dxa"/>
              <w:end w:w="90" w:type="dxa"/>
            </w:tcMar>
            <w:vAlign w:val="top"/>
          </w:tcPr>
          <w:p>
            <w:pPr>
              <w:spacing w:after="20"/>
            </w:pPr>
            <w:r>
              <w:rPr>
                <w:sz w:val="17"/>
              </w:rPr>
              <w:t>Preserve abstentions. The strongest challenge to a higher-significance claim is missing comparable system performance and durable cross-tier evidence. Integration rule: long-term importance may raise strategic attention but never waive local quality evidence, data permission or accountable release. No team approval is claimed.</w:t>
            </w:r>
          </w:p>
        </w:tc>
        <w:trPr>
          <w:cantSplit/>
        </w:trPr>
      </w:tr>
      <w:tr>
        <w:tc>
          <w:tcPr>
            <w:tcW w:type="dxa" w:w="5227"/>
            <w:tcMar>
              <w:top w:w="70" w:type="dxa"/>
              <w:start w:w="90" w:type="dxa"/>
              <w:bottom w:w="70" w:type="dxa"/>
              <w:end w:w="90" w:type="dxa"/>
            </w:tcMar>
            <w:vAlign w:val="top"/>
          </w:tcPr>
          <w:p>
            <w:pPr>
              <w:spacing w:after="20"/>
            </w:pPr>
            <w:r>
              <w:rPr>
                <w:sz w:val="17"/>
              </w:rPr>
              <w:t>AI / verification note</w:t>
            </w:r>
          </w:p>
        </w:tc>
        <w:tc>
          <w:tcPr>
            <w:tcW w:type="dxa" w:w="5227"/>
            <w:tcMar>
              <w:top w:w="70" w:type="dxa"/>
              <w:start w:w="90" w:type="dxa"/>
              <w:bottom w:w="70" w:type="dxa"/>
              <w:end w:w="90" w:type="dxa"/>
            </w:tcMar>
            <w:vAlign w:val="top"/>
          </w:tcPr>
          <w:p>
            <w:pPr>
              <w:spacing w:after="20"/>
            </w:pPr>
            <w:r>
              <w:rPr>
                <w:sz w:val="17"/>
              </w:rPr>
              <w:t>ChatGPT/Codex drafted the rules, saved responses, diagnostic overclaim, analysis and report. Original research/methodology pages and the lecture framework were inspected; the METR update prevents a historical result being presented as a universal current fact. Python builds prompts and checks files; it does not invoke a model. Same-assistant drafting/review is not independent validation. Self-Reflection below is AI-assisted at my request; no separate personal reflection input or student review is attested.</w:t>
            </w:r>
          </w:p>
        </w:tc>
        <w:trPr>
          <w:cantSplit/>
        </w:trPr>
      </w:tr>
    </w:tbl>
    <w:p>
      <w:pPr>
        <w:pStyle w:val="Heading1"/>
        <w:keepNext/>
      </w:pPr>
      <w:r>
        <w:t>F Self Reflection</w:t>
      </w:r>
    </w:p>
    <w:p>
      <w:pPr>
        <w:pStyle w:val="Normal"/>
      </w:pPr>
      <w:r>
        <w:t>I would not use the possibility that AI could change society as a sufficient reason for a company to adopt it now. In this case, a useful chart-review aid could still be an ordinary process improvement, while the broader agentic system remains difficult to classify. The distinction I want to keep clear is between evidence that a capability exists and evidence that it improves correctly completed work in a particular setting. A tenfold drafting claim is not enough if review and correction are excluded. My judgment is to keep uncertainty visible and ask what would change the conclusion, rather than accept a confident label. I would also compare simpler checks before recommending a more autonomous workflow.</w:t>
      </w:r>
    </w:p>
    <w:p>
      <w:pPr>
        <w:pStyle w:val="Normal"/>
      </w:pPr>
      <w:r>
        <w:t>Authorship note: This first-person reflection was drafted with AI at the student’s explicit request. It states a proposed analytical perspective, not an invented classroom experience or independently performed experiment.</w:t>
      </w:r>
    </w:p>
    <w:p>
      <w:pPr>
        <w:pStyle w:val="Heading1"/>
        <w:pageBreakBefore/>
        <w:keepNext/>
      </w:pPr>
      <w:r>
        <w:t>Sources and Reproduction</w:t>
      </w:r>
    </w:p>
    <w:p>
      <w:pPr>
        <w:pStyle w:val="Normal"/>
      </w:pPr>
      <w:r>
        <w:t>All sources were checked by the assistant on October 19, 2026. The register records exact scope and limits. Case organizations, sponsor claims and proposed exercises are constructed assumptions. Adjacent evidence is not proof of agentic chart-review performance.</w:t>
      </w:r>
    </w:p>
    <w:p>
      <w:pPr>
        <w:pStyle w:val="Heading2"/>
        <w:keepNext/>
      </w:pPr>
      <w:r>
        <w:t>S0 Course framework</w:t>
      </w:r>
    </w:p>
    <w:p>
      <w:pPr>
        <w:pStyle w:val="Normal"/>
      </w:pPr>
      <w:r>
        <w:t>Module 11 Promethean Technologies, Spring 2026 slide label, attributed to Andres Fortino, slides 8–12 and 19–22. Local course deck: ET Module 11 - Promethean Technologies SP261.pptx. Criteria are an analytical framework, not empirical validation.</w:t>
      </w:r>
    </w:p>
    <w:p>
      <w:pPr>
        <w:pStyle w:val="Heading2"/>
        <w:keepNext/>
      </w:pPr>
      <w:r>
        <w:t>S1 Mechanism evidence</w:t>
      </w:r>
    </w:p>
    <w:p>
      <w:pPr>
        <w:pStyle w:val="Normal"/>
      </w:pPr>
      <w:r>
        <w:t>Yao et al. ReAct: Synergizing Reasoning and Acting in Language Models. 2022 preprint; 2023 ICLR v3. Bounded reasoning/action tasks, not chart QA or civilization-scale deployment. https://arxiv.org/abs/2210.03629v3</w:t>
      </w:r>
    </w:p>
    <w:p>
      <w:pPr>
        <w:pStyle w:val="Heading2"/>
        <w:keepNext/>
      </w:pPr>
      <w:r>
        <w:t>S2 Engineering distinction</w:t>
      </w:r>
    </w:p>
    <w:p>
      <w:pPr>
        <w:pStyle w:val="Normal"/>
      </w:pPr>
      <w:r>
        <w:t>Anthropic. Building effective agents. December 19, 2024; live page notes subsequent tooling changes. Vendor guidance on workflows, agents and tradeoffs, not independent population evidence. https://www.anthropic.com/engineering/building-effective-agents</w:t>
      </w:r>
    </w:p>
    <w:p>
      <w:pPr>
        <w:pStyle w:val="Heading2"/>
        <w:keepNext/>
      </w:pPr>
      <w:r>
        <w:t>S3 Measurement caution</w:t>
      </w:r>
    </w:p>
    <w:p>
      <w:pPr>
        <w:pStyle w:val="Normal"/>
      </w:pPr>
      <w:r>
        <w:t>METR. Task-Completion Time Horizons of Frontier AI Models. Last updated September 8, 2026; no longer actively updated. Human-time-indexed difficulty at a success rate is not AI runtime or a speed ratio. https://metr.org/time-horizons/</w:t>
      </w:r>
    </w:p>
    <w:p>
      <w:pPr>
        <w:pStyle w:val="Heading2"/>
        <w:keepNext/>
      </w:pPr>
      <w:r>
        <w:t>S4 Contrary field evidence</w:t>
      </w:r>
    </w:p>
    <w:p>
      <w:pPr>
        <w:pStyle w:val="Normal"/>
      </w:pPr>
      <w:r>
        <w:t>METR. Measuring the Impact of Early-2025 AI on Experienced Open-Source Developer Productivity. July 10, 2025. Narrow historical setting; not a current universal conclusion. https://metr.org/blog/2025-07-10-early-2025-ai-experienced-os-dev-study/</w:t>
      </w:r>
    </w:p>
    <w:p>
      <w:pPr>
        <w:pStyle w:val="Heading2"/>
        <w:keepNext/>
      </w:pPr>
      <w:r>
        <w:t>S5 Current qualification</w:t>
      </w:r>
    </w:p>
    <w:p>
      <w:pPr>
        <w:pStyle w:val="Normal"/>
      </w:pPr>
      <w:r>
        <w:t>METR. We are Changing our Developer Productivity Experiment Design. February 24, 2026. Selection and measurement problems limit later uplift estimates; read with S4. https://metr.org/blog/2026-02-24-uplift-update/</w:t>
      </w:r>
    </w:p>
    <w:p>
      <w:pPr>
        <w:pStyle w:val="Heading2"/>
        <w:keepNext/>
      </w:pPr>
      <w:r>
        <w:t>S6 Adjacent positive evidence</w:t>
      </w:r>
    </w:p>
    <w:p>
      <w:pPr>
        <w:pStyle w:val="Normal"/>
      </w:pPr>
      <w:r>
        <w:t>Brynjolfsson, Li and Raymond. Generative AI at Work. Quarterly Journal of Economics 140(2), 2025, 889–942. Reported productivity gains concern human support workers at one firm, not autonomous agents. https://academic.oup.com/qje/article/140/2/889/7990658</w:t>
      </w:r>
    </w:p>
    <w:p>
      <w:pPr>
        <w:pStyle w:val="Heading2"/>
        <w:keepNext/>
      </w:pPr>
      <w:r>
        <w:t>Package reproduction</w:t>
      </w:r>
    </w:p>
    <w:p>
      <w:pPr>
        <w:pStyle w:val="Normal"/>
      </w:pPr>
      <w:r>
        <w:t>From agent_package, run python3 verification/recheck.py. Read records/test_and_revision_log.md and verification/run_provenance.json before interpreting the results. Build a new prompt with the unchanged tools/build_prompt.py and validate saved JSON with tools/validate_response.py. No API key or trained model is required. The complete cases, prompts, responses and diagnostic overclaim are included; QA renders and authoring scripts are excluded.</w:t>
      </w:r>
    </w:p>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Yufei Cai | Assignment 4 | Promethean Agent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Promethean Agent Record</dc:title>
  <dc:subject>Week 6 Assignment 4 SubAgent 3</dc:subject>
  <dc:creator>Yufei Cai</dc:creator>
  <cp:keywords>Advanced Business Informatics, weekly assignments, professional practice, AI, judgment, proof of concept</cp:keywords>
  <dc:description>Individual Lab 4 Agent Record prepared with disclosed AI assistance from the instructor template</dc:description>
  <cp:lastModifiedBy>Yufei Cai</cp:lastModifiedBy>
  <cp:revision>2</cp:revision>
  <dcterms:created xsi:type="dcterms:W3CDTF">2026-08-13T19:48:00Z</dcterms:created>
  <dcterms:modified xsi:type="dcterms:W3CDTF">2026-10-19T22:00:00Z</dcterms:modified>
  <cp:category/>
</cp:coreProperties>
</file>