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28"/>
        </w:rPr>
        <w:t>EMERGING TECHNOLOGIES</w:t>
      </w:r>
    </w:p>
    <w:p>
      <w:pPr>
        <w:pStyle w:val="Title"/>
        <w:jc w:val="center"/>
      </w:pPr>
      <w:r>
        <w:t>Specialist Agent Record</w:t>
      </w:r>
    </w:p>
    <w:p>
      <w:pPr>
        <w:jc w:val="center"/>
      </w:pPr>
      <w:r>
        <w:t>MASY1-GC 1800 | Assignment 2</w:t>
      </w:r>
    </w:p>
    <w:tbl>
      <w:tblPr>
        <w:tblW w:type="auto" w:w="0"/>
        <w:tblLook w:firstColumn="1" w:firstRow="1" w:lastColumn="0" w:lastRow="0" w:noHBand="0" w:noVBand="1" w:val="04A0"/>
      </w:tblPr>
      <w:tblGrid>
        <w:gridCol w:w="10454"/>
      </w:tblGrid>
      <w:tr>
        <w:trPr>
          <w:cantSplit/>
          <w:tblHeader w:val="true"/>
        </w:trPr>
        <w:tc>
          <w:tcPr>
            <w:tcW w:type="dxa" w:w="10454"/>
            <w:shd w:fill="F3EDF7"/>
            <w:tcMar>
              <w:top w:w="90" w:type="dxa"/>
              <w:start w:w="120" w:type="dxa"/>
              <w:bottom w:w="90" w:type="dxa"/>
              <w:end w:w="120" w:type="dxa"/>
            </w:tcMar>
          </w:tcPr>
          <w:p>
            <w:pPr>
              <w:pStyle w:val="Callout"/>
            </w:pPr>
            <w:r>
              <w:t>This record documents the specialized Creation Agent, the evidence used, the tests performed, the failure preserved, the revision made, and the independent professional judgment reached.</w:t>
            </w:r>
          </w:p>
        </w:tc>
      </w:tr>
    </w:tbl>
    <w:p>
      <w:pPr>
        <w:pStyle w:val="Heading1"/>
      </w:pPr>
      <w:r>
        <w:t>A. Agent and Version</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val="true"/>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Student / team</w:t>
            </w:r>
          </w:p>
        </w:tc>
        <w:tc>
          <w:tcPr>
            <w:tcW w:type="dxa" w:w="5227"/>
            <w:tcMar>
              <w:top w:w="70" w:type="dxa"/>
              <w:start w:w="90" w:type="dxa"/>
              <w:bottom w:w="70" w:type="dxa"/>
              <w:end w:w="90" w:type="dxa"/>
            </w:tcMar>
            <w:vAlign w:val="top"/>
          </w:tcPr>
          <w:p>
            <w:pPr>
              <w:spacing w:after="20"/>
            </w:pPr>
            <w:r>
              <w:t>Yufei Cai / Individual Assignment</w:t>
            </w:r>
          </w:p>
        </w:tc>
      </w:tr>
      <w:tr>
        <w:trPr>
          <w:cantSplit/>
        </w:trPr>
        <w:tc>
          <w:tcPr>
            <w:tcW w:type="dxa" w:w="5227"/>
            <w:tcMar>
              <w:top w:w="70" w:type="dxa"/>
              <w:start w:w="90" w:type="dxa"/>
              <w:bottom w:w="70" w:type="dxa"/>
              <w:end w:w="90" w:type="dxa"/>
            </w:tcMar>
            <w:vAlign w:val="top"/>
          </w:tcPr>
          <w:p>
            <w:pPr>
              <w:spacing w:after="20"/>
            </w:pPr>
            <w:r>
              <w:rPr>
                <w:sz w:val="17"/>
              </w:rPr>
              <w:t>Assignment / specialist agent</w:t>
            </w:r>
          </w:p>
        </w:tc>
        <w:tc>
          <w:tcPr>
            <w:tcW w:type="dxa" w:w="5227"/>
            <w:tcMar>
              <w:top w:w="70" w:type="dxa"/>
              <w:start w:w="90" w:type="dxa"/>
              <w:bottom w:w="70" w:type="dxa"/>
              <w:end w:w="90" w:type="dxa"/>
            </w:tcMar>
            <w:vAlign w:val="top"/>
          </w:tcPr>
          <w:p>
            <w:pPr>
              <w:spacing w:after="20"/>
            </w:pPr>
            <w:r>
              <w:t>Assignment 2 / Emerging Technology Creation Agent, version 0.2-student</w:t>
            </w:r>
          </w:p>
        </w:tc>
      </w:tr>
      <w:tr>
        <w:trPr>
          <w:cantSplit/>
        </w:trPr>
        <w:tc>
          <w:tcPr>
            <w:tcW w:type="dxa" w:w="5227"/>
            <w:tcMar>
              <w:top w:w="70" w:type="dxa"/>
              <w:start w:w="90" w:type="dxa"/>
              <w:bottom w:w="70" w:type="dxa"/>
              <w:end w:w="90" w:type="dxa"/>
            </w:tcMar>
            <w:vAlign w:val="top"/>
          </w:tcPr>
          <w:p>
            <w:pPr>
              <w:spacing w:after="20"/>
            </w:pPr>
            <w:r>
              <w:rPr>
                <w:sz w:val="17"/>
              </w:rPr>
              <w:t>Date</w:t>
            </w:r>
          </w:p>
        </w:tc>
        <w:tc>
          <w:tcPr>
            <w:tcW w:type="dxa" w:w="5227"/>
            <w:tcMar>
              <w:top w:w="70" w:type="dxa"/>
              <w:start w:w="90" w:type="dxa"/>
              <w:bottom w:w="70" w:type="dxa"/>
              <w:end w:w="90" w:type="dxa"/>
            </w:tcMar>
            <w:vAlign w:val="top"/>
          </w:tcPr>
          <w:p>
            <w:pPr>
              <w:spacing w:after="20"/>
            </w:pPr>
            <w:r>
              <w:t>October 5, 2026</w:t>
            </w:r>
          </w:p>
        </w:tc>
      </w:tr>
      <w:tr>
        <w:trPr>
          <w:cantSplit/>
        </w:trPr>
        <w:tc>
          <w:tcPr>
            <w:tcW w:type="dxa" w:w="5227"/>
            <w:tcMar>
              <w:top w:w="70" w:type="dxa"/>
              <w:start w:w="90" w:type="dxa"/>
              <w:bottom w:w="70" w:type="dxa"/>
              <w:end w:w="90" w:type="dxa"/>
            </w:tcMar>
            <w:vAlign w:val="top"/>
          </w:tcPr>
          <w:p>
            <w:pPr>
              <w:spacing w:after="20"/>
            </w:pPr>
            <w:r>
              <w:rPr>
                <w:sz w:val="17"/>
              </w:rPr>
              <w:t>GitHub repository</w:t>
            </w:r>
          </w:p>
        </w:tc>
        <w:tc>
          <w:tcPr>
            <w:tcW w:type="dxa" w:w="5227"/>
            <w:tcMar>
              <w:top w:w="70" w:type="dxa"/>
              <w:start w:w="90" w:type="dxa"/>
              <w:bottom w:w="70" w:type="dxa"/>
              <w:end w:w="90" w:type="dxa"/>
            </w:tcMar>
            <w:vAlign w:val="top"/>
          </w:tcPr>
          <w:p>
            <w:pPr>
              <w:spacing w:after="20"/>
            </w:pPr>
            <w:r>
              <w:t>https://github.com/caiyf17/masy1800-assignment2-creation-agent</w:t>
            </w:r>
          </w:p>
        </w:tc>
      </w:tr>
      <w:tr>
        <w:trPr>
          <w:cantSplit/>
        </w:trPr>
        <w:tc>
          <w:tcPr>
            <w:tcW w:type="dxa" w:w="5227"/>
            <w:tcMar>
              <w:top w:w="70" w:type="dxa"/>
              <w:start w:w="90" w:type="dxa"/>
              <w:bottom w:w="70" w:type="dxa"/>
              <w:end w:w="90" w:type="dxa"/>
            </w:tcMar>
            <w:vAlign w:val="top"/>
          </w:tcPr>
          <w:p>
            <w:pPr>
              <w:spacing w:after="20"/>
            </w:pPr>
            <w:r>
              <w:rPr>
                <w:sz w:val="17"/>
              </w:rPr>
              <w:t>Branch</w:t>
            </w:r>
          </w:p>
        </w:tc>
        <w:tc>
          <w:tcPr>
            <w:tcW w:type="dxa" w:w="5227"/>
            <w:tcMar>
              <w:top w:w="70" w:type="dxa"/>
              <w:start w:w="90" w:type="dxa"/>
              <w:bottom w:w="70" w:type="dxa"/>
              <w:end w:w="90" w:type="dxa"/>
            </w:tcMar>
            <w:vAlign w:val="top"/>
          </w:tcPr>
          <w:p>
            <w:pPr>
              <w:spacing w:after="20"/>
            </w:pPr>
            <w:r>
              <w:t>lab2-creation-agent</w:t>
            </w:r>
          </w:p>
        </w:tc>
      </w:tr>
      <w:tr>
        <w:trPr>
          <w:cantSplit/>
        </w:trPr>
        <w:tc>
          <w:tcPr>
            <w:tcW w:type="dxa" w:w="5227"/>
            <w:tcMar>
              <w:top w:w="70" w:type="dxa"/>
              <w:start w:w="90" w:type="dxa"/>
              <w:bottom w:w="70" w:type="dxa"/>
              <w:end w:w="90" w:type="dxa"/>
            </w:tcMar>
            <w:vAlign w:val="top"/>
          </w:tcPr>
          <w:p>
            <w:pPr>
              <w:spacing w:after="20"/>
            </w:pPr>
            <w:r>
              <w:rPr>
                <w:sz w:val="17"/>
              </w:rPr>
              <w:t>Commit</w:t>
            </w:r>
          </w:p>
        </w:tc>
        <w:tc>
          <w:tcPr>
            <w:tcW w:type="dxa" w:w="5227"/>
            <w:tcMar>
              <w:top w:w="70" w:type="dxa"/>
              <w:start w:w="90" w:type="dxa"/>
              <w:bottom w:w="70" w:type="dxa"/>
              <w:end w:w="90" w:type="dxa"/>
            </w:tcMar>
            <w:vAlign w:val="top"/>
          </w:tcPr>
          <w:p>
            <w:pPr>
              <w:spacing w:after="20"/>
            </w:pPr>
            <w:r>
              <w:t>ca89fb5219c1a47ba2a055f4deffca70e7d0d02a</w:t>
            </w:r>
          </w:p>
        </w:tc>
      </w:tr>
      <w:tr>
        <w:trPr>
          <w:cantSplit/>
        </w:trPr>
        <w:tc>
          <w:tcPr>
            <w:tcW w:type="dxa" w:w="5227"/>
            <w:tcMar>
              <w:top w:w="70" w:type="dxa"/>
              <w:start w:w="90" w:type="dxa"/>
              <w:bottom w:w="70" w:type="dxa"/>
              <w:end w:w="90" w:type="dxa"/>
            </w:tcMar>
            <w:vAlign w:val="top"/>
          </w:tcPr>
          <w:p>
            <w:pPr>
              <w:spacing w:after="20"/>
            </w:pPr>
            <w:r>
              <w:rPr>
                <w:sz w:val="17"/>
              </w:rPr>
              <w:t>Frozen scaffold version</w:t>
            </w:r>
          </w:p>
        </w:tc>
        <w:tc>
          <w:tcPr>
            <w:tcW w:type="dxa" w:w="5227"/>
            <w:tcMar>
              <w:top w:w="70" w:type="dxa"/>
              <w:start w:w="90" w:type="dxa"/>
              <w:bottom w:w="70" w:type="dxa"/>
              <w:end w:w="90" w:type="dxa"/>
            </w:tcMar>
            <w:vAlign w:val="top"/>
          </w:tcPr>
          <w:p>
            <w:pPr>
              <w:spacing w:after="20"/>
            </w:pPr>
            <w:r>
              <w:t>MASY1800_ET_Agent_Scaffold_v1_0</w:t>
            </w:r>
          </w:p>
        </w:tc>
      </w:tr>
    </w:tbl>
    <w:p>
      <w:pPr>
        <w:pStyle w:val="Heading1"/>
      </w:pPr>
      <w:r>
        <w:t>B. Specialist Purpose and Context</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val="true"/>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Governing analytical question</w:t>
            </w:r>
          </w:p>
        </w:tc>
        <w:tc>
          <w:tcPr>
            <w:tcW w:type="dxa" w:w="5227"/>
            <w:tcMar>
              <w:top w:w="70" w:type="dxa"/>
              <w:start w:w="90" w:type="dxa"/>
              <w:bottom w:w="70" w:type="dxa"/>
              <w:end w:w="90" w:type="dxa"/>
            </w:tcMar>
            <w:vAlign w:val="top"/>
          </w:tcPr>
          <w:p>
            <w:pPr>
              <w:spacing w:after="20"/>
            </w:pPr>
            <w:r>
              <w:t>How did agentic AI come into existence, what combination of prior capabilities made it possible, and what does that history imply for agent-assisted chart improvement and evidence checking in this application and organization?</w:t>
            </w:r>
          </w:p>
        </w:tc>
      </w:tr>
      <w:tr>
        <w:trPr>
          <w:cantSplit/>
        </w:trPr>
        <w:tc>
          <w:tcPr>
            <w:tcW w:type="dxa" w:w="5227"/>
            <w:tcMar>
              <w:top w:w="70" w:type="dxa"/>
              <w:start w:w="90" w:type="dxa"/>
              <w:bottom w:w="70" w:type="dxa"/>
              <w:end w:w="90" w:type="dxa"/>
            </w:tcMar>
            <w:vAlign w:val="top"/>
          </w:tcPr>
          <w:p>
            <w:pPr>
              <w:spacing w:after="20"/>
            </w:pPr>
            <w:r>
              <w:rPr>
                <w:sz w:val="17"/>
              </w:rPr>
              <w:t>Emerging technology</w:t>
            </w:r>
          </w:p>
        </w:tc>
        <w:tc>
          <w:tcPr>
            <w:tcW w:type="dxa" w:w="5227"/>
            <w:tcMar>
              <w:top w:w="70" w:type="dxa"/>
              <w:start w:w="90" w:type="dxa"/>
              <w:bottom w:w="70" w:type="dxa"/>
              <w:end w:w="90" w:type="dxa"/>
            </w:tcMar>
            <w:vAlign w:val="top"/>
          </w:tcPr>
          <w:p>
            <w:pPr>
              <w:spacing w:after="20"/>
            </w:pPr>
            <w:r>
              <w:t>Agentic AI</w:t>
            </w:r>
          </w:p>
        </w:tc>
      </w:tr>
      <w:tr>
        <w:trPr>
          <w:cantSplit/>
        </w:trPr>
        <w:tc>
          <w:tcPr>
            <w:tcW w:type="dxa" w:w="5227"/>
            <w:tcMar>
              <w:top w:w="70" w:type="dxa"/>
              <w:start w:w="90" w:type="dxa"/>
              <w:bottom w:w="70" w:type="dxa"/>
              <w:end w:w="90" w:type="dxa"/>
            </w:tcMar>
            <w:vAlign w:val="top"/>
          </w:tcPr>
          <w:p>
            <w:pPr>
              <w:spacing w:after="20"/>
            </w:pPr>
            <w:r>
              <w:rPr>
                <w:sz w:val="17"/>
              </w:rPr>
              <w:t>Intended application</w:t>
            </w:r>
          </w:p>
        </w:tc>
        <w:tc>
          <w:tcPr>
            <w:tcW w:type="dxa" w:w="5227"/>
            <w:tcMar>
              <w:top w:w="70" w:type="dxa"/>
              <w:start w:w="90" w:type="dxa"/>
              <w:bottom w:w="70" w:type="dxa"/>
              <w:end w:w="90" w:type="dxa"/>
            </w:tcMar>
            <w:vAlign w:val="top"/>
          </w:tcPr>
          <w:p>
            <w:pPr>
              <w:spacing w:after="20"/>
            </w:pPr>
            <w:r>
              <w:t>Review business charts, verify chart claims against approved source data, propose clearer designs, and draft chart notes for internal management reports.</w:t>
            </w:r>
          </w:p>
        </w:tc>
      </w:tr>
      <w:tr>
        <w:trPr>
          <w:cantSplit/>
        </w:trPr>
        <w:tc>
          <w:tcPr>
            <w:tcW w:type="dxa" w:w="5227"/>
            <w:tcMar>
              <w:top w:w="70" w:type="dxa"/>
              <w:start w:w="90" w:type="dxa"/>
              <w:bottom w:w="70" w:type="dxa"/>
              <w:end w:w="90" w:type="dxa"/>
            </w:tcMar>
            <w:vAlign w:val="top"/>
          </w:tcPr>
          <w:p>
            <w:pPr>
              <w:spacing w:after="20"/>
            </w:pPr>
            <w:r>
              <w:rPr>
                <w:sz w:val="17"/>
              </w:rPr>
              <w:t>Organization / industry</w:t>
            </w:r>
          </w:p>
        </w:tc>
        <w:tc>
          <w:tcPr>
            <w:tcW w:type="dxa" w:w="5227"/>
            <w:tcMar>
              <w:top w:w="70" w:type="dxa"/>
              <w:start w:w="90" w:type="dxa"/>
              <w:bottom w:w="70" w:type="dxa"/>
              <w:end w:w="90" w:type="dxa"/>
            </w:tcMar>
            <w:vAlign w:val="top"/>
          </w:tcPr>
          <w:p>
            <w:pPr>
              <w:spacing w:after="20"/>
            </w:pPr>
            <w:r>
              <w:t>Mid-sized U.S. financial-services firm with centralized analytics, model-risk, information-security, and compliance functions.</w:t>
            </w:r>
          </w:p>
        </w:tc>
      </w:tr>
      <w:tr>
        <w:trPr>
          <w:cantSplit/>
        </w:trPr>
        <w:tc>
          <w:tcPr>
            <w:tcW w:type="dxa" w:w="5227"/>
            <w:tcMar>
              <w:top w:w="70" w:type="dxa"/>
              <w:start w:w="90" w:type="dxa"/>
              <w:bottom w:w="70" w:type="dxa"/>
              <w:end w:w="90" w:type="dxa"/>
            </w:tcMar>
            <w:vAlign w:val="top"/>
          </w:tcPr>
          <w:p>
            <w:pPr>
              <w:spacing w:after="20"/>
            </w:pPr>
            <w:r>
              <w:rPr>
                <w:sz w:val="17"/>
              </w:rPr>
              <w:t>Adoption posture</w:t>
            </w:r>
          </w:p>
        </w:tc>
        <w:tc>
          <w:tcPr>
            <w:tcW w:type="dxa" w:w="5227"/>
            <w:tcMar>
              <w:top w:w="70" w:type="dxa"/>
              <w:start w:w="90" w:type="dxa"/>
              <w:bottom w:w="70" w:type="dxa"/>
              <w:end w:w="90" w:type="dxa"/>
            </w:tcMar>
            <w:vAlign w:val="top"/>
          </w:tcPr>
          <w:p>
            <w:pPr>
              <w:spacing w:after="20"/>
            </w:pPr>
            <w:r>
              <w:t>Conservative and risk-averse. Bounded pilots are allowed, but broader use requires reliability, access control, auditability, and named human ownership.</w:t>
            </w:r>
          </w:p>
        </w:tc>
      </w:tr>
      <w:tr>
        <w:trPr>
          <w:cantSplit/>
        </w:trPr>
        <w:tc>
          <w:tcPr>
            <w:tcW w:type="dxa" w:w="5227"/>
            <w:tcMar>
              <w:top w:w="70" w:type="dxa"/>
              <w:start w:w="90" w:type="dxa"/>
              <w:bottom w:w="70" w:type="dxa"/>
              <w:end w:w="90" w:type="dxa"/>
            </w:tcMar>
            <w:vAlign w:val="top"/>
          </w:tcPr>
          <w:p>
            <w:pPr>
              <w:spacing w:after="20"/>
            </w:pPr>
            <w:r>
              <w:rPr>
                <w:sz w:val="17"/>
              </w:rPr>
              <w:t>Risk / consequence context</w:t>
            </w:r>
          </w:p>
        </w:tc>
        <w:tc>
          <w:tcPr>
            <w:tcW w:type="dxa" w:w="5227"/>
            <w:tcMar>
              <w:top w:w="70" w:type="dxa"/>
              <w:start w:w="90" w:type="dxa"/>
              <w:bottom w:w="70" w:type="dxa"/>
              <w:end w:w="90" w:type="dxa"/>
            </w:tcMar>
            <w:vAlign w:val="top"/>
          </w:tcPr>
          <w:p>
            <w:pPr>
              <w:spacing w:after="20"/>
            </w:pPr>
            <w:r>
              <w:t>Fabricated claims, incorrect denominators, privacy breaches, or misleading visuals could affect executive decisions, regulatory obligations, and reputation.</w:t>
            </w:r>
          </w:p>
        </w:tc>
      </w:tr>
      <w:tr>
        <w:trPr>
          <w:cantSplit/>
        </w:trPr>
        <w:tc>
          <w:tcPr>
            <w:tcW w:type="dxa" w:w="5227"/>
            <w:tcMar>
              <w:top w:w="70" w:type="dxa"/>
              <w:start w:w="90" w:type="dxa"/>
              <w:bottom w:w="70" w:type="dxa"/>
              <w:end w:w="90" w:type="dxa"/>
            </w:tcMar>
            <w:vAlign w:val="top"/>
          </w:tcPr>
          <w:p>
            <w:pPr>
              <w:spacing w:after="20"/>
            </w:pPr>
            <w:r>
              <w:rPr>
                <w:sz w:val="17"/>
              </w:rPr>
              <w:t>Management question / time horizon</w:t>
            </w:r>
          </w:p>
        </w:tc>
        <w:tc>
          <w:tcPr>
            <w:tcW w:type="dxa" w:w="5227"/>
            <w:tcMar>
              <w:top w:w="70" w:type="dxa"/>
              <w:start w:w="90" w:type="dxa"/>
              <w:bottom w:w="70" w:type="dxa"/>
              <w:end w:w="90" w:type="dxa"/>
            </w:tcMar>
            <w:vAlign w:val="top"/>
          </w:tcPr>
          <w:p>
            <w:pPr>
              <w:spacing w:after="20"/>
            </w:pPr>
            <w:r>
              <w:t>Should the firm run a controlled pilot, and what limits follow from the technology creation history? Decide now and evaluate over 12 months.</w:t>
            </w:r>
          </w:p>
        </w:tc>
      </w:tr>
    </w:tbl>
    <w:p>
      <w:pPr>
        <w:pStyle w:val="Heading1"/>
      </w:pPr>
      <w:r>
        <w:t>C. Three-Level Finding</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val="true"/>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ET generally</w:t>
            </w:r>
          </w:p>
        </w:tc>
        <w:tc>
          <w:tcPr>
            <w:tcW w:type="dxa" w:w="5227"/>
            <w:tcMar>
              <w:top w:w="70" w:type="dxa"/>
              <w:start w:w="90" w:type="dxa"/>
              <w:bottom w:w="70" w:type="dxa"/>
              <w:end w:w="90" w:type="dxa"/>
            </w:tcMar>
            <w:vAlign w:val="top"/>
          </w:tcPr>
          <w:p>
            <w:pPr>
              <w:spacing w:after="20"/>
            </w:pPr>
            <w:r>
              <w:t>Agentic AI is a cumulative recombination rather than a single invention. Transformer models, few-shot language interaction, instruction following, reasoning-action loops, learned tool use, open integration protocols, and packaged orchestration infrastructure collectively enabled systems in which a model manages multi-step work and selects tools. This convergence statement is an inference grounded in dated milestones. By 2026, the category had moved from research demonstrations to packaged infrastructure and reported deployments, but public-beta platforms and changing interfaces showed that architecture and assurance remained unsettled.</w:t>
            </w:r>
          </w:p>
        </w:tc>
      </w:tr>
      <w:tr>
        <w:trPr>
          <w:cantSplit/>
        </w:trPr>
        <w:tc>
          <w:tcPr>
            <w:tcW w:type="dxa" w:w="5227"/>
            <w:tcMar>
              <w:top w:w="70" w:type="dxa"/>
              <w:start w:w="90" w:type="dxa"/>
              <w:bottom w:w="70" w:type="dxa"/>
              <w:end w:w="90" w:type="dxa"/>
            </w:tcMar>
            <w:vAlign w:val="top"/>
          </w:tcPr>
          <w:p>
            <w:pPr>
              <w:spacing w:after="20"/>
            </w:pPr>
            <w:r>
              <w:rPr>
                <w:sz w:val="17"/>
              </w:rPr>
              <w:t>ET for this application</w:t>
            </w:r>
          </w:p>
        </w:tc>
        <w:tc>
          <w:tcPr>
            <w:tcW w:type="dxa" w:w="5227"/>
            <w:tcMar>
              <w:top w:w="70" w:type="dxa"/>
              <w:start w:w="90" w:type="dxa"/>
              <w:bottom w:w="70" w:type="dxa"/>
              <w:end w:w="90" w:type="dxa"/>
            </w:tcMar>
            <w:vAlign w:val="top"/>
          </w:tcPr>
          <w:p>
            <w:pPr>
              <w:spacing w:after="20"/>
            </w:pPr>
            <w:r>
              <w:t>Chart review contains the unstructured context, iterative judgment, and tool calls that motivated agentic systems. An agent can coordinate retrieval, diagnosis, alternative generation, and documentation, while deterministic code retains calculations, schema checks, and data lineage. The history supports a hybrid orchestration layer, not one unconstrained model that calculates, verifies, and publishes.</w:t>
            </w:r>
          </w:p>
        </w:tc>
      </w:tr>
      <w:tr>
        <w:trPr>
          <w:cantSplit/>
        </w:trPr>
        <w:tc>
          <w:tcPr>
            <w:tcW w:type="dxa" w:w="5227"/>
            <w:tcMar>
              <w:top w:w="70" w:type="dxa"/>
              <w:start w:w="90" w:type="dxa"/>
              <w:bottom w:w="70" w:type="dxa"/>
              <w:end w:w="90" w:type="dxa"/>
            </w:tcMar>
            <w:vAlign w:val="top"/>
          </w:tcPr>
          <w:p>
            <w:pPr>
              <w:spacing w:after="20"/>
            </w:pPr>
            <w:r>
              <w:rPr>
                <w:sz w:val="17"/>
              </w:rPr>
              <w:t>ET for this application in this organization</w:t>
            </w:r>
          </w:p>
        </w:tc>
        <w:tc>
          <w:tcPr>
            <w:tcW w:type="dxa" w:w="5227"/>
            <w:tcMar>
              <w:top w:w="70" w:type="dxa"/>
              <w:start w:w="90" w:type="dxa"/>
              <w:bottom w:w="70" w:type="dxa"/>
              <w:end w:w="90" w:type="dxa"/>
            </w:tcMar>
            <w:vAlign w:val="top"/>
          </w:tcPr>
          <w:p>
            <w:pPr>
              <w:spacing w:after="20"/>
            </w:pPr>
            <w:r>
              <w:t>Existing BI, security, compliance, and analyst capabilities make a bounded pilot feasible. Sensitive data, regulated consequences, limited evaluation evidence, and conservative posture require approved data, read-only and allow-listed tools, full logs, deterministic verification, and named analyst approval. Organizational caution changes acceptable uncertainty and action, not the general history.</w:t>
            </w:r>
          </w:p>
        </w:tc>
      </w:tr>
      <w:tr>
        <w:trPr>
          <w:cantSplit/>
        </w:trPr>
        <w:tc>
          <w:tcPr>
            <w:tcW w:type="dxa" w:w="5227"/>
            <w:tcMar>
              <w:top w:w="70" w:type="dxa"/>
              <w:start w:w="90" w:type="dxa"/>
              <w:bottom w:w="70" w:type="dxa"/>
              <w:end w:w="90" w:type="dxa"/>
            </w:tcMar>
            <w:vAlign w:val="top"/>
          </w:tcPr>
          <w:p>
            <w:pPr>
              <w:spacing w:after="20"/>
            </w:pPr>
            <w:r>
              <w:rPr>
                <w:sz w:val="17"/>
              </w:rPr>
              <w:t>Bounded management implication</w:t>
            </w:r>
          </w:p>
        </w:tc>
        <w:tc>
          <w:tcPr>
            <w:tcW w:type="dxa" w:w="5227"/>
            <w:tcMar>
              <w:top w:w="70" w:type="dxa"/>
              <w:start w:w="90" w:type="dxa"/>
              <w:bottom w:w="70" w:type="dxa"/>
              <w:end w:w="90" w:type="dxa"/>
            </w:tcMar>
            <w:vAlign w:val="top"/>
          </w:tcPr>
          <w:p>
            <w:pPr>
              <w:spacing w:after="20"/>
            </w:pPr>
            <w:r>
              <w:t>Run a reversible, read-only pilot with predefined pass/fail thresholds. Do not authorize autonomous publication or production deployment from creation-history evidence alone.</w:t>
            </w:r>
          </w:p>
        </w:tc>
      </w:tr>
      <w:tr>
        <w:trPr>
          <w:cantSplit/>
        </w:trPr>
        <w:tc>
          <w:tcPr>
            <w:tcW w:type="dxa" w:w="5227"/>
            <w:tcMar>
              <w:top w:w="70" w:type="dxa"/>
              <w:start w:w="90" w:type="dxa"/>
              <w:bottom w:w="70" w:type="dxa"/>
              <w:end w:w="90" w:type="dxa"/>
            </w:tcMar>
            <w:vAlign w:val="top"/>
          </w:tcPr>
          <w:p>
            <w:pPr>
              <w:spacing w:after="20"/>
            </w:pPr>
            <w:r>
              <w:rPr>
                <w:sz w:val="17"/>
              </w:rPr>
              <w:t>Confidence / uncertainty</w:t>
            </w:r>
          </w:p>
        </w:tc>
        <w:tc>
          <w:tcPr>
            <w:tcW w:type="dxa" w:w="5227"/>
            <w:tcMar>
              <w:top w:w="70" w:type="dxa"/>
              <w:start w:w="90" w:type="dxa"/>
              <w:bottom w:w="70" w:type="dxa"/>
              <w:end w:w="90" w:type="dxa"/>
            </w:tcMar>
            <w:vAlign w:val="top"/>
          </w:tcPr>
          <w:p>
            <w:pPr>
              <w:spacing w:after="20"/>
            </w:pPr>
            <w:r>
              <w:t>High confidence in dated technical milestones; moderate confidence in the convergence and evolutionary-stage synthesis; low confidence in firm-specific reliability, compliance, cost, and value until a pilot produces evidence.</w:t>
            </w:r>
          </w:p>
        </w:tc>
      </w:tr>
      <w:tr>
        <w:trPr>
          <w:cantSplit/>
        </w:trPr>
        <w:tc>
          <w:tcPr>
            <w:tcW w:type="dxa" w:w="5227"/>
            <w:tcMar>
              <w:top w:w="70" w:type="dxa"/>
              <w:start w:w="90" w:type="dxa"/>
              <w:bottom w:w="70" w:type="dxa"/>
              <w:end w:w="90" w:type="dxa"/>
            </w:tcMar>
            <w:vAlign w:val="top"/>
          </w:tcPr>
          <w:p>
            <w:pPr>
              <w:spacing w:after="20"/>
            </w:pPr>
            <w:r>
              <w:rPr>
                <w:sz w:val="17"/>
              </w:rPr>
              <w:t>What evidence or condition would change the conclusion</w:t>
            </w:r>
          </w:p>
        </w:tc>
        <w:tc>
          <w:tcPr>
            <w:tcW w:type="dxa" w:w="5227"/>
            <w:tcMar>
              <w:top w:w="70" w:type="dxa"/>
              <w:start w:w="90" w:type="dxa"/>
              <w:bottom w:w="70" w:type="dxa"/>
              <w:end w:w="90" w:type="dxa"/>
            </w:tcMar>
            <w:vAlign w:val="top"/>
          </w:tcPr>
          <w:p>
            <w:pPr>
              <w:spacing w:after="20"/>
            </w:pPr>
            <w:r>
              <w:t>Strong firm-specific evaluation results, stable generally available infrastructure, independent evidence from similar regulated workflows, new regulation or security findings, better data-lineage controls, or a failure that crosses the pilot stop threshold.</w:t>
            </w:r>
          </w:p>
        </w:tc>
      </w:tr>
    </w:tbl>
    <w:p>
      <w:pPr>
        <w:pStyle w:val="Heading1"/>
      </w:pPr>
      <w:r>
        <w:t>D. Evidence and Testing</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val="true"/>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Most important evidence/source(s)</w:t>
            </w:r>
          </w:p>
        </w:tc>
        <w:tc>
          <w:tcPr>
            <w:tcW w:type="dxa" w:w="5227"/>
            <w:tcMar>
              <w:top w:w="70" w:type="dxa"/>
              <w:start w:w="90" w:type="dxa"/>
              <w:bottom w:w="70" w:type="dxa"/>
              <w:end w:w="90" w:type="dxa"/>
            </w:tcMar>
            <w:vAlign w:val="top"/>
          </w:tcPr>
          <w:p>
            <w:pPr>
              <w:spacing w:after="20"/>
            </w:pPr>
            <w:r>
              <w:t>Vaswani et al. (2017), Transformer; Brown et al. (2020), few-shot language models; Ouyang et al. (2022), instruction following; Yao et al. (2022/2023), ReAct; Schick et al. (2023), Toolformer; Anthropic (2024), MCP; OpenAI (2025-2026), agent tools and Agents API. Full URLs and claim limits are in evidence/source_register.md.</w:t>
            </w:r>
          </w:p>
        </w:tc>
      </w:tr>
      <w:tr>
        <w:trPr>
          <w:cantSplit/>
        </w:trPr>
        <w:tc>
          <w:tcPr>
            <w:tcW w:type="dxa" w:w="5227"/>
            <w:tcMar>
              <w:top w:w="70" w:type="dxa"/>
              <w:start w:w="90" w:type="dxa"/>
              <w:bottom w:w="70" w:type="dxa"/>
              <w:end w:w="90" w:type="dxa"/>
            </w:tcMar>
            <w:vAlign w:val="top"/>
          </w:tcPr>
          <w:p>
            <w:pPr>
              <w:spacing w:after="20"/>
            </w:pPr>
            <w:r>
              <w:rPr>
                <w:sz w:val="17"/>
              </w:rPr>
              <w:t>Primary test - result</w:t>
            </w:r>
          </w:p>
        </w:tc>
        <w:tc>
          <w:tcPr>
            <w:tcW w:type="dxa" w:w="5227"/>
            <w:tcMar>
              <w:top w:w="70" w:type="dxa"/>
              <w:start w:w="90" w:type="dxa"/>
              <w:bottom w:w="70" w:type="dxa"/>
              <w:end w:w="90" w:type="dxa"/>
            </w:tcMar>
            <w:vAlign w:val="top"/>
          </w:tcPr>
          <w:p>
            <w:pPr>
              <w:spacing w:after="20"/>
            </w:pPr>
            <w:r>
              <w:t>Version 0.2 produced a schema-valid, evidence-linked creation account and a bounded read-only pilot recommendation. It separated deterministic evidence checks from probabilistic orchestration and did not approve production use.</w:t>
            </w:r>
          </w:p>
        </w:tc>
      </w:tr>
      <w:tr>
        <w:trPr>
          <w:cantSplit/>
        </w:trPr>
        <w:tc>
          <w:tcPr>
            <w:tcW w:type="dxa" w:w="5227"/>
            <w:tcMar>
              <w:top w:w="70" w:type="dxa"/>
              <w:start w:w="90" w:type="dxa"/>
              <w:bottom w:w="70" w:type="dxa"/>
              <w:end w:w="90" w:type="dxa"/>
            </w:tcMar>
            <w:vAlign w:val="top"/>
          </w:tcPr>
          <w:p>
            <w:pPr>
              <w:spacing w:after="20"/>
            </w:pPr>
            <w:r>
              <w:rPr>
                <w:sz w:val="17"/>
              </w:rPr>
              <w:t>Contrast test - what appropriately stayed stable</w:t>
            </w:r>
          </w:p>
        </w:tc>
        <w:tc>
          <w:tcPr>
            <w:tcW w:type="dxa" w:w="5227"/>
            <w:tcMar>
              <w:top w:w="70" w:type="dxa"/>
              <w:start w:w="90" w:type="dxa"/>
              <w:bottom w:w="70" w:type="dxa"/>
              <w:end w:w="90" w:type="dxa"/>
            </w:tcMar>
            <w:vAlign w:val="top"/>
          </w:tcPr>
          <w:p>
            <w:pPr>
              <w:spacing w:after="20"/>
            </w:pPr>
            <w:r>
              <w:t>The definition, predecessor milestones, convergence synthesis, dated platform history, and general evolutionary-stage finding stayed identical. The final general finding has the same SHA-256 digest in all three outputs.</w:t>
            </w:r>
          </w:p>
        </w:tc>
      </w:tr>
      <w:tr>
        <w:trPr>
          <w:cantSplit/>
        </w:trPr>
        <w:tc>
          <w:tcPr>
            <w:tcW w:type="dxa" w:w="5227"/>
            <w:tcMar>
              <w:top w:w="70" w:type="dxa"/>
              <w:start w:w="90" w:type="dxa"/>
              <w:bottom w:w="70" w:type="dxa"/>
              <w:end w:w="90" w:type="dxa"/>
            </w:tcMar>
            <w:vAlign w:val="top"/>
          </w:tcPr>
          <w:p>
            <w:pPr>
              <w:spacing w:after="20"/>
            </w:pPr>
            <w:r>
              <w:rPr>
                <w:sz w:val="17"/>
              </w:rPr>
              <w:t>Contrast test - what appropriately changed</w:t>
            </w:r>
          </w:p>
        </w:tc>
        <w:tc>
          <w:tcPr>
            <w:tcW w:type="dxa" w:w="5227"/>
            <w:tcMar>
              <w:top w:w="70" w:type="dxa"/>
              <w:start w:w="90" w:type="dxa"/>
              <w:bottom w:w="70" w:type="dxa"/>
              <w:end w:w="90" w:type="dxa"/>
            </w:tcMar>
            <w:vAlign w:val="top"/>
          </w:tcPr>
          <w:p>
            <w:pPr>
              <w:spacing w:after="20"/>
            </w:pPr>
            <w:r>
              <w:t>The financial firm receives a narrow 12-month read-only pilot. A low-risk media startup receives a faster 90-day pilot with broader draft autonomy. A university receives a six-month pilot limited by student-data privacy, decentralized governance, and institutional-research approval.</w:t>
            </w:r>
          </w:p>
        </w:tc>
      </w:tr>
      <w:tr>
        <w:trPr>
          <w:cantSplit/>
        </w:trPr>
        <w:tc>
          <w:tcPr>
            <w:tcW w:type="dxa" w:w="5227"/>
            <w:tcMar>
              <w:top w:w="70" w:type="dxa"/>
              <w:start w:w="90" w:type="dxa"/>
              <w:bottom w:w="70" w:type="dxa"/>
              <w:end w:w="90" w:type="dxa"/>
            </w:tcMar>
            <w:vAlign w:val="top"/>
          </w:tcPr>
          <w:p>
            <w:pPr>
              <w:spacing w:after="20"/>
            </w:pPr>
            <w:r>
              <w:rPr>
                <w:sz w:val="17"/>
              </w:rPr>
              <w:t>Weakness/failure found</w:t>
            </w:r>
          </w:p>
        </w:tc>
        <w:tc>
          <w:tcPr>
            <w:tcW w:type="dxa" w:w="5227"/>
            <w:tcMar>
              <w:top w:w="70" w:type="dxa"/>
              <w:start w:w="90" w:type="dxa"/>
              <w:bottom w:w="70" w:type="dxa"/>
              <w:end w:w="90" w:type="dxa"/>
            </w:tcMar>
            <w:vAlign w:val="top"/>
          </w:tcPr>
          <w:p>
            <w:pPr>
              <w:spacing w:after="20"/>
            </w:pPr>
            <w:r>
              <w:t>Version 0.1 passed JSON validation but compressed the history into generic claims, cited one undated vendor guide, blended evidence with inference, omitted evolutionary-stage reasoning, and recommended deployment without an adequate evidence chain.</w:t>
            </w:r>
          </w:p>
        </w:tc>
      </w:tr>
      <w:tr>
        <w:trPr>
          <w:cantSplit/>
        </w:trPr>
        <w:tc>
          <w:tcPr>
            <w:tcW w:type="dxa" w:w="5227"/>
            <w:tcMar>
              <w:top w:w="70" w:type="dxa"/>
              <w:start w:w="90" w:type="dxa"/>
              <w:bottom w:w="70" w:type="dxa"/>
              <w:end w:w="90" w:type="dxa"/>
            </w:tcMar>
            <w:vAlign w:val="top"/>
          </w:tcPr>
          <w:p>
            <w:pPr>
              <w:spacing w:after="20"/>
            </w:pPr>
            <w:r>
              <w:rPr>
                <w:sz w:val="17"/>
              </w:rPr>
              <w:t>Revision made and why</w:t>
            </w:r>
          </w:p>
        </w:tc>
        <w:tc>
          <w:tcPr>
            <w:tcW w:type="dxa" w:w="5227"/>
            <w:tcMar>
              <w:top w:w="70" w:type="dxa"/>
              <w:start w:w="90" w:type="dxa"/>
              <w:bottom w:w="70" w:type="dxa"/>
              <w:end w:w="90" w:type="dxa"/>
            </w:tcMar>
            <w:vAlign w:val="top"/>
          </w:tcPr>
          <w:p>
            <w:pPr>
              <w:spacing w:after="20"/>
            </w:pPr>
            <w:r>
              <w:t>Version 0.2 requires a dated predecessor chain, evidence/inference/unknown distinctions, a supported evolutionary-stage statement, a context stability audit, bounded pilot language, source-quality rules, abstention, and handoffs. The change prevents schema compliance from substituting for credible analysis.</w:t>
            </w:r>
          </w:p>
        </w:tc>
      </w:tr>
      <w:tr>
        <w:trPr>
          <w:cantSplit/>
        </w:trPr>
        <w:tc>
          <w:tcPr>
            <w:tcW w:type="dxa" w:w="5227"/>
            <w:tcMar>
              <w:top w:w="70" w:type="dxa"/>
              <w:start w:w="90" w:type="dxa"/>
              <w:bottom w:w="70" w:type="dxa"/>
              <w:end w:w="90" w:type="dxa"/>
            </w:tcMar>
            <w:vAlign w:val="top"/>
          </w:tcPr>
          <w:p>
            <w:pPr>
              <w:spacing w:after="20"/>
            </w:pPr>
            <w:r>
              <w:rPr>
                <w:sz w:val="17"/>
              </w:rPr>
              <w:t>Remaining limitation / abstention condition</w:t>
            </w:r>
          </w:p>
        </w:tc>
        <w:tc>
          <w:tcPr>
            <w:tcW w:type="dxa" w:w="5227"/>
            <w:tcMar>
              <w:top w:w="70" w:type="dxa"/>
              <w:start w:w="90" w:type="dxa"/>
              <w:bottom w:w="70" w:type="dxa"/>
              <w:end w:w="90" w:type="dxa"/>
            </w:tcMar>
            <w:vAlign w:val="top"/>
          </w:tcPr>
          <w:p>
            <w:pPr>
              <w:spacing w:after="20"/>
            </w:pPr>
            <w:r>
              <w:t>The agent lacks firm-specific performance, security, compliance, and cost evidence and cannot decide diffusion, adoption readiness, architecture, regulatory approval, or risk acceptance. It must abstain when the technology, sources, context, definitions, lineage, or human ownership are inadequate.</w:t>
            </w:r>
          </w:p>
        </w:tc>
      </w:tr>
    </w:tbl>
    <w:p>
      <w:r>
        <w:br w:type="page"/>
      </w:r>
    </w:p>
    <w:p>
      <w:pPr>
        <w:pStyle w:val="Heading1"/>
      </w:pPr>
      <w:r>
        <w:t>E. Independent Judgment and Handoff</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val="true"/>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Is the agent credible enough for team consideration? Why?</w:t>
            </w:r>
          </w:p>
        </w:tc>
        <w:tc>
          <w:tcPr>
            <w:tcW w:type="dxa" w:w="5227"/>
            <w:tcMar>
              <w:top w:w="70" w:type="dxa"/>
              <w:start w:w="90" w:type="dxa"/>
              <w:bottom w:w="70" w:type="dxa"/>
              <w:end w:w="90" w:type="dxa"/>
            </w:tcMar>
            <w:vAlign w:val="top"/>
          </w:tcPr>
          <w:p>
            <w:pPr>
              <w:spacing w:after="20"/>
            </w:pPr>
            <w:r>
              <w:t>Yes, as a bounded creation-history specialist. It preserves the frozen contract, links claims to dated original or official evidence, keeps general history stable across contexts, changes implications for defensible reasons, and discloses its limits. It cannot authorize adoption by itself.</w:t>
            </w:r>
          </w:p>
        </w:tc>
      </w:tr>
      <w:tr>
        <w:trPr>
          <w:cantSplit/>
        </w:trPr>
        <w:tc>
          <w:tcPr>
            <w:tcW w:type="dxa" w:w="5227"/>
            <w:tcMar>
              <w:top w:w="70" w:type="dxa"/>
              <w:start w:w="90" w:type="dxa"/>
              <w:bottom w:w="70" w:type="dxa"/>
              <w:end w:w="90" w:type="dxa"/>
            </w:tcMar>
            <w:vAlign w:val="top"/>
          </w:tcPr>
          <w:p>
            <w:pPr>
              <w:spacing w:after="20"/>
            </w:pPr>
            <w:r>
              <w:rPr>
                <w:sz w:val="17"/>
              </w:rPr>
              <w:t>Most important recommendation to the team</w:t>
            </w:r>
          </w:p>
        </w:tc>
        <w:tc>
          <w:tcPr>
            <w:tcW w:type="dxa" w:w="5227"/>
            <w:tcMar>
              <w:top w:w="70" w:type="dxa"/>
              <w:start w:w="90" w:type="dxa"/>
              <w:bottom w:w="70" w:type="dxa"/>
              <w:end w:w="90" w:type="dxa"/>
            </w:tcMar>
            <w:vAlign w:val="top"/>
          </w:tcPr>
          <w:p>
            <w:pPr>
              <w:spacing w:after="20"/>
            </w:pPr>
            <w:r>
              <w:t>Preserve the three-level finding, dated evidence records, evidence-versus-inference distinction, deterministic verification boundary, abstention field, and handoffs to diffusion, adoption-readiness, security, compliance, and risk owners.</w:t>
            </w:r>
          </w:p>
        </w:tc>
      </w:tr>
      <w:tr>
        <w:trPr>
          <w:cantSplit/>
        </w:trPr>
        <w:tc>
          <w:tcPr>
            <w:tcW w:type="dxa" w:w="5227"/>
            <w:tcMar>
              <w:top w:w="70" w:type="dxa"/>
              <w:start w:w="90" w:type="dxa"/>
              <w:bottom w:w="70" w:type="dxa"/>
              <w:end w:w="90" w:type="dxa"/>
            </w:tcMar>
            <w:vAlign w:val="top"/>
          </w:tcPr>
          <w:p>
            <w:pPr>
              <w:spacing w:after="20"/>
            </w:pPr>
            <w:r>
              <w:rPr>
                <w:sz w:val="17"/>
              </w:rPr>
              <w:t>AI / verification note</w:t>
            </w:r>
          </w:p>
        </w:tc>
        <w:tc>
          <w:tcPr>
            <w:tcW w:type="dxa" w:w="5227"/>
            <w:tcMar>
              <w:top w:w="70" w:type="dxa"/>
              <w:start w:w="90" w:type="dxa"/>
              <w:bottom w:w="70" w:type="dxa"/>
              <w:end w:w="90" w:type="dxa"/>
            </w:tcMar>
            <w:vAlign w:val="top"/>
          </w:tcPr>
          <w:p>
            <w:pPr>
              <w:spacing w:after="20"/>
            </w:pPr>
            <w:r>
              <w:t>ChatGPT with Codex helped inspect the scaffold, draft and revise specialist logic, structure cases, generate and critique outputs, run validation, and organize the record. Consequential claims were checked against original research, official protocol announcements, dated first-party documentation, and the assigned guide. Vendor sources were not treated as independent proof of value or production reliability.</w:t>
            </w:r>
          </w:p>
        </w:tc>
      </w:tr>
    </w:tbl>
    <w:p>
      <w:pPr>
        <w:pStyle w:val="Heading1"/>
      </w:pPr>
      <w:r>
        <w:t>F. Self Reflection</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val="true"/>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t>Self reflection</w:t>
            </w:r>
          </w:p>
        </w:tc>
        <w:tc>
          <w:tcPr>
            <w:tcW w:type="dxa" w:w="5227"/>
            <w:tcMar>
              <w:top w:w="70" w:type="dxa"/>
              <w:start w:w="90" w:type="dxa"/>
              <w:bottom w:w="70" w:type="dxa"/>
              <w:end w:w="90" w:type="dxa"/>
            </w:tcMar>
            <w:vAlign w:val="top"/>
          </w:tcPr>
          <w:p>
            <w:pPr>
              <w:spacing w:after="20"/>
            </w:pPr>
            <w:r>
              <w:t>My first response showed that a structurally valid answer can still be professionally weak. Every JSON field was present, but the response lacked a dated predecessor chain and moved too quickly from history to deployment. The revision made me separate documented milestones from my synthesis about convergence and test semantic quality separately from schema validity. I also saw that one stable technology history can justify different actions in a financial firm, a media startup, and a university. This reinforced that AI can accelerate analysis, but I remain responsible for evidence, context, uncertainty, and the boundary between analysis and authorization.</w:t>
            </w:r>
          </w:p>
        </w:tc>
      </w:tr>
    </w:tbl>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Specialist Agent Record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