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28"/>
          <w:color w:val="000000"/>
        </w:rPr>
        <w:t>EMERGING TECHNOLOGIES</w:t>
      </w:r>
    </w:p>
    <w:p>
      <w:pPr>
        <w:pStyle w:val="Title"/>
        <w:jc w:val="center"/>
      </w:pPr>
      <w:r>
        <w:rPr>
          <w:color w:val="000000"/>
        </w:rPr>
        <w:t xml:space="preserve">Assignment 5 Diffusion Agent Record</w:t>
      </w:r>
    </w:p>
    <w:p>
      <w:pPr>
        <w:jc w:val="center"/>
      </w:pPr>
      <w:r>
        <w:t xml:space="preserve">Yufei Cai | MASY1-GC 1800 | October 26 2026</w:t>
      </w:r>
    </w:p>
    <w:p>
      <w:pPr/>
      <w:r>
        <w:rPr>
          <w:color w:val="000000"/>
        </w:rPr>
        <w:t xml:space="preserve">Agentic AI shows selective scaling in surveyed enterprises, but that does not establish diffusion of this chart-review application. Compatibility is the current finance-case bottleneck. Posture changes the timing of authorized learning, not the evidence or data permissions.</w:t>
      </w:r>
    </w:p>
    <w:p>
      <w:pPr>
        <w:pStyle w:val="Heading1"/>
      </w:pPr>
      <w:r>
        <w:rPr>
          <w:color w:val="000000"/>
        </w:rPr>
        <w:t xml:space="preserve">A Agent and Version</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20"/>
            </w:pPr>
            <w:r>
              <w:rPr>
                <w:sz w:val="17"/>
              </w:rPr>
              <w:t xml:space="preserve">Yufei Cai</w:t>
            </w:r>
          </w:p>
        </w:tc>
      </w:tr>
      <w:tr>
        <w:trPr>
          <w:cantSplit/>
        </w:trP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20"/>
            </w:pPr>
            <w:r>
              <w:rPr>
                <w:sz w:val="17"/>
              </w:rPr>
              <w:t xml:space="preserve">Assignment 5 | SubAgent 4 Emerging Technology Diffusion Agent 1.0</w:t>
            </w:r>
          </w:p>
        </w:tc>
      </w:tr>
      <w:tr>
        <w:trPr>
          <w:cantSplit/>
        </w:trP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20"/>
            </w:pPr>
            <w:r>
              <w:rPr>
                <w:sz w:val="17"/>
              </w:rPr>
              <w:t xml:space="preserve">October 26, 2026</w:t>
            </w:r>
          </w:p>
        </w:tc>
      </w:tr>
      <w:tr>
        <w:trPr>
          <w:cantSplit/>
        </w:trP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20"/>
            </w:pPr>
            <w:hyperlink r:id="rId12">
              <w:r>
                <w:rPr>
                  <w:sz w:val="17"/>
                  <w:color w:val="0563C1"/>
                  <w:u w:val="single"/>
                </w:rPr>
                <w:t>https://github.com/caiyf17/masy1800-assignment2-creation-agent</w:t>
              </w:r>
            </w:hyperlink>
          </w:p>
          <w:p>
            <w:pPr/>
            <w:r>
              <w:rPr>
                <w:color w:val="000000"/>
                <w:sz w:val="17"/>
              </w:rPr>
              <w:t xml:space="preserve">Path: assignments/assignment5</w:t>
            </w:r>
          </w:p>
        </w:tc>
      </w:tr>
      <w:tr>
        <w:trPr>
          <w:cantSplit/>
        </w:trP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20"/>
            </w:pPr>
            <w:r>
              <w:rPr>
                <w:sz w:val="17"/>
              </w:rPr>
              <w:t xml:space="preserve">assignment-5-diffusion-agent</w:t>
            </w:r>
          </w:p>
        </w:tc>
      </w:tr>
      <w:tr>
        <w:trPr>
          <w:cantSplit/>
        </w:trP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20"/>
            </w:pPr>
            <w:r>
              <w:rPr>
                <w:sz w:val="17"/>
              </w:rPr>
              <w:t xml:space="preserve">2b91dd408731 | Implementation and six test cases. Later branch commits contain this report and ZIP.</w:t>
            </w:r>
          </w:p>
        </w:tc>
      </w:tr>
      <w:tr>
        <w:trPr>
          <w:cantSplit/>
        </w:trP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sz w:val="17"/>
              </w:rPr>
              <w:t xml:space="preserve">MASY1800_ET_Agent_Scaffold_v1_0 | All seven frozen files and all 32 original scaffold files unchanged.</w:t>
            </w:r>
          </w:p>
        </w:tc>
      </w:tr>
    </w:tbl>
    <w:p>
      <w:pPr>
        <w:pStyle w:val="Heading1"/>
      </w:pPr>
      <w:r>
        <w:rPr>
          <w:color w:val="000000"/>
        </w:rPr>
        <w:t xml:space="preserve">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20"/>
            </w:pPr>
            <w:r>
              <w:rPr>
                <w:sz w:val="17"/>
              </w:rPr>
              <w:t xml:space="preserve">How far have this technology and application diffused, what accelerates or inhibits spread, and what timing implication follows without making the full adoption decision?</w:t>
            </w:r>
          </w:p>
        </w:tc>
      </w:tr>
      <w:tr>
        <w:trPr>
          <w:cantSplit/>
        </w:trP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20"/>
            </w:pPr>
            <w:r>
              <w:rPr>
                <w:sz w:val="17"/>
              </w:rPr>
              <w:t xml:space="preserve">Integrated language model, model-selected tools, observations, permissions and human stopping authority for bounded digital work. Separate from ordinary AI use or a single plugin.</w:t>
            </w:r>
          </w:p>
        </w:tc>
      </w:tr>
      <w:tr>
        <w:trPr>
          <w:cantSplit/>
        </w:trP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20"/>
            </w:pPr>
            <w:r>
              <w:rPr>
                <w:sz w:val="17"/>
              </w:rPr>
              <w:t xml:space="preserve">Proposed read-only checks of business charts and claims against approved source tables, with correction drafts for a named human reviewer. No autonomous publication or real chart tool is built.</w:t>
            </w:r>
          </w:p>
        </w:tc>
      </w:tr>
      <w:tr>
        <w:trPr>
          <w:cantSplit/>
        </w:trP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20"/>
            </w:pPr>
            <w:r>
              <w:rPr>
                <w:sz w:val="17"/>
              </w:rPr>
              <w:t xml:space="preserve">Primary: hypothetical mid-sized US financial-services firm. Context contrast: hypothetical twenty-person US public-data analytics studio. These continue the prior chart-review project.</w:t>
            </w:r>
          </w:p>
        </w:tc>
      </w:tr>
      <w:tr>
        <w:trPr>
          <w:cantSplit/>
        </w:trP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20"/>
            </w:pPr>
            <w:r>
              <w:rPr>
                <w:sz w:val="17"/>
              </w:rPr>
              <w:t xml:space="preserve">Primary conservative follower; one-field contrast changes only to leading-edge learning posture. Studio is a pragmatic fast follower. These describe behavior, not measured Rogers categories.</w:t>
            </w:r>
          </w:p>
        </w:tc>
      </w:tr>
      <w:tr>
        <w:trPr>
          <w:cantSplit/>
        </w:trP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20"/>
            </w:pPr>
            <w:r>
              <w:rPr>
                <w:sz w:val="17"/>
              </w:rPr>
              <w:t xml:space="preserve">Finance: sensitive tables, no approved external-model environment, legacy BI and human report ownership. Only public/synthetic material is allowed before authorization. Studio: approved public-data sandbox, limited engineering support, editorial sign-off.</w:t>
            </w:r>
          </w:p>
        </w:tc>
      </w:tr>
      <w:tr>
        <w:trPr>
          <w:cantSplit/>
        </w:trP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20"/>
            </w:pPr>
            <w:r>
              <w:rPr>
                <w:sz w:val="17"/>
              </w:rPr>
              <w:t xml:space="preserve">Four weeks for authorized evidence gathering; twelve-month reassessment horizon. No projected market takeoff date or adoption deadline.</w:t>
            </w:r>
          </w:p>
        </w:tc>
      </w:tr>
    </w:tbl>
    <w:p>
      <w:pPr>
        <w:pStyle w:val="Heading1"/>
        <w:pageBreakBefore/>
      </w:pPr>
      <w:r>
        <w:rPr>
          <w:color w:val="000000"/>
        </w:rPr>
        <w:t xml:space="preserve">C Three Level Finding</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20"/>
            </w:pPr>
            <w:r>
              <w:rPr>
                <w:sz w:val="17"/>
              </w:rPr>
              <w:t xml:space="preserve">Selective scaling beyond experimentation in the surveyed enterprise segment, uneven by size and function. S1 reports 40% versus 22% scaling agents in one or more functions at larger versus smaller respondent organizations. This is not a measured universal adopter-category distribution or enterprise-wide chart-review rollout.</w:t>
            </w:r>
          </w:p>
        </w:tc>
      </w:tr>
      <w:tr>
        <w:trPr>
          <w:cantSplit/>
        </w:trP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20"/>
            </w:pPr>
            <w:r>
              <w:rPr>
                <w:sz w:val="17"/>
              </w:rPr>
              <w:t xml:space="preserve">Comparable-peer penetration for human-supervised agentic chart review is UNKNOWN. No accepted source measures that exact use. S2's broader any-AI finance rate cannot supply it. The proposal is before implementation; knowledge/persuasion describes the case decision process, not market confirmation.</w:t>
            </w:r>
          </w:p>
        </w:tc>
      </w:tr>
      <w:tr>
        <w:trPr>
          <w:cantSplit/>
        </w:trP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20"/>
            </w:pPr>
            <w:r>
              <w:rPr>
                <w:sz w:val="17"/>
              </w:rPr>
              <w:t xml:space="preserve">Finance: compatibility with permitted data handling binds before sensitive-data trials. Studio: approved public data improves fit and trialability, shifting emphasis to evaluation/maintenance capacity. General evidence stays fixed across these contexts.</w:t>
            </w:r>
          </w:p>
        </w:tc>
      </w:tr>
      <w:tr>
        <w:trPr>
          <w:cantSplit/>
        </w:trP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20"/>
            </w:pPr>
            <w:r>
              <w:rPr>
                <w:sz w:val="17"/>
              </w:rPr>
              <w:t xml:space="preserve">Conservative: peer references and evaluation design first. Leading-edge: start authorized public/synthetic shadow learning sooner while collecting references in parallel. Sensitive-data permission remains a separate gate. Adoption and Organizational Readiness retain their decisions.</w:t>
            </w:r>
          </w:p>
        </w:tc>
      </w:tr>
      <w:tr>
        <w:trPr>
          <w:cantSplit/>
        </w:trP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20"/>
            </w:pPr>
            <w:r>
              <w:rPr>
                <w:sz w:val="17"/>
              </w:rPr>
              <w:t xml:space="preserve">Moderate for selective scaling within the dated enterprise survey; low for population category allocation; unknown exact-use peer diffusion and local net advantage. Large enterprises may already show sustained scaling, so a blanket claim that all agents remain experiments would also overstate the evidence.</w:t>
            </w:r>
          </w:p>
        </w:tc>
      </w:tr>
      <w:tr>
        <w:trPr>
          <w:cantSplit/>
        </w:trP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20"/>
            </w:pPr>
            <w:r>
              <w:rPr>
                <w:sz w:val="17"/>
              </w:rPr>
              <w:t xml:space="preserve">Dated comparable peers using the exact workflow repeatedly; matched quality and total review/maintenance costs; permission or support-capacity changes. Poor results can delay or end work. Reassess after the four-week evidence window, without treating it as an adoption commitment.</w:t>
            </w:r>
          </w:p>
        </w:tc>
      </w:tr>
    </w:tbl>
    <w:p>
      <w:pPr>
        <w:pStyle w:val="Heading2"/>
      </w:pPr>
      <w:r>
        <w:rPr>
          <w:color w:val="000000"/>
        </w:rPr>
        <w:t xml:space="preserve">Diffusion concepts and evidence limits</w:t>
      </w:r>
    </w:p>
    <w:p>
      <w:pPr/>
      <w:r>
        <w:rPr>
          <w:color w:val="000000"/>
        </w:rPr>
        <w:t xml:space="preserve">Rogers categories describe relative adoption timing within a defined social system. The 2.5, 13.5, 34, 34 and 16 percent shares are the course model, not measured agent-market shares. The cumulative S-curve differs from the new-adopter bell curve. The course's 16% and vendor-message chasm heuristics motivate a search for pragmatic peer proof; survey percentages, a changed slogan or protocol downloads cannot alone establish an irreversible mainstream transition. No Bass curve or saturation estimate is fitted.</w:t>
      </w:r>
    </w:p>
    <w:p>
      <w:pPr>
        <w:pStyle w:val="Heading1"/>
        <w:pageBreakBefore/>
      </w:pPr>
      <w:r>
        <w:rPr>
          <w:color w:val="000000"/>
        </w:rPr>
        <w:t xml:space="preserve">D Evidence and Testing</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20"/>
            </w:pPr>
            <w:r>
              <w:rPr>
                <w:sz w:val="17"/>
              </w:rPr>
              <w:t xml:space="preserve">S0 supplies the analytical instrument. S1 is the current inspected agent-scaling survey; S2 is a dated US any-AI comparison and scope trap; S3 is an ecosystem/interoperability signal. Original dates, populations, use definitions and limits are recorded in the source register.</w:t>
            </w:r>
          </w:p>
        </w:tc>
      </w:tr>
      <w:tr>
        <w:trPr>
          <w:cantSplit/>
        </w:trP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20"/>
            </w:pPr>
            <w:r>
              <w:rPr>
                <w:sz w:val="17"/>
              </w:rPr>
              <w:t xml:space="preserve">The finance example returns selective general scaling, exact-use abstention and a compatibility-first timing sequence. Cases, complete ChatGPT-ready prompt packets and structured responses are saved in agents/diffusion_agent.</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20"/>
            </w:pPr>
            <w:r>
              <w:rPr>
                <w:sz w:val="17"/>
              </w:rPr>
              <w:t xml:space="preserve">Technology, application, evidence, question and horizon stay fixed. General finding is identical across primary, posture-only, studio-context and hype cases. Repeated general prose is intentional fixture control, not independently measured robustness.</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20"/>
            </w:pPr>
            <w:r>
              <w:rPr>
                <w:sz w:val="17"/>
              </w:rPr>
              <w:t xml:space="preserve">Posture-only: authorized shadow learning begins earlier, but sensitive-data access does not change. Studio: support capacity becomes more important after approved public-data access improves compatibility. This material contrast changes several fields and is not an isolated causal experiment.</w:t>
            </w:r>
          </w:p>
        </w:tc>
      </w:tr>
      <w:tr>
        <w:trPr>
          <w:cantSplit/>
        </w:trP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20"/>
            </w:pPr>
            <w:r>
              <w:rPr>
                <w:sz w:val="17"/>
              </w:rPr>
              <w:t xml:space="preserve">A controlled exploratory draft gave both postures the same generic advice to collect evidence and consider an experiment. The preserved comparison failed the specific-timing test. It was authored and reviewed by the same assistant, not an independent model-failure sample.</w:t>
            </w:r>
          </w:p>
        </w:tc>
      </w:tr>
      <w:tr>
        <w:trPr>
          <w:cantSplit/>
        </w:trP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20"/>
            </w:pPr>
            <w:r>
              <w:rPr>
                <w:sz w:val="17"/>
              </w:rPr>
              <w:t xml:space="preserve">Require an explicit timing sequence and evidence trigger. Keep the original primary/posture inputs. Preserve both full draft outputs, prompt packets and diagnosis. Final six cases also cover sponsor hype, a closed weak-evidence packet and missing technology scope. Local recheck: 75 passed, zero failed.</w:t>
            </w:r>
          </w:p>
        </w:tc>
      </w:tr>
      <w:tr>
        <w:trPr>
          <w:cantSplit/>
        </w:trP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20"/>
            </w:pPr>
            <w:r>
              <w:rPr>
                <w:sz w:val="17"/>
              </w:rPr>
              <w:t xml:space="preserve">File/schema checks and saved qualitative examples do not measure truth, real chart correctness or business value. The weak packet withholds current evidence and must abstain; missing scope requests a system boundary. No population stage or confident forecast is manufactured.</w:t>
            </w:r>
          </w:p>
        </w:tc>
      </w:tr>
    </w:tbl>
    <w:p>
      <w:pPr>
        <w:pStyle w:val="Heading1"/>
      </w:pPr>
      <w:r>
        <w:rPr>
          <w:color w:val="000000"/>
        </w:rPr>
        <w:t xml:space="preserve">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20"/>
            </w:pPr>
            <w:r>
              <w:rPr>
                <w:sz w:val="17"/>
              </w:rPr>
              <w:t xml:space="preserve">Yes, as a bounded candidate for team comparison. My conclusion is that broader agent diffusion is a reason to learn, not evidence that our application is already mainstream. The exact-use denominator and compatibility gate matter more than an attractive headline.</w:t>
            </w:r>
          </w:p>
        </w:tc>
      </w:tr>
      <w:tr>
        <w:trPr>
          <w:cantSplit/>
        </w:trP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20"/>
            </w:pPr>
            <w:r>
              <w:rPr>
                <w:sz w:val="17"/>
              </w:rPr>
              <w:t xml:space="preserve">Carry forward the selective-scaling signal, compatibility bottleneck, posture-sensitive learning sequence and unknown peer penetration. Ask the Adoption Agent to assess whether the proposed learning or rollout is justified; do not infer significance, disruption or readiness from diffusion.</w:t>
            </w:r>
          </w:p>
        </w:tc>
      </w:tr>
      <w:tr>
        <w:trPr>
          <w:cantSplit/>
        </w:trP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20"/>
            </w:pPr>
            <w:r>
              <w:rPr>
                <w:sz w:val="17"/>
              </w:rPr>
              <w:t xml:space="preserve">ChatGPT/Codex helped inspect the scaffold and original sources, develop rules, author saved examples, diagnose the generic draft and prepare this record. Python builds packets and checks files, not model inference or charts. The same assistant authors and reviews examples; no independent reliability trial is claimed. The reflection uses the student's actual selected takeaway with AI editing.</w:t>
            </w:r>
          </w:p>
        </w:tc>
      </w:tr>
    </w:tbl>
    <w:p>
      <w:pPr>
        <w:pStyle w:val="Heading1"/>
        <w:pageBreakBefore/>
      </w:pPr>
      <w:r>
        <w:rPr>
          <w:color w:val="000000"/>
        </w:rPr>
        <w:t xml:space="preserve">F Diffusion Factor Assessment</w:t>
      </w:r>
    </w:p>
    <w:p>
      <w:pPr/>
      <w:r>
        <w:rPr>
          <w:color w:val="000000"/>
        </w:rPr>
        <w:t xml:space="preserve">The factor priorities below are inferences from stated case constraints, not measured causal effects or numerical scores. Each remains open to contrary local evidence.</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 xml:space="preserve">Rogers factor</w:t>
            </w:r>
          </w:p>
        </w:tc>
        <w:tc>
          <w:tcPr>
            <w:tcW w:type="dxa" w:w="5227"/>
            <w:tcMar>
              <w:top w:w="70" w:type="dxa"/>
              <w:start w:w="90" w:type="dxa"/>
              <w:bottom w:w="70" w:type="dxa"/>
              <w:end w:w="90" w:type="dxa"/>
            </w:tcMar>
            <w:vAlign w:val="top"/>
            <w:shd w:fill="57068C"/>
          </w:tcPr>
          <w:p>
            <w:pPr>
              <w:spacing w:after="20"/>
            </w:pPr>
            <w:r>
              <w:rPr>
                <w:b/>
                <w:color w:val="FFFFFF"/>
                <w:sz w:val="17"/>
              </w:rPr>
              <w:t xml:space="preserve">Application and context assessment</w:t>
            </w:r>
          </w:p>
        </w:tc>
      </w:tr>
      <w:tr>
        <w:trPr>
          <w:cantSplit/>
        </w:trPr>
        <w:tc>
          <w:tcPr>
            <w:tcW w:type="dxa" w:w="5227"/>
            <w:tcMar>
              <w:top w:w="70" w:type="dxa"/>
              <w:start w:w="90" w:type="dxa"/>
              <w:bottom w:w="70" w:type="dxa"/>
              <w:end w:w="90" w:type="dxa"/>
            </w:tcMar>
            <w:vAlign w:val="top"/>
          </w:tcPr>
          <w:p>
            <w:pPr>
              <w:spacing w:after="20"/>
            </w:pPr>
            <w:r>
              <w:rPr>
                <w:sz w:val="17"/>
              </w:rPr>
              <w:t xml:space="preserve">Relative advantage</w:t>
            </w:r>
          </w:p>
        </w:tc>
        <w:tc>
          <w:tcPr>
            <w:tcW w:type="dxa" w:w="5227"/>
            <w:tcMar>
              <w:top w:w="70" w:type="dxa"/>
              <w:start w:w="90" w:type="dxa"/>
              <w:bottom w:w="70" w:type="dxa"/>
              <w:end w:w="90" w:type="dxa"/>
            </w:tcMar>
            <w:vAlign w:val="top"/>
          </w:tcPr>
          <w:p>
            <w:pPr>
              <w:spacing w:after="20"/>
            </w:pPr>
            <w:r>
              <w:rPr>
                <w:sz w:val="17"/>
              </w:rPr>
              <w:t xml:space="preserve">Potentially less reconciliation work, but no matched advantage over manual and deterministic checks is established. Require correct interpretation plus full review, correction and operating costs in both organizations.</w:t>
            </w:r>
          </w:p>
        </w:tc>
      </w:tr>
      <w:tr>
        <w:trPr>
          <w:cantSplit/>
        </w:trPr>
        <w:tc>
          <w:tcPr>
            <w:tcW w:type="dxa" w:w="5227"/>
            <w:tcMar>
              <w:top w:w="70" w:type="dxa"/>
              <w:start w:w="90" w:type="dxa"/>
              <w:bottom w:w="70" w:type="dxa"/>
              <w:end w:w="90" w:type="dxa"/>
            </w:tcMar>
            <w:vAlign w:val="top"/>
          </w:tcPr>
          <w:p>
            <w:pPr>
              <w:spacing w:after="20"/>
            </w:pPr>
            <w:r>
              <w:rPr>
                <w:sz w:val="17"/>
              </w:rPr>
              <w:t xml:space="preserve">Compatibility</w:t>
            </w:r>
          </w:p>
        </w:tc>
        <w:tc>
          <w:tcPr>
            <w:tcW w:type="dxa" w:w="5227"/>
            <w:tcMar>
              <w:top w:w="70" w:type="dxa"/>
              <w:start w:w="90" w:type="dxa"/>
              <w:bottom w:w="70" w:type="dxa"/>
              <w:end w:w="90" w:type="dxa"/>
            </w:tcMar>
            <w:vAlign w:val="top"/>
          </w:tcPr>
          <w:p>
            <w:pPr>
              <w:spacing w:after="20"/>
            </w:pPr>
            <w:r>
              <w:rPr>
                <w:sz w:val="17"/>
              </w:rPr>
              <w:t xml:space="preserve">Finance's binding constraint is sensitive data without an approved model environment, alongside BI fit and report ownership. The studio's approved public-data sandbox improves fit. Posture changes neither permission nor accountability.</w:t>
            </w:r>
          </w:p>
        </w:tc>
      </w:tr>
      <w:tr>
        <w:trPr>
          <w:cantSplit/>
        </w:trPr>
        <w:tc>
          <w:tcPr>
            <w:tcW w:type="dxa" w:w="5227"/>
            <w:tcMar>
              <w:top w:w="70" w:type="dxa"/>
              <w:start w:w="90" w:type="dxa"/>
              <w:bottom w:w="70" w:type="dxa"/>
              <w:end w:w="90" w:type="dxa"/>
            </w:tcMar>
            <w:vAlign w:val="top"/>
          </w:tcPr>
          <w:p>
            <w:pPr>
              <w:spacing w:after="20"/>
            </w:pPr>
            <w:r>
              <w:rPr>
                <w:sz w:val="17"/>
              </w:rPr>
              <w:t xml:space="preserve">Complexity</w:t>
            </w:r>
          </w:p>
        </w:tc>
        <w:tc>
          <w:tcPr>
            <w:tcW w:type="dxa" w:w="5227"/>
            <w:tcMar>
              <w:top w:w="70" w:type="dxa"/>
              <w:start w:w="90" w:type="dxa"/>
              <w:bottom w:w="70" w:type="dxa"/>
              <w:end w:w="90" w:type="dxa"/>
            </w:tcMar>
            <w:vAlign w:val="top"/>
          </w:tcPr>
          <w:p>
            <w:pPr>
              <w:spacing w:after="20"/>
            </w:pPr>
            <w:r>
              <w:rPr>
                <w:sz w:val="17"/>
              </w:rPr>
              <w:t xml:space="preserve">Natural-language interaction can hide connector, evaluation and exception-maintenance work. Finance must examine those burdens after the permission gate; limited studio engineering/evaluation capacity is the main remaining inhibitor.</w:t>
            </w:r>
          </w:p>
        </w:tc>
      </w:tr>
      <w:tr>
        <w:trPr>
          <w:cantSplit/>
        </w:trPr>
        <w:tc>
          <w:tcPr>
            <w:tcW w:type="dxa" w:w="5227"/>
            <w:tcMar>
              <w:top w:w="70" w:type="dxa"/>
              <w:start w:w="90" w:type="dxa"/>
              <w:bottom w:w="70" w:type="dxa"/>
              <w:end w:w="90" w:type="dxa"/>
            </w:tcMar>
            <w:vAlign w:val="top"/>
          </w:tcPr>
          <w:p>
            <w:pPr>
              <w:spacing w:after="20"/>
            </w:pPr>
            <w:r>
              <w:rPr>
                <w:sz w:val="17"/>
              </w:rPr>
              <w:t xml:space="preserve">Trialability</w:t>
            </w:r>
          </w:p>
        </w:tc>
        <w:tc>
          <w:tcPr>
            <w:tcW w:type="dxa" w:w="5227"/>
            <w:tcMar>
              <w:top w:w="70" w:type="dxa"/>
              <w:start w:w="90" w:type="dxa"/>
              <w:bottom w:w="70" w:type="dxa"/>
              <w:end w:w="90" w:type="dxa"/>
            </w:tcMar>
            <w:vAlign w:val="top"/>
          </w:tcPr>
          <w:p>
            <w:pPr>
              <w:spacing w:after="20"/>
            </w:pPr>
            <w:r>
              <w:rPr>
                <w:sz w:val="17"/>
              </w:rPr>
              <w:t xml:space="preserve">Finance can use only authorized public/synthetic, read-only examples before permission. Leading-edge posture advances that learning, not internal deployment. The studio has a more accessible reversible public-data comparison; no company trial is claimed.</w:t>
            </w:r>
          </w:p>
        </w:tc>
      </w:tr>
      <w:tr>
        <w:trPr>
          <w:cantSplit/>
        </w:trPr>
        <w:tc>
          <w:tcPr>
            <w:tcW w:type="dxa" w:w="5227"/>
            <w:tcMar>
              <w:top w:w="70" w:type="dxa"/>
              <w:start w:w="90" w:type="dxa"/>
              <w:bottom w:w="70" w:type="dxa"/>
              <w:end w:w="90" w:type="dxa"/>
            </w:tcMar>
            <w:vAlign w:val="top"/>
          </w:tcPr>
          <w:p>
            <w:pPr>
              <w:spacing w:after="20"/>
            </w:pPr>
            <w:r>
              <w:rPr>
                <w:sz w:val="17"/>
              </w:rPr>
              <w:t xml:space="preserve">Observability</w:t>
            </w:r>
          </w:p>
        </w:tc>
        <w:tc>
          <w:tcPr>
            <w:tcW w:type="dxa" w:w="5227"/>
            <w:tcMar>
              <w:top w:w="70" w:type="dxa"/>
              <w:start w:w="90" w:type="dxa"/>
              <w:bottom w:w="70" w:type="dxa"/>
              <w:end w:w="90" w:type="dxa"/>
            </w:tcMar>
            <w:vAlign w:val="top"/>
          </w:tcPr>
          <w:p>
            <w:pPr>
              <w:spacing w:after="20"/>
            </w:pPr>
            <w:r>
              <w:rPr>
                <w:sz w:val="17"/>
              </w:rPr>
              <w:t xml:space="preserve">Repeated, source-linked reviewed outcomes and comparable peer references are stronger than a demo or publicity. Both cases need visible errors and full costs, not just impressive outputs or claims that everyone is using agents.</w:t>
            </w:r>
          </w:p>
        </w:tc>
      </w:tr>
    </w:tbl>
    <w:p>
      <w:pPr>
        <w:pStyle w:val="Heading2"/>
      </w:pPr>
      <w:r>
        <w:rPr>
          <w:color w:val="000000"/>
        </w:rPr>
        <w:t xml:space="preserve">Actors and ecosystem</w:t>
      </w:r>
    </w:p>
    <w:p>
      <w:pPr/>
      <w:r>
        <w:rPr>
          <w:color w:val="000000"/>
        </w:rPr>
        <w:t xml:space="preserve">S3 documents MCP's move into the Agentic AI Foundation, a concrete interoperability/governance complement rather than a deployment denominator. Plausible local change agents are BI/security or engineering liaisons; respected report owners and peer practitioners can be opinion leaders; trainers can be change aides. These are proposed functional roles, not named appointments. Trust and transferable reference cases may accelerate spread; access restrictions, maintenance cost and weak repeatability may inhibit it.</w:t>
      </w:r>
    </w:p>
    <w:p>
      <w:pPr>
        <w:pStyle w:val="Heading2"/>
      </w:pPr>
      <w:r>
        <w:rPr>
          <w:color w:val="000000"/>
        </w:rPr>
        <w:t xml:space="preserve">Weak diffusion claim</w:t>
      </w:r>
    </w:p>
    <w:p>
      <w:pPr/>
      <w:r>
        <w:rPr>
          <w:color w:val="000000"/>
        </w:rPr>
        <w:t xml:space="preserve">Rejected claim: the 33.9% Finance and Insurance any-AI rate proves that agentic chart review crossed the 16% chasm. S2 measures any-AI use for a US sector in the period ending May 3, 2026, not this workflow. The technology, denominator and date do not match; textbook category shares do not repair that mismatch. Replace the claim with a request for dated comparable-peer deployments and evidence of sustained use.</w:t>
      </w:r>
    </w:p>
    <w:p>
      <w:pPr>
        <w:pStyle w:val="Heading1"/>
        <w:pageBreakBefore/>
      </w:pPr>
      <w:r>
        <w:rPr>
          <w:color w:val="000000"/>
        </w:rPr>
        <w:t xml:space="preserve">G Dated Sources</w:t>
      </w:r>
    </w:p>
    <w:p>
      <w:pPr/>
      <w:r>
        <w:rPr>
          <w:color w:val="000000"/>
        </w:rPr>
        <w:t xml:space="preserve">Sources were inspected on October 26, 2026. Their measurement dates and units remain separate; a current inspection does not turn a past survey into a live deployment count. Source detail and bounds are preserved in evidence/source_register.json.</w:t>
      </w:r>
    </w:p>
    <w:p>
      <w:pPr>
        <w:pStyle w:val="Heading2"/>
      </w:pPr>
      <w:r>
        <w:rPr>
          <w:color w:val="000000"/>
        </w:rPr>
        <w:t xml:space="preserve">S0 Course framework</w:t>
      </w:r>
    </w:p>
    <w:p>
      <w:pPr/>
      <w:r>
        <w:rPr>
          <w:color w:val="000000"/>
        </w:rPr>
        <w:t xml:space="preserve">ET Module 6 The Diffusion of Emerging Technologies FA25, supplied course slides 26-29, 32-35, 37, 40-54 and 58-63. Rogers attributes, actors, categories, decision stages and chasm heuristics provide a lens, not empirical proof of agent spread.</w:t>
      </w:r>
    </w:p>
    <w:p>
      <w:pPr>
        <w:pStyle w:val="Heading2"/>
      </w:pPr>
      <w:r>
        <w:rPr>
          <w:color w:val="000000"/>
        </w:rPr>
        <w:t xml:space="preserve">S1 Agent scaling survey</w:t>
      </w:r>
    </w:p>
    <w:p>
      <w:pPr/>
      <w:r>
        <w:rPr>
          <w:color w:val="000000"/>
        </w:rPr>
        <w:t xml:space="preserve">McKinsey, The state of AI in 2026 On the road to ROI, August 25, 2026. Online fieldwork May 4-June 8: 1,719 participants in 97 nations, weighted by national GDP. Larger-organization group means revenue above USD1 billion. Self-reported scaling in one or more functions does not establish comparable chart-review use or a probability estimate for all firms.</w:t>
      </w:r>
    </w:p>
    <w:p>
      <w:pPr/>
      <w:hyperlink r:id="rId13">
        <w:r>
          <w:rPr>
            <w:sz w:val="19"/>
            <w:color w:val="0563C1"/>
            <w:u w:val="single"/>
          </w:rPr>
          <w:t>https://www.mckinsey.com/capabilities/quantumblack/our-insights/the-state-of-ai</w:t>
        </w:r>
      </w:hyperlink>
    </w:p>
    <w:p>
      <w:pPr>
        <w:pStyle w:val="Heading2"/>
      </w:pPr>
      <w:r>
        <w:rPr>
          <w:color w:val="000000"/>
        </w:rPr>
        <w:t xml:space="preserve">S2 Broader US business measure</w:t>
      </w:r>
    </w:p>
    <w:p>
      <w:pPr/>
      <w:r>
        <w:rPr>
          <w:color w:val="000000"/>
        </w:rPr>
        <w:t xml:space="preserve">US Census Bureau, Large Firms With at Least 20 Employees Biggest AI Users, May 26, 2026. For the May 3 period, Finance and Insurance any-AI use was 33.9%, versus 19.8% nationally. The past-two-week, any-business-function question is broader than this agentic application; November 2025 wording changed. These are dated comparisons, not the latest October estimate.</w:t>
      </w:r>
    </w:p>
    <w:p>
      <w:pPr/>
      <w:hyperlink r:id="rId14">
        <w:r>
          <w:rPr>
            <w:sz w:val="19"/>
            <w:color w:val="0563C1"/>
            <w:u w:val="single"/>
          </w:rPr>
          <w:t>https://www.census.gov/library/stories/2026/05/ai-use-businesses.html</w:t>
        </w:r>
      </w:hyperlink>
    </w:p>
    <w:p>
      <w:pPr>
        <w:pStyle w:val="Heading2"/>
      </w:pPr>
      <w:r>
        <w:rPr>
          <w:color w:val="000000"/>
        </w:rPr>
        <w:t xml:space="preserve">S3 Ecosystem complement</w:t>
      </w:r>
    </w:p>
    <w:p>
      <w:pPr/>
      <w:r>
        <w:rPr>
          <w:color w:val="000000"/>
        </w:rPr>
        <w:t xml:space="preserve">David Soria Parra, MCP joins the Agentic AI Foundation, December 9, 2025. Original maintainer announcement of foundation stewardship. This supports an interoperability/governance mechanism, not agent adoption counts, safety certification or realized application value.</w:t>
      </w:r>
    </w:p>
    <w:p>
      <w:pPr/>
      <w:hyperlink r:id="rId15">
        <w:r>
          <w:rPr>
            <w:sz w:val="19"/>
            <w:color w:val="0563C1"/>
            <w:u w:val="single"/>
          </w:rPr>
          <w:t>https://blog.modelcontextprotocol.io/posts/2025-12-09-mcp-joins-agentic-ai-foundation/</w:t>
        </w:r>
      </w:hyperlink>
    </w:p>
    <w:p>
      <w:pPr>
        <w:pStyle w:val="Heading1"/>
      </w:pPr>
      <w:r>
        <w:rPr>
          <w:color w:val="000000"/>
        </w:rPr>
        <w:t xml:space="preserve">H Self Reflection</w:t>
      </w:r>
    </w:p>
    <w:p>
      <w:pPr/>
      <w:r>
        <w:rPr>
          <w:color w:val="000000"/>
        </w:rPr>
        <w:t xml:space="preserve">My main takeaway is that widespread use of ordinary AI does not show that our agentic chart-review application is widespread. For this case, I would first check whether a statistic measures the same technology and workflow before treating it as peer evidence. Keeping those levels separate makes the timing judgment more useful: broad uptake can motivate learning, while a claim about this application still needs its own evidence.</w:t>
      </w:r>
    </w:p>
    <w:p>
      <w:pPr/>
      <w:r>
        <w:rPr>
          <w:color w:val="000000"/>
        </w:rPr>
        <w:t xml:space="preserve">Reflection basis: my selected takeaway in Chinese, expressed in English with AI editing.</w:t>
      </w:r>
    </w:p>
    <w:p>
      <w:pPr>
        <w:pStyle w:val="Heading2"/>
      </w:pPr>
      <w:r>
        <w:rPr>
          <w:color w:val="000000"/>
        </w:rPr>
        <w:t xml:space="preserve">Package reproduction</w:t>
      </w:r>
    </w:p>
    <w:p>
      <w:pPr/>
      <w:r>
        <w:rPr>
          <w:color w:val="000000"/>
        </w:rPr>
        <w:t xml:space="preserve">From agent_package run python3 verification/recheck.py. Inspect records/test_and_revision_log.md and verification/run_provenance.json. The submission ZIP contains this same Word and the full working agent. The repository branch preserves implementation and final delivery history.</w:t>
      </w:r>
    </w:p>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 xml:space="preserve">Yufei Cai | Assignment 5 | Diffusion Agent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github.com/caiyf17/masy1800-assignment2-creation-agent" TargetMode="External"/><Relationship Id="rId13" Type="http://schemas.openxmlformats.org/officeDocument/2006/relationships/hyperlink" Target="https://www.mckinsey.com/capabilities/quantumblack/our-insights/the-state-of-ai" TargetMode="External"/><Relationship Id="rId14" Type="http://schemas.openxmlformats.org/officeDocument/2006/relationships/hyperlink" Target="https://www.census.gov/library/stories/2026/05/ai-use-businesses.html" TargetMode="External"/><Relationship Id="rId15" Type="http://schemas.openxmlformats.org/officeDocument/2006/relationships/hyperlink" Target="https://blog.modelcontextprotocol.io/posts/2025-12-09-mcp-joins-agentic-ai-foun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Diffusion Agent Record</dc:title>
  <dc:subject>Student instructions for weekly individual assignments</dc:subject>
  <dc:creator>Yufei Cai</dc:creator>
  <cp:keywords>Advanced Business Informatics, weekly assignments, professional practice, AI, judgment, proof of concept</cp:keywords>
  <dc:description>generated by python-docx</dc:description>
  <cp:lastModifiedBy>Yufei Cai</cp:lastModifiedBy>
  <cp:revision>2</cp:revision>
  <dcterms:created xsi:type="dcterms:W3CDTF">2026-08-13T19:48:00Z</dcterms:created>
  <dcterms:modified xsi:type="dcterms:W3CDTF">2026-08-13T19:48:00Z</dcterms:modified>
  <cp:category/>
</cp:coreProperties>
</file>