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pacing w:after="60" w:line="250" w:lineRule="auto"/>
      </w:pPr>
      <w:r>
        <w:rPr>
          <w:rFonts w:ascii="Liberation Sans" w:hAnsi="Liberation Sans"/>
          <w:sz w:val="22"/>
          <w:color w:val="000000"/>
          <w:b/>
        </w:rPr>
        <w:t>EMERGING TECHNOLOGIES</w:t>
      </w:r>
    </w:p>
    <w:p>
      <w:pPr>
        <w:pStyle w:val="Title"/>
        <w:jc w:val="center"/>
        <w:spacing w:after="60" w:line="250" w:lineRule="auto"/>
      </w:pPr>
      <w:r>
        <w:rPr>
          <w:rFonts w:ascii="Liberation Sans" w:hAnsi="Liberation Sans"/>
          <w:sz w:val="38"/>
          <w:color w:val="000000"/>
          <w:b/>
        </w:rPr>
        <w:t>Innovation and Disruption Agent Record</w:t>
      </w:r>
    </w:p>
    <w:p>
      <w:pPr>
        <w:jc w:val="center"/>
        <w:spacing w:after="60" w:line="250" w:lineRule="auto"/>
      </w:pPr>
      <w:r>
        <w:rPr>
          <w:rFonts w:ascii="Liberation Sans" w:hAnsi="Liberation Sans"/>
          <w:sz w:val="20"/>
          <w:color w:val="000000"/>
        </w:rPr>
        <w:t>Yufei Cai  |  MASY1-GC 1800 Section 103  |  Assignment 3</w:t>
      </w:r>
    </w:p>
    <w:p>
      <w:pPr>
        <w:spacing w:after="60" w:line="250" w:lineRule="auto"/>
      </w:pPr>
      <w:r>
        <w:rPr>
          <w:rFonts w:ascii="Liberation Sans" w:hAnsi="Liberation Sans"/>
          <w:sz w:val="21"/>
          <w:color w:val="000000"/>
        </w:rPr>
        <w:t>My judgment is that Agentic AI chart review is a proposed incremental process innovation for the financial-services case, with Low business-model disruption over 12 months. The media contrast has greater conditional exposure. Technical novelty alone does not establish implemented innovation or replacement of a business model.</w:t>
      </w:r>
    </w:p>
    <w:p>
      <w:pPr>
        <w:pStyle w:val="Heading1"/>
        <w:spacing w:after="60" w:line="250" w:lineRule="auto"/>
        <w:keepNext/>
      </w:pPr>
      <w:r>
        <w:rPr>
          <w:rFonts w:ascii="Liberation Sans" w:hAnsi="Liberation Sans"/>
          <w:sz w:val="26"/>
          <w:color w:val="000000"/>
          <w:b/>
        </w:rPr>
        <w:t>A Agent and Version</w:t>
      </w:r>
    </w:p>
    <w:tbl>
      <w:tblPr>
        <w:tblStyle w:val="TableGrid"/>
        <w:tblW w:type="dxa" w:w="104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574"/>
      </w:tblGrid>
      <w:tr>
        <w:tc>
          <w:tcPr>
            <w:tcW w:type="dxa" w:w="2880"/>
            <w:tcMar>
              <w:top w:w="70" w:type="dxa"/>
              <w:start w:w="90" w:type="dxa"/>
              <w:bottom w:w="70" w:type="dxa"/>
              <w:end w:w="90" w:type="dxa"/>
            </w:tcMar>
            <w:vAlign w:val="center"/>
            <w:shd w:fill="404040"/>
          </w:tcPr>
          <w:p>
            <w:pPr>
              <w:spacing w:after="60" w:line="250" w:lineRule="auto"/>
            </w:pPr>
            <w:r>
              <w:rPr>
                <w:rFonts w:ascii="Liberation Sans" w:hAnsi="Liberation Sans"/>
                <w:sz w:val="21"/>
                <w:color w:val="FFFFFF"/>
                <w:b/>
              </w:rPr>
              <w:t>Field</w:t>
            </w:r>
          </w:p>
        </w:tc>
        <w:tc>
          <w:tcPr>
            <w:tcW w:type="dxa" w:w="7574"/>
            <w:tcMar>
              <w:top w:w="70" w:type="dxa"/>
              <w:start w:w="90" w:type="dxa"/>
              <w:bottom w:w="70" w:type="dxa"/>
              <w:end w:w="90" w:type="dxa"/>
            </w:tcMar>
            <w:vAlign w:val="center"/>
            <w:shd w:fill="404040"/>
          </w:tcPr>
          <w:p>
            <w:pPr>
              <w:spacing w:after="60" w:line="250" w:lineRule="auto"/>
            </w:pPr>
            <w:r>
              <w:rPr>
                <w:rFonts w:ascii="Liberation Sans" w:hAnsi="Liberation Sans"/>
                <w:sz w:val="21"/>
                <w:color w:val="FFFFFF"/>
                <w:b/>
              </w:rPr>
              <w:t>Student record</w:t>
            </w:r>
          </w:p>
        </w:tc>
        <w:trPr>
          <w:cantSplit/>
          <w:tblHeader/>
        </w:trPr>
      </w:tr>
      <w:tr>
        <w:tc>
          <w:tcPr>
            <w:tcW w:type="dxa" w:w="2880"/>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Student / team</w:t>
            </w:r>
          </w:p>
        </w:tc>
        <w:tc>
          <w:tcPr>
            <w:tcW w:type="dxa" w:w="7574"/>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Yufei Cai  |  Individual assignment</w:t>
            </w:r>
          </w:p>
        </w:tc>
        <w:trPr>
          <w:cantSplit/>
        </w:trPr>
      </w:tr>
      <w:tr>
        <w:tc>
          <w:tcPr>
            <w:tcW w:type="dxa" w:w="2880"/>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Assignment / specialist agent</w:t>
            </w:r>
          </w:p>
        </w:tc>
        <w:tc>
          <w:tcPr>
            <w:tcW w:type="dxa" w:w="7574"/>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Assignment 3  |  Innovation and Disruption Agent  |  Version 1.0-student</w:t>
            </w:r>
          </w:p>
        </w:tc>
        <w:trPr>
          <w:cantSplit/>
        </w:trPr>
      </w:tr>
      <w:tr>
        <w:tc>
          <w:tcPr>
            <w:tcW w:type="dxa" w:w="2880"/>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Date</w:t>
            </w:r>
          </w:p>
        </w:tc>
        <w:tc>
          <w:tcPr>
            <w:tcW w:type="dxa" w:w="7574"/>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12 October 2026</w:t>
            </w:r>
          </w:p>
        </w:tc>
        <w:trPr>
          <w:cantSplit/>
        </w:trPr>
      </w:tr>
      <w:tr>
        <w:tc>
          <w:tcPr>
            <w:tcW w:type="dxa" w:w="2880"/>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GitHub repository</w:t>
            </w:r>
          </w:p>
        </w:tc>
        <w:tc>
          <w:tcPr>
            <w:tcW w:type="dxa" w:w="7574"/>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https://github.com/caiyf17/masy1800-assignment2-creation-agent</w:t>
            </w:r>
          </w:p>
        </w:tc>
        <w:trPr>
          <w:cantSplit/>
        </w:trPr>
      </w:tr>
      <w:tr>
        <w:tc>
          <w:tcPr>
            <w:tcW w:type="dxa" w:w="2880"/>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Branch</w:t>
            </w:r>
          </w:p>
        </w:tc>
        <w:tc>
          <w:tcPr>
            <w:tcW w:type="dxa" w:w="7574"/>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assignment-3-innovation-disruption-agent
Path: assignments/assignment3</w:t>
            </w:r>
          </w:p>
        </w:tc>
        <w:trPr>
          <w:cantSplit/>
        </w:trPr>
      </w:tr>
      <w:tr>
        <w:tc>
          <w:tcPr>
            <w:tcW w:type="dxa" w:w="2880"/>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Commit</w:t>
            </w:r>
          </w:p>
        </w:tc>
        <w:tc>
          <w:tcPr>
            <w:tcW w:type="dxa" w:w="7574"/>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Agent package commit: 092f66a585094a5f09b330ac5d8960d508ca7702</w:t>
            </w:r>
          </w:p>
        </w:tc>
        <w:trPr>
          <w:cantSplit/>
        </w:trPr>
      </w:tr>
      <w:tr>
        <w:tc>
          <w:tcPr>
            <w:tcW w:type="dxa" w:w="2880"/>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Frozen scaffold version</w:t>
            </w:r>
          </w:p>
        </w:tc>
        <w:tc>
          <w:tcPr>
            <w:tcW w:type="dxa" w:w="7574"/>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MASY1800_ET_Agent_Scaffold_v1_0  |  Seven frozen files intact</w:t>
            </w:r>
          </w:p>
        </w:tc>
        <w:trPr>
          <w:cantSplit/>
        </w:trPr>
      </w:tr>
    </w:tbl>
    <w:p>
      <w:pPr>
        <w:pStyle w:val="Heading1"/>
        <w:spacing w:after="60" w:line="250" w:lineRule="auto" w:before="80"/>
        <w:keepNext/>
      </w:pPr>
      <w:r>
        <w:rPr>
          <w:rFonts w:ascii="Liberation Sans" w:hAnsi="Liberation Sans"/>
          <w:sz w:val="26"/>
          <w:color w:val="000000"/>
          <w:b/>
        </w:rPr>
        <w:t>B Specialist Purpose and Context</w:t>
      </w:r>
    </w:p>
    <w:tbl>
      <w:tblPr>
        <w:tblStyle w:val="TableGrid"/>
        <w:tblW w:type="dxa" w:w="104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574"/>
      </w:tblGrid>
      <w:tr>
        <w:tc>
          <w:tcPr>
            <w:tcW w:type="dxa" w:w="2880"/>
            <w:tcMar>
              <w:top w:w="70" w:type="dxa"/>
              <w:start w:w="90" w:type="dxa"/>
              <w:bottom w:w="70" w:type="dxa"/>
              <w:end w:w="90" w:type="dxa"/>
            </w:tcMar>
            <w:vAlign w:val="center"/>
            <w:shd w:fill="404040"/>
          </w:tcPr>
          <w:p>
            <w:pPr>
              <w:spacing w:after="60" w:line="250" w:lineRule="auto"/>
            </w:pPr>
            <w:r>
              <w:rPr>
                <w:rFonts w:ascii="Liberation Sans" w:hAnsi="Liberation Sans"/>
                <w:sz w:val="21"/>
                <w:color w:val="FFFFFF"/>
                <w:b/>
              </w:rPr>
              <w:t>Field</w:t>
            </w:r>
          </w:p>
        </w:tc>
        <w:tc>
          <w:tcPr>
            <w:tcW w:type="dxa" w:w="7574"/>
            <w:tcMar>
              <w:top w:w="70" w:type="dxa"/>
              <w:start w:w="90" w:type="dxa"/>
              <w:bottom w:w="70" w:type="dxa"/>
              <w:end w:w="90" w:type="dxa"/>
            </w:tcMar>
            <w:vAlign w:val="center"/>
            <w:shd w:fill="404040"/>
          </w:tcPr>
          <w:p>
            <w:pPr>
              <w:spacing w:after="60" w:line="250" w:lineRule="auto"/>
            </w:pPr>
            <w:r>
              <w:rPr>
                <w:rFonts w:ascii="Liberation Sans" w:hAnsi="Liberation Sans"/>
                <w:sz w:val="21"/>
                <w:color w:val="FFFFFF"/>
                <w:b/>
              </w:rPr>
              <w:t>Student record</w:t>
            </w:r>
          </w:p>
        </w:tc>
        <w:trPr>
          <w:cantSplit/>
          <w:tblHeader/>
        </w:trPr>
      </w:tr>
      <w:tr>
        <w:tc>
          <w:tcPr>
            <w:tcW w:type="dxa" w:w="2880"/>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Governing analytical question</w:t>
            </w:r>
          </w:p>
        </w:tc>
        <w:tc>
          <w:tcPr>
            <w:tcW w:type="dxa" w:w="7574"/>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What innovation is justified, what value could this application create or displace, and how consequential is the business-model exposure?</w:t>
            </w:r>
          </w:p>
        </w:tc>
        <w:trPr>
          <w:cantSplit/>
        </w:trPr>
      </w:tr>
      <w:tr>
        <w:tc>
          <w:tcPr>
            <w:tcW w:type="dxa" w:w="2880"/>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Emerging technology</w:t>
            </w:r>
          </w:p>
        </w:tc>
        <w:tc>
          <w:tcPr>
            <w:tcW w:type="dxa" w:w="7574"/>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Agentic AI: an LLM selects or sequences tools, observes results and adapts multi-step work. Fixed scripts and one-shot captions do not meet this operational definition.</w:t>
            </w:r>
          </w:p>
        </w:tc>
        <w:trPr>
          <w:cantSplit/>
        </w:trPr>
      </w:tr>
      <w:tr>
        <w:tc>
          <w:tcPr>
            <w:tcW w:type="dxa" w:w="2880"/>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Intended application</w:t>
            </w:r>
          </w:p>
        </w:tc>
        <w:tc>
          <w:tcPr>
            <w:tcW w:type="dxa" w:w="7574"/>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Review chart claims against approved data, suggest clearer visuals and draft notes for internal management reports, with a named analyst retaining release authority.</w:t>
            </w:r>
          </w:p>
        </w:tc>
        <w:trPr>
          <w:cantSplit/>
        </w:trPr>
      </w:tr>
      <w:tr>
        <w:tc>
          <w:tcPr>
            <w:tcW w:type="dxa" w:w="2880"/>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Organization / industry</w:t>
            </w:r>
          </w:p>
        </w:tc>
        <w:tc>
          <w:tcPr>
            <w:tcW w:type="dxa" w:w="7574"/>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Fictional mid-sized US financial-services firm. The assumed current process uses BI tools, manual reconciliation and managerial review; the firm sells financial services, not chart production.</w:t>
            </w:r>
          </w:p>
        </w:tc>
        <w:trPr>
          <w:cantSplit/>
        </w:trPr>
      </w:tr>
      <w:tr>
        <w:tc>
          <w:tcPr>
            <w:tcW w:type="dxa" w:w="2880"/>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Adoption posture</w:t>
            </w:r>
          </w:p>
        </w:tc>
        <w:tc>
          <w:tcPr>
            <w:tcW w:type="dxa" w:w="7574"/>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Conservative and risk-averse; bounded experimentation requires reliable evidence, source lineage and human accountability.</w:t>
            </w:r>
          </w:p>
        </w:tc>
        <w:trPr>
          <w:cantSplit/>
        </w:trPr>
      </w:tr>
      <w:tr>
        <w:tc>
          <w:tcPr>
            <w:tcW w:type="dxa" w:w="2880"/>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Risk / consequence context</w:t>
            </w:r>
          </w:p>
        </w:tc>
        <w:tc>
          <w:tcPr>
            <w:tcW w:type="dxa" w:w="7574"/>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Incorrect calculations or unsupported claims could affect management decisions. Low business-model disruption does not imply low operational consequence.</w:t>
            </w:r>
          </w:p>
        </w:tc>
        <w:trPr>
          <w:cantSplit/>
        </w:trPr>
      </w:tr>
      <w:tr>
        <w:tc>
          <w:tcPr>
            <w:tcW w:type="dxa" w:w="2880"/>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Management question / time horizon</w:t>
            </w:r>
          </w:p>
        </w:tc>
        <w:tc>
          <w:tcPr>
            <w:tcW w:type="dxa" w:w="7574"/>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Classify the proposed workflow and assess its value-displacement mechanism over 12 months. Lab2 supplies case continuity; this specialist adds a different analytical responsibility.</w:t>
            </w:r>
          </w:p>
        </w:tc>
        <w:trPr>
          <w:cantSplit/>
        </w:trPr>
      </w:tr>
    </w:tbl>
    <w:p>
      <w:pPr>
        <w:pStyle w:val="Heading1"/>
        <w:spacing w:after="60" w:line="250" w:lineRule="auto" w:before="80"/>
        <w:keepNext/>
        <w:pageBreakBefore/>
      </w:pPr>
      <w:r>
        <w:rPr>
          <w:rFonts w:ascii="Liberation Sans" w:hAnsi="Liberation Sans"/>
          <w:sz w:val="26"/>
          <w:color w:val="000000"/>
          <w:b/>
        </w:rPr>
        <w:t>C Three Level Finding</w:t>
      </w:r>
    </w:p>
    <w:tbl>
      <w:tblPr>
        <w:tblStyle w:val="TableGrid"/>
        <w:tblW w:type="dxa" w:w="104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574"/>
      </w:tblGrid>
      <w:tr>
        <w:tc>
          <w:tcPr>
            <w:tcW w:type="dxa" w:w="2880"/>
            <w:tcMar>
              <w:top w:w="70" w:type="dxa"/>
              <w:start w:w="90" w:type="dxa"/>
              <w:bottom w:w="70" w:type="dxa"/>
              <w:end w:w="90" w:type="dxa"/>
            </w:tcMar>
            <w:vAlign w:val="center"/>
            <w:shd w:fill="404040"/>
          </w:tcPr>
          <w:p>
            <w:pPr>
              <w:spacing w:after="60" w:line="250" w:lineRule="auto"/>
            </w:pPr>
            <w:r>
              <w:rPr>
                <w:rFonts w:ascii="Liberation Sans" w:hAnsi="Liberation Sans"/>
                <w:sz w:val="21"/>
                <w:color w:val="FFFFFF"/>
                <w:b/>
              </w:rPr>
              <w:t>Field</w:t>
            </w:r>
          </w:p>
        </w:tc>
        <w:tc>
          <w:tcPr>
            <w:tcW w:type="dxa" w:w="7574"/>
            <w:tcMar>
              <w:top w:w="70" w:type="dxa"/>
              <w:start w:w="90" w:type="dxa"/>
              <w:bottom w:w="70" w:type="dxa"/>
              <w:end w:w="90" w:type="dxa"/>
            </w:tcMar>
            <w:vAlign w:val="center"/>
            <w:shd w:fill="404040"/>
          </w:tcPr>
          <w:p>
            <w:pPr>
              <w:spacing w:after="60" w:line="250" w:lineRule="auto"/>
            </w:pPr>
            <w:r>
              <w:rPr>
                <w:rFonts w:ascii="Liberation Sans" w:hAnsi="Liberation Sans"/>
                <w:sz w:val="21"/>
                <w:color w:val="FFFFFF"/>
                <w:b/>
              </w:rPr>
              <w:t>Student record</w:t>
            </w:r>
          </w:p>
        </w:tc>
        <w:trPr>
          <w:cantSplit/>
          <w:tblHeader/>
        </w:trPr>
      </w:tr>
      <w:tr>
        <w:tc>
          <w:tcPr>
            <w:tcW w:type="dxa" w:w="2880"/>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ET generally</w:t>
            </w:r>
          </w:p>
        </w:tc>
        <w:tc>
          <w:tcPr>
            <w:tcW w:type="dxa" w:w="7574"/>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Inventive recombination with potential for a breakthrough in adaptive orchestration relative to fixed workflows or one-shot language responses. ReAct supports the mechanism; a historical vendor beta supports a commercialization pathway. A broad family-wide breakthrough label remains unproven. Incremental technical extension is a competing interpretation (Yao et al., 2023; Anthropic, 2024).</w:t>
            </w:r>
          </w:p>
        </w:tc>
        <w:trPr>
          <w:cantSplit/>
        </w:trPr>
      </w:tr>
      <w:tr>
        <w:tc>
          <w:tcPr>
            <w:tcW w:type="dxa" w:w="2880"/>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ET for this application</w:t>
            </w:r>
          </w:p>
        </w:tc>
        <w:tc>
          <w:tcPr>
            <w:tcW w:type="dxa" w:w="7574"/>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Proposed incremental business-process innovation relative to manual reconciliation. Its novelty is organizational and application-specific, not a new foundation-model invention. Operational use and a significant process difference are required before claiming implemented innovation. Breakthrough review capability is an alternative requiring domain comparison (OECD/Eurostat, 2018).</w:t>
            </w:r>
          </w:p>
        </w:tc>
        <w:trPr>
          <w:cantSplit/>
        </w:trPr>
      </w:tr>
      <w:tr>
        <w:tc>
          <w:tcPr>
            <w:tcW w:type="dxa" w:w="2880"/>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ET for this application in this organization</w:t>
            </w:r>
          </w:p>
        </w:tc>
        <w:tc>
          <w:tcPr>
            <w:tcW w:type="dxa" w:w="7574"/>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Business-Model Disruption Judgment: Low within the stated internal-support scope. Reusable evidence trails could create value; routine assembly and checking may lose task value. The customer offer, revenue logic and channel remain intact by case assumption. Task substitution therefore does not establish firm-level business-model replacement or headcount reductions.</w:t>
            </w:r>
          </w:p>
        </w:tc>
        <w:trPr>
          <w:cantSplit/>
        </w:trPr>
      </w:tr>
      <w:tr>
        <w:tc>
          <w:tcPr>
            <w:tcW w:type="dxa" w:w="2880"/>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Bounded management implication</w:t>
            </w:r>
          </w:p>
        </w:tc>
        <w:tc>
          <w:tcPr>
            <w:tcW w:type="dxa" w:w="7574"/>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Evaluate the process-improvement proposition against the current BI/manual baseline, including verification and correction costs. Keep any hypothetical customer-facing product or new revenue model separate. Final adoption and readiness decisions belong to other experts.</w:t>
            </w:r>
          </w:p>
        </w:tc>
        <w:trPr>
          <w:cantSplit/>
        </w:trPr>
      </w:tr>
      <w:tr>
        <w:tc>
          <w:tcPr>
            <w:tcW w:type="dxa" w:w="2880"/>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Confidence / uncertainty</w:t>
            </w:r>
          </w:p>
        </w:tc>
        <w:tc>
          <w:tcPr>
            <w:tcW w:type="dxa" w:w="7574"/>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Moderate confidence in the conditional Low rating; low confidence in net benefit magnitude. There is no company pilot, cost comparison or measured customer outcome. General technical potential and organization-specific exposure require different evidence.</w:t>
            </w:r>
          </w:p>
        </w:tc>
        <w:trPr>
          <w:cantSplit/>
        </w:trPr>
      </w:tr>
      <w:tr>
        <w:tc>
          <w:tcPr>
            <w:tcW w:type="dxa" w:w="2880"/>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What evidence or condition would change the conclusion</w:t>
            </w:r>
          </w:p>
        </w:tc>
        <w:tc>
          <w:tcPr>
            <w:tcW w:type="dxa" w:w="7574"/>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Reassess when verified quality or full costs change, when the scope affects customer products, prices or channels, or when documented customer switching and competitor offers show erosion of the current value model. Increased tool novelty alone is insufficient.</w:t>
            </w:r>
          </w:p>
        </w:tc>
        <w:trPr>
          <w:cantSplit/>
        </w:trPr>
      </w:tr>
    </w:tbl>
    <w:p>
      <w:pPr>
        <w:pStyle w:val="Heading1"/>
        <w:spacing w:after="60" w:line="250" w:lineRule="auto" w:before="80"/>
        <w:keepNext/>
        <w:pageBreakBefore/>
      </w:pPr>
      <w:r>
        <w:rPr>
          <w:rFonts w:ascii="Liberation Sans" w:hAnsi="Liberation Sans"/>
          <w:sz w:val="26"/>
          <w:color w:val="000000"/>
          <w:b/>
        </w:rPr>
        <w:t>D Evidence and Testing</w:t>
      </w:r>
    </w:p>
    <w:tbl>
      <w:tblPr>
        <w:tblStyle w:val="TableGrid"/>
        <w:tblW w:type="dxa" w:w="104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574"/>
      </w:tblGrid>
      <w:tr>
        <w:tc>
          <w:tcPr>
            <w:tcW w:type="dxa" w:w="2880"/>
            <w:tcMar>
              <w:top w:w="70" w:type="dxa"/>
              <w:start w:w="90" w:type="dxa"/>
              <w:bottom w:w="70" w:type="dxa"/>
              <w:end w:w="90" w:type="dxa"/>
            </w:tcMar>
            <w:vAlign w:val="center"/>
            <w:shd w:fill="404040"/>
          </w:tcPr>
          <w:p>
            <w:pPr>
              <w:spacing w:after="60" w:line="250" w:lineRule="auto"/>
            </w:pPr>
            <w:r>
              <w:rPr>
                <w:rFonts w:ascii="Liberation Sans" w:hAnsi="Liberation Sans"/>
                <w:sz w:val="21"/>
                <w:color w:val="FFFFFF"/>
                <w:b/>
              </w:rPr>
              <w:t>Field</w:t>
            </w:r>
          </w:p>
        </w:tc>
        <w:tc>
          <w:tcPr>
            <w:tcW w:type="dxa" w:w="7574"/>
            <w:tcMar>
              <w:top w:w="70" w:type="dxa"/>
              <w:start w:w="90" w:type="dxa"/>
              <w:bottom w:w="70" w:type="dxa"/>
              <w:end w:w="90" w:type="dxa"/>
            </w:tcMar>
            <w:vAlign w:val="center"/>
            <w:shd w:fill="404040"/>
          </w:tcPr>
          <w:p>
            <w:pPr>
              <w:spacing w:after="60" w:line="250" w:lineRule="auto"/>
            </w:pPr>
            <w:r>
              <w:rPr>
                <w:rFonts w:ascii="Liberation Sans" w:hAnsi="Liberation Sans"/>
                <w:sz w:val="21"/>
                <w:color w:val="FFFFFF"/>
                <w:b/>
              </w:rPr>
              <w:t>Student record</w:t>
            </w:r>
          </w:p>
        </w:tc>
        <w:trPr>
          <w:cantSplit/>
          <w:tblHeader/>
        </w:trPr>
      </w:tr>
      <w:tr>
        <w:tc>
          <w:tcPr>
            <w:tcW w:type="dxa" w:w="2880"/>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Most important evidence/source(s)</w:t>
            </w:r>
          </w:p>
        </w:tc>
        <w:tc>
          <w:tcPr>
            <w:tcW w:type="dxa" w:w="7574"/>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OECD/Eurostat establishes implementation and novelty scope; ReAct establishes adaptive tool use; Christensen et al. separates market disruption from technical novelty; Brynjolfsson et al. supplies bounded empirical productivity evidence; Anthropic documents a historical vendor beta. Full references and source limits are preserved in the source register.</w:t>
            </w:r>
          </w:p>
        </w:tc>
        <w:trPr>
          <w:cantSplit/>
        </w:trPr>
      </w:tr>
      <w:tr>
        <w:tc>
          <w:tcPr>
            <w:tcW w:type="dxa" w:w="2880"/>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Primary test - result</w:t>
            </w:r>
          </w:p>
        </w:tc>
        <w:tc>
          <w:tcPr>
            <w:tcW w:type="dxa" w:w="7574"/>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Financial primary: incremental process innovation candidate, not yet implemented; Low disruption within internal support. The response identifies created evidence trails, possible task displacement, unchanged customer/revenue logic and the missing full-cost baseline.</w:t>
            </w:r>
          </w:p>
        </w:tc>
        <w:trPr>
          <w:cantSplit/>
        </w:trPr>
      </w:tr>
      <w:tr>
        <w:tc>
          <w:tcPr>
            <w:tcW w:type="dxa" w:w="2880"/>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Contrast test - what appropriately stayed stable</w:t>
            </w:r>
          </w:p>
        </w:tc>
        <w:tc>
          <w:tcPr>
            <w:tcW w:type="dxa" w:w="7574"/>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The same qualified general technology classification, source packet, analytical date, management question and 12-month horizon. General findings are deliberately reused; this does not establish independent repeatability.</w:t>
            </w:r>
          </w:p>
        </w:tc>
        <w:trPr>
          <w:cantSplit/>
        </w:trPr>
      </w:tr>
      <w:tr>
        <w:tc>
          <w:tcPr>
            <w:tcW w:type="dxa" w:w="2880"/>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Contrast test - what appropriately changed</w:t>
            </w:r>
          </w:p>
        </w:tc>
        <w:tc>
          <w:tcPr>
            <w:tcW w:type="dxa" w:w="7574"/>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Media contrast: Moderate conditional exposure because chart output is part of a customer-facing content offer. A Low efficiency-only interpretation remains plausible. Advertising/sponsorship economics and a hypothetical chart license are assumptions, not observed commercial results.</w:t>
            </w:r>
          </w:p>
        </w:tc>
        <w:trPr>
          <w:cantSplit/>
        </w:trPr>
      </w:tr>
      <w:tr>
        <w:tc>
          <w:tcPr>
            <w:tcW w:type="dxa" w:w="2880"/>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Weakness/failure found</w:t>
            </w:r>
          </w:p>
        </w:tc>
        <w:tc>
          <w:tcPr>
            <w:tcW w:type="dxa" w:w="7574"/>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A deliberately permissive diagnostic baseline called first organizational use a breakthrough, treated a proposal as implemented innovation and promoted task automation to High business-model disruption. The branded-automation case also exposes a supplier label unsupported by an adaptive loop.</w:t>
            </w:r>
          </w:p>
        </w:tc>
        <w:trPr>
          <w:cantSplit/>
        </w:trPr>
      </w:tr>
      <w:tr>
        <w:tc>
          <w:tcPr>
            <w:tcW w:type="dxa" w:w="2880"/>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Revision made and why</w:t>
            </w:r>
          </w:p>
        </w:tc>
        <w:tc>
          <w:tcPr>
            <w:tcW w:type="dxa" w:w="7574"/>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Added explicit baseline, novelty scope, implementation status, value/revenue mechanisms and competing interpretations. The revised primary gives a candidate/Low judgment; the borderline rejects unsupported agentic branding and withholds disruption because revenue context is absent.</w:t>
            </w:r>
          </w:p>
        </w:tc>
        <w:trPr>
          <w:cantSplit/>
        </w:trPr>
      </w:tr>
      <w:tr>
        <w:tc>
          <w:tcPr>
            <w:tcW w:type="dxa" w:w="2880"/>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Remaining limitation / abstention condition</w:t>
            </w:r>
          </w:p>
        </w:tc>
        <w:tc>
          <w:tcPr>
            <w:tcW w:type="dxa" w:w="7574"/>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No live chart engine, economic study or independent evaluator is claimed. The same assistant generated and reviewed the examples. 36/36 local checks pass; they verify saved artifacts and targeted regressions, not model reliability. Missing context causes qualification or abstention.</w:t>
            </w:r>
          </w:p>
        </w:tc>
        <w:trPr>
          <w:cantSplit/>
        </w:trPr>
      </w:tr>
    </w:tbl>
    <w:p>
      <w:pPr>
        <w:pStyle w:val="Heading1"/>
        <w:spacing w:after="60" w:line="250" w:lineRule="auto" w:before="80"/>
        <w:keepNext/>
        <w:pageBreakBefore/>
      </w:pPr>
      <w:r>
        <w:rPr>
          <w:rFonts w:ascii="Liberation Sans" w:hAnsi="Liberation Sans"/>
          <w:sz w:val="26"/>
          <w:color w:val="000000"/>
          <w:b/>
        </w:rPr>
        <w:t>E Independent Judgment and Handoff</w:t>
      </w:r>
    </w:p>
    <w:tbl>
      <w:tblPr>
        <w:tblStyle w:val="TableGrid"/>
        <w:tblW w:type="dxa" w:w="104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574"/>
      </w:tblGrid>
      <w:tr>
        <w:tc>
          <w:tcPr>
            <w:tcW w:type="dxa" w:w="2880"/>
            <w:tcMar>
              <w:top w:w="70" w:type="dxa"/>
              <w:start w:w="90" w:type="dxa"/>
              <w:bottom w:w="70" w:type="dxa"/>
              <w:end w:w="90" w:type="dxa"/>
            </w:tcMar>
            <w:vAlign w:val="center"/>
            <w:shd w:fill="404040"/>
          </w:tcPr>
          <w:p>
            <w:pPr>
              <w:spacing w:after="60" w:line="250" w:lineRule="auto"/>
            </w:pPr>
            <w:r>
              <w:rPr>
                <w:rFonts w:ascii="Liberation Sans" w:hAnsi="Liberation Sans"/>
                <w:sz w:val="21"/>
                <w:color w:val="FFFFFF"/>
                <w:b/>
              </w:rPr>
              <w:t>Field</w:t>
            </w:r>
          </w:p>
        </w:tc>
        <w:tc>
          <w:tcPr>
            <w:tcW w:type="dxa" w:w="7574"/>
            <w:tcMar>
              <w:top w:w="70" w:type="dxa"/>
              <w:start w:w="90" w:type="dxa"/>
              <w:bottom w:w="70" w:type="dxa"/>
              <w:end w:w="90" w:type="dxa"/>
            </w:tcMar>
            <w:vAlign w:val="center"/>
            <w:shd w:fill="404040"/>
          </w:tcPr>
          <w:p>
            <w:pPr>
              <w:spacing w:after="60" w:line="250" w:lineRule="auto"/>
            </w:pPr>
            <w:r>
              <w:rPr>
                <w:rFonts w:ascii="Liberation Sans" w:hAnsi="Liberation Sans"/>
                <w:sz w:val="21"/>
                <w:color w:val="FFFFFF"/>
                <w:b/>
              </w:rPr>
              <w:t>Student record</w:t>
            </w:r>
          </w:p>
        </w:tc>
        <w:trPr>
          <w:cantSplit/>
          <w:tblHeader/>
        </w:trPr>
      </w:tr>
      <w:tr>
        <w:tc>
          <w:tcPr>
            <w:tcW w:type="dxa" w:w="2880"/>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Is the agent credible enough for team consideration? Why?</w:t>
            </w:r>
          </w:p>
        </w:tc>
        <w:tc>
          <w:tcPr>
            <w:tcW w:type="dxa" w:w="7574"/>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Credible enough for team consideration as a bounded analytical component. My most defensible judgment is a proposed incremental process innovation with Low business-model disruption for finance, and Moderate conditional exposure for media. I would reopen the judgment if baseline capability, net cost or customer-value evidence contradicts it.</w:t>
            </w:r>
          </w:p>
        </w:tc>
        <w:trPr>
          <w:cantSplit/>
        </w:trPr>
      </w:tr>
      <w:tr>
        <w:tc>
          <w:tcPr>
            <w:tcW w:type="dxa" w:w="2880"/>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Most important recommendation to the team</w:t>
            </w:r>
          </w:p>
        </w:tc>
        <w:tc>
          <w:tcPr>
            <w:tcW w:type="dxa" w:w="7574"/>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Preserve the classification criteria and the created/displaced value mechanism. Do not confuse technological novelty, organizational novelty and business-model exposure. Route civilization-scale significance to Promethean, spread to Diffusion, final adoption to Adoption, implementation fit to Organizational Readiness and current competitors to Landscape.</w:t>
            </w:r>
          </w:p>
        </w:tc>
        <w:trPr>
          <w:cantSplit/>
        </w:trPr>
      </w:tr>
      <w:tr>
        <w:tc>
          <w:tcPr>
            <w:tcW w:type="dxa" w:w="2880"/>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AI / verification note</w:t>
            </w:r>
          </w:p>
        </w:tc>
        <w:tc>
          <w:tcPr>
            <w:tcW w:type="dxa" w:w="7574"/>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ChatGPT/Codex drafted the specialist, structured examples and this record, including the requested first-person reflection. It opened original sources and ran local checks. The same assistant generated and critiqued the examples. Consequential case outcomes remain assumptions or inference; no independent human evaluation or measured company result is claimed.</w:t>
            </w:r>
          </w:p>
        </w:tc>
        <w:trPr>
          <w:cantSplit/>
        </w:trPr>
      </w:tr>
    </w:tbl>
    <w:p>
      <w:pPr>
        <w:pStyle w:val="Heading1"/>
        <w:spacing w:after="60" w:line="250" w:lineRule="auto" w:before="80"/>
      </w:pPr>
      <w:r>
        <w:rPr>
          <w:rFonts w:ascii="Liberation Sans" w:hAnsi="Liberation Sans"/>
          <w:sz w:val="26"/>
          <w:color w:val="000000"/>
        </w:rPr>
        <w:t>Self Reflection</w:t>
      </w:r>
    </w:p>
    <w:p>
      <w:pPr>
        <w:spacing w:after="60" w:line="250" w:lineRule="auto"/>
      </w:pPr>
      <w:r>
        <w:rPr>
          <w:rFonts w:ascii="Liberation Sans" w:hAnsi="Liberation Sans"/>
          <w:sz w:val="22"/>
          <w:color w:val="000000"/>
        </w:rPr>
        <w:t>The main lesson I take from this analysis is to ask what actually changes for the organization before calling a technology disruptive. An advanced capability can improve a supporting task while leaving the customer offer and revenue model largely intact. I would therefore distinguish technical novelty, implementation and business-model exposure in my own judgment. The media comparison also shows why the same technology deserves a different contextual interpretation when its output is part of what customers receive. I need evidence of useful process change, total cost and customer response before treating potential value as a demonstrated result. A clear limitation is more useful than an impressive classification without support.</w:t>
      </w:r>
    </w:p>
    <w:p>
      <w:pPr>
        <w:pStyle w:val="Heading1"/>
        <w:spacing w:after="60" w:line="250" w:lineRule="auto"/>
      </w:pPr>
      <w:r>
        <w:rPr>
          <w:rFonts w:ascii="Liberation Sans" w:hAnsi="Liberation Sans"/>
          <w:sz w:val="26"/>
          <w:color w:val="000000"/>
        </w:rPr>
        <w:t>GitHub evidence</w:t>
      </w:r>
    </w:p>
    <w:p>
      <w:pPr>
        <w:spacing w:after="60" w:line="250" w:lineRule="auto"/>
      </w:pPr>
      <w:r>
        <w:rPr>
          <w:rFonts w:ascii="Liberation Sans" w:hAnsi="Liberation Sans"/>
          <w:sz w:val="22"/>
          <w:color w:val="000000"/>
        </w:rPr>
        <w:t>The assignment branch contains the working package and final record. Package evidence is fixed at the commit recorded in section A; later commits add submission documentation.</w:t>
      </w:r>
    </w:p>
    <w:p>
      <w:pPr>
        <w:spacing w:after="60" w:line="250" w:lineRule="auto"/>
      </w:pPr>
      <w:hyperlink r:id="rIdLab3Branch">
        <w:r>
          <w:rPr>
            <w:rFonts w:ascii="Liberation Sans" w:hAnsi="Liberation Sans"/>
            <w:sz w:val="21"/>
            <w:color w:val="000000"/>
            <w:u w:val="single"/>
          </w:rPr>
          <w:t>Lab3 files on GitHub</w:t>
        </w:r>
      </w:hyperlink>
    </w:p>
    <w:p>
      <w:pPr>
        <w:pStyle w:val="Heading1"/>
        <w:spacing w:after="60" w:line="250" w:lineRule="auto"/>
        <w:pageBreakBefore/>
      </w:pPr>
      <w:r>
        <w:rPr>
          <w:rFonts w:ascii="Liberation Sans" w:hAnsi="Liberation Sans"/>
          <w:sz w:val="26"/>
          <w:color w:val="000000"/>
        </w:rPr>
        <w:t>Innovation Criteria and Business Model Analysis</w:t>
      </w:r>
    </w:p>
    <w:p>
      <w:pPr>
        <w:spacing w:after="60" w:line="250" w:lineRule="auto"/>
      </w:pPr>
      <w:r>
        <w:rPr>
          <w:rFonts w:ascii="Liberation Sans" w:hAnsi="Liberation Sans"/>
          <w:sz w:val="22"/>
          <w:color w:val="000000"/>
        </w:rPr>
        <w:t>Classification uses separate dimensions rather than a single novelty label. The following criteria are operational rules for this assignment; the disruption levels are qualitative judgments, not probabilities.</w:t>
      </w:r>
    </w:p>
    <w:tbl>
      <w:tblPr>
        <w:tblStyle w:val="TableGrid"/>
        <w:tblW w:type="dxa" w:w="104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574"/>
      </w:tblGrid>
      <w:tr>
        <w:tc>
          <w:tcPr>
            <w:tcW w:type="dxa" w:w="2880"/>
            <w:tcMar>
              <w:top w:w="70" w:type="dxa"/>
              <w:start w:w="90" w:type="dxa"/>
              <w:bottom w:w="70" w:type="dxa"/>
              <w:end w:w="90" w:type="dxa"/>
            </w:tcMar>
            <w:vAlign w:val="center"/>
            <w:shd w:fill="404040"/>
          </w:tcPr>
          <w:p>
            <w:pPr>
              <w:spacing w:after="60" w:line="250" w:lineRule="auto"/>
            </w:pPr>
            <w:r>
              <w:rPr>
                <w:rFonts w:ascii="Liberation Sans" w:hAnsi="Liberation Sans"/>
                <w:sz w:val="21"/>
                <w:color w:val="FFFFFF"/>
                <w:b/>
              </w:rPr>
              <w:t>Dimension</w:t>
            </w:r>
          </w:p>
        </w:tc>
        <w:tc>
          <w:tcPr>
            <w:tcW w:type="dxa" w:w="7574"/>
            <w:tcMar>
              <w:top w:w="70" w:type="dxa"/>
              <w:start w:w="90" w:type="dxa"/>
              <w:bottom w:w="70" w:type="dxa"/>
              <w:end w:w="90" w:type="dxa"/>
            </w:tcMar>
            <w:vAlign w:val="center"/>
            <w:shd w:fill="404040"/>
          </w:tcPr>
          <w:p>
            <w:pPr>
              <w:spacing w:after="60" w:line="250" w:lineRule="auto"/>
            </w:pPr>
            <w:r>
              <w:rPr>
                <w:rFonts w:ascii="Liberation Sans" w:hAnsi="Liberation Sans"/>
                <w:sz w:val="21"/>
                <w:color w:val="FFFFFF"/>
                <w:b/>
              </w:rPr>
              <w:t>Decision rule</w:t>
            </w:r>
          </w:p>
        </w:tc>
        <w:trPr>
          <w:cantSplit/>
          <w:tblHeader/>
        </w:trPr>
      </w:tr>
      <w:tr>
        <w:tc>
          <w:tcPr>
            <w:tcW w:type="dxa" w:w="2880"/>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Invention</w:t>
            </w:r>
          </w:p>
        </w:tc>
        <w:tc>
          <w:tcPr>
            <w:tcW w:type="dxa" w:w="7574"/>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Supported new technical concept or mechanism. Recombination may be inventive; first use in one firm is not world-first proof.</w:t>
            </w:r>
          </w:p>
        </w:tc>
        <w:trPr>
          <w:cantSplit/>
        </w:trPr>
      </w:tr>
      <w:tr>
        <w:tc>
          <w:tcPr>
            <w:tcW w:type="dxa" w:w="2880"/>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Implemented innovation</w:t>
            </w:r>
          </w:p>
        </w:tc>
        <w:tc>
          <w:tcPr>
            <w:tcW w:type="dxa" w:w="7574"/>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A significantly different product or process introduced to users or actual operations. A proposal remains a candidate; a routine refresh is insufficient.</w:t>
            </w:r>
          </w:p>
        </w:tc>
        <w:trPr>
          <w:cantSplit/>
        </w:trPr>
      </w:tr>
      <w:tr>
        <w:tc>
          <w:tcPr>
            <w:tcW w:type="dxa" w:w="2880"/>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Entrepreneurship and commercialization</w:t>
            </w:r>
          </w:p>
        </w:tc>
        <w:tc>
          <w:tcPr>
            <w:tcW w:type="dxa" w:w="7574"/>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Resources, delivery, customers and a funding/revenue mechanism exploit an opportunity. Internal experimentation and hypothetical paid demand do not establish success.</w:t>
            </w:r>
          </w:p>
        </w:tc>
        <w:trPr>
          <w:cantSplit/>
        </w:trPr>
      </w:tr>
      <w:tr>
        <w:tc>
          <w:tcPr>
            <w:tcW w:type="dxa" w:w="2880"/>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Incremental innovation</w:t>
            </w:r>
          </w:p>
        </w:tc>
        <w:tc>
          <w:tcPr>
            <w:tcW w:type="dxa" w:w="7574"/>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Bounded improvement relative to a named process or offer. The chart workflow remains on the existing review and human-accountability trajectory.</w:t>
            </w:r>
          </w:p>
        </w:tc>
        <w:trPr>
          <w:cantSplit/>
        </w:trPr>
      </w:tr>
      <w:tr>
        <w:tc>
          <w:tcPr>
            <w:tcW w:type="dxa" w:w="2880"/>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Breakthrough innovation</w:t>
            </w:r>
          </w:p>
        </w:tc>
        <w:tc>
          <w:tcPr>
            <w:tcW w:type="dxa" w:w="7574"/>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Evidence of a qualitative capability or substantial performance discontinuity against a baseline. Adaptive orchestration is a candidate; domain performance remains unverified.</w:t>
            </w:r>
          </w:p>
        </w:tc>
        <w:trPr>
          <w:cantSplit/>
        </w:trPr>
      </w:tr>
    </w:tbl>
    <w:p>
      <w:pPr>
        <w:spacing w:after="60" w:line="250" w:lineRule="auto" w:before="80"/>
      </w:pPr>
      <w:r>
        <w:rPr>
          <w:rFonts w:ascii="Liberation Sans" w:hAnsi="Liberation Sans"/>
          <w:sz w:val="22"/>
          <w:color w:val="000000"/>
        </w:rPr>
        <w:t>Low means a supporting-activity change with intact customer/revenue logic. Moderate means a credible change to important delivery economics or activities with an adaptable core offer. High requires evidence of core offer or revenue erosion. Potentially Existential requires a credible viability threat and assessment of countervailing assets. Missing essential context yields a withheld rating.</w:t>
      </w:r>
    </w:p>
    <w:tbl>
      <w:tblPr>
        <w:tblStyle w:val="TableGrid"/>
        <w:tblW w:type="dxa" w:w="1045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574"/>
      </w:tblGrid>
      <w:tr>
        <w:tc>
          <w:tcPr>
            <w:tcW w:type="dxa" w:w="2880"/>
            <w:tcMar>
              <w:top w:w="70" w:type="dxa"/>
              <w:start w:w="90" w:type="dxa"/>
              <w:bottom w:w="70" w:type="dxa"/>
              <w:end w:w="90" w:type="dxa"/>
            </w:tcMar>
            <w:vAlign w:val="center"/>
            <w:shd w:fill="404040"/>
          </w:tcPr>
          <w:p>
            <w:pPr>
              <w:spacing w:after="60" w:line="250" w:lineRule="auto"/>
            </w:pPr>
            <w:r>
              <w:rPr>
                <w:rFonts w:ascii="Liberation Sans" w:hAnsi="Liberation Sans"/>
                <w:sz w:val="21"/>
                <w:color w:val="FFFFFF"/>
                <w:b/>
              </w:rPr>
              <w:t>Exposure</w:t>
            </w:r>
          </w:p>
        </w:tc>
        <w:tc>
          <w:tcPr>
            <w:tcW w:type="dxa" w:w="7574"/>
            <w:tcMar>
              <w:top w:w="70" w:type="dxa"/>
              <w:start w:w="90" w:type="dxa"/>
              <w:bottom w:w="70" w:type="dxa"/>
              <w:end w:w="90" w:type="dxa"/>
            </w:tcMar>
            <w:vAlign w:val="center"/>
            <w:shd w:fill="404040"/>
          </w:tcPr>
          <w:p>
            <w:pPr>
              <w:spacing w:after="60" w:line="250" w:lineRule="auto"/>
            </w:pPr>
            <w:r>
              <w:rPr>
                <w:rFonts w:ascii="Liberation Sans" w:hAnsi="Liberation Sans"/>
                <w:sz w:val="21"/>
                <w:color w:val="FFFFFF"/>
                <w:b/>
              </w:rPr>
              <w:t>Finance primary and media contrast</w:t>
            </w:r>
          </w:p>
        </w:tc>
        <w:trPr>
          <w:cantSplit/>
          <w:tblHeader/>
        </w:trPr>
      </w:tr>
      <w:tr>
        <w:tc>
          <w:tcPr>
            <w:tcW w:type="dxa" w:w="2880"/>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Created value</w:t>
            </w:r>
          </w:p>
        </w:tc>
        <w:tc>
          <w:tcPr>
            <w:tcW w:type="dxa" w:w="7574"/>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Finance: reusable review evidence and analyst capacity. Media: more visual experiments and a possible chart service, conditional on demand.</w:t>
            </w:r>
          </w:p>
        </w:tc>
        <w:trPr>
          <w:cantSplit/>
        </w:trPr>
      </w:tr>
      <w:tr>
        <w:tc>
          <w:tcPr>
            <w:tcW w:type="dxa" w:w="2880"/>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Displaced value</w:t>
            </w:r>
          </w:p>
        </w:tc>
        <w:tc>
          <w:tcPr>
            <w:tcW w:type="dxa" w:w="7574"/>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Routine assembly, first-pass checks and commodity caption work may become less scarce. Task displacement does not establish job losses.</w:t>
            </w:r>
          </w:p>
        </w:tc>
        <w:trPr>
          <w:cantSplit/>
        </w:trPr>
      </w:tr>
      <w:tr>
        <w:tc>
          <w:tcPr>
            <w:tcW w:type="dxa" w:w="2880"/>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Customer offer and channel</w:t>
            </w:r>
          </w:p>
        </w:tc>
        <w:tc>
          <w:tcPr>
            <w:tcW w:type="dxa" w:w="7574"/>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Finance: internal support leaves financial-service delivery intact. Media: charts form part of public content; direct online delivery remains the stated channel.</w:t>
            </w:r>
          </w:p>
        </w:tc>
        <w:trPr>
          <w:cantSplit/>
        </w:trPr>
      </w:tr>
      <w:tr>
        <w:tc>
          <w:tcPr>
            <w:tcW w:type="dxa" w:w="2880"/>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Revenue and cost mechanism</w:t>
            </w:r>
          </w:p>
        </w:tc>
        <w:tc>
          <w:tcPr>
            <w:tcW w:type="dxa" w:w="7574"/>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Finance: potential cost-side change only. Media: content economics may change; license revenue is hypothetical. Include integration, usage, verification and correction costs.</w:t>
            </w:r>
          </w:p>
        </w:tc>
        <w:trPr>
          <w:cantSplit/>
        </w:trPr>
      </w:tr>
      <w:tr>
        <w:tc>
          <w:tcPr>
            <w:tcW w:type="dxa" w:w="2880"/>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Intermediaries and advantage</w:t>
            </w:r>
          </w:p>
        </w:tc>
        <w:tc>
          <w:tcPr>
            <w:tcW w:type="dxa" w:w="7574"/>
            <w:tcMar>
              <w:top w:w="70" w:type="dxa"/>
              <w:start w:w="90" w:type="dxa"/>
              <w:bottom w:w="70" w:type="dxa"/>
              <w:end w:w="90" w:type="dxa"/>
            </w:tcMar>
            <w:vAlign w:val="center"/>
            <w:shd w:fill="FFFFFF"/>
          </w:tcPr>
          <w:p>
            <w:pPr>
              <w:spacing w:after="60" w:line="250" w:lineRule="auto"/>
            </w:pPr>
            <w:r>
              <w:rPr>
                <w:rFonts w:ascii="Liberation Sans" w:hAnsi="Liberation Sans"/>
                <w:sz w:val="21"/>
                <w:color w:val="000000"/>
              </w:rPr>
              <w:t>Some commodity chart services may lose task demand. No financial intermediary is shown to be displaced. Accountable analysis and distinctive editorial judgment can retain value.</w:t>
            </w:r>
          </w:p>
        </w:tc>
        <w:trPr>
          <w:cantSplit/>
        </w:trPr>
      </w:tr>
      <w:tr>
        <w:tc>
          <w:tcPr>
            <w:tcW w:type="dxa" w:w="2880"/>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Strategic risk and alternative</w:t>
            </w:r>
          </w:p>
        </w:tc>
        <w:tc>
          <w:tcPr>
            <w:tcW w:type="dxa" w:w="7574"/>
            <w:tcMar>
              <w:top w:w="70" w:type="dxa"/>
              <w:start w:w="90" w:type="dxa"/>
              <w:bottom w:w="70" w:type="dxa"/>
              <w:end w:w="90" w:type="dxa"/>
            </w:tcMar>
            <w:vAlign w:val="center"/>
            <w:shd w:fill="F5F5F5"/>
          </w:tcPr>
          <w:p>
            <w:pPr>
              <w:spacing w:after="60" w:line="250" w:lineRule="auto"/>
            </w:pPr>
            <w:r>
              <w:rPr>
                <w:rFonts w:ascii="Liberation Sans" w:hAnsi="Liberation Sans"/>
                <w:sz w:val="21"/>
                <w:color w:val="000000"/>
              </w:rPr>
              <w:t>Finance: premature trust is the immediate risk. Media: both quality failure and delayed competitive response matter. Efficiency without a new value model is the strongest limited-disruption alternative.</w:t>
            </w:r>
          </w:p>
        </w:tc>
        <w:trPr>
          <w:cantSplit/>
        </w:trPr>
      </w:tr>
    </w:tbl>
    <w:p>
      <w:pPr>
        <w:spacing w:after="60" w:line="250" w:lineRule="auto" w:before="80"/>
      </w:pPr>
      <w:r>
        <w:rPr>
          <w:rFonts w:ascii="Liberation Sans" w:hAnsi="Liberation Sans"/>
          <w:sz w:val="20"/>
          <w:color w:val="000000"/>
        </w:rPr>
        <w:t>Christensen-style disruption is a separate, narrower claim requiring a low-end or new-market foothold and a trajectory toward incumbent displacement. Neither scenario establishes that trajectory. Productivity studies in other work settings do not supply a chart-workflow savings percentage (Christensen et al., 2015; Brynjolfsson et al., 2025).</w:t>
      </w:r>
    </w:p>
    <w:p>
      <w:pPr>
        <w:pStyle w:val="Heading1"/>
        <w:spacing w:after="60" w:line="250" w:lineRule="auto"/>
        <w:pageBreakBefore/>
      </w:pPr>
      <w:r>
        <w:rPr>
          <w:rFonts w:ascii="Liberation Sans" w:hAnsi="Liberation Sans"/>
          <w:sz w:val="26"/>
          <w:color w:val="000000"/>
        </w:rPr>
        <w:t>References</w:t>
      </w:r>
    </w:p>
    <w:p>
      <w:pPr>
        <w:spacing w:after="180" w:line="300" w:lineRule="auto"/>
        <w:ind w:left="720" w:hanging="720"/>
      </w:pPr>
      <w:r>
        <w:rPr>
          <w:rFonts w:ascii="Liberation Sans" w:hAnsi="Liberation Sans"/>
          <w:sz w:val="22"/>
          <w:color w:val="000000"/>
        </w:rPr>
        <w:t>Anthropic. (2024, October 22). Introducing computer use, a new Claude 3.5 Sonnet, and Claude 3.5 Haiku. https://www.anthropic.com/news/3-5-models-and-computer-use</w:t>
      </w:r>
    </w:p>
    <w:p>
      <w:pPr>
        <w:spacing w:after="180" w:line="300" w:lineRule="auto"/>
        <w:ind w:left="720" w:hanging="720"/>
      </w:pPr>
      <w:r>
        <w:rPr>
          <w:rFonts w:ascii="Liberation Sans" w:hAnsi="Liberation Sans"/>
          <w:sz w:val="22"/>
          <w:color w:val="000000"/>
        </w:rPr>
        <w:t>Brynjolfsson, E., Li, D., &amp; Raymond, L. (2025). Generative AI at work. The Quarterly Journal of Economics, 140(2), 889-942. https://doi.org/10.1093/qje/qjae044</w:t>
      </w:r>
    </w:p>
    <w:p>
      <w:pPr>
        <w:spacing w:after="180" w:line="300" w:lineRule="auto"/>
        <w:ind w:left="720" w:hanging="720"/>
      </w:pPr>
      <w:r>
        <w:rPr>
          <w:rFonts w:ascii="Liberation Sans" w:hAnsi="Liberation Sans"/>
          <w:sz w:val="22"/>
          <w:color w:val="000000"/>
        </w:rPr>
        <w:t>Christensen, C. M., Raynor, M. E., &amp; McDonald, R. (2015). What is disruptive innovation? Harvard Business Review, 93(12), 44-53. https://hbr.org/2015/12/what-is-disruptive-innovation</w:t>
      </w:r>
    </w:p>
    <w:p>
      <w:pPr>
        <w:spacing w:after="180" w:line="300" w:lineRule="auto"/>
        <w:ind w:left="720" w:hanging="720"/>
      </w:pPr>
      <w:r>
        <w:rPr>
          <w:rFonts w:ascii="Liberation Sans" w:hAnsi="Liberation Sans"/>
          <w:sz w:val="22"/>
          <w:color w:val="000000"/>
        </w:rPr>
        <w:t>OECD/Eurostat. (2018). Oslo Manual 2018: Guidelines for collecting, reporting and using data on innovation (4th ed.). OECD Publishing. https://doi.org/10.1787/9789264304604-en</w:t>
      </w:r>
    </w:p>
    <w:p>
      <w:pPr>
        <w:spacing w:after="180" w:line="300" w:lineRule="auto"/>
        <w:ind w:left="720" w:hanging="720"/>
      </w:pPr>
      <w:r>
        <w:rPr>
          <w:rFonts w:ascii="Liberation Sans" w:hAnsi="Liberation Sans"/>
          <w:sz w:val="22"/>
          <w:color w:val="000000"/>
        </w:rPr>
        <w:t>Yao, S., Zhao, J., Yu, D., Du, N., Shafran, I., Narasimhan, K., &amp; Cao, Y. (2023). ReAct: Synergizing reasoning and acting in language models. International Conference on Learning Representations. https://arxiv.org/abs/2210.03629</w:t>
      </w:r>
    </w:p>
    <w:p>
      <w:pPr>
        <w:spacing w:after="180" w:line="300" w:lineRule="auto"/>
        <w:ind w:left="720" w:hanging="720"/>
      </w:pPr>
      <w:r>
        <w:rPr>
          <w:rFonts w:ascii="Liberation Sans" w:hAnsi="Liberation Sans"/>
          <w:sz w:val="22"/>
          <w:color w:val="000000"/>
        </w:rPr>
        <w:t>Schmidt, T. M. (n.d.). Assignment 3 Innovation and Disruption Agent revised; Weekly Individual Assignments Final v3; Common Agent Scaffold Student Guide v2; Specialist Agent Record Template; Individual Assignment Assessment Rubric. MASY1-GC 1800 course materials. NYU Brightspace.</w:t>
      </w:r>
    </w:p>
    <w:p>
      <w:pPr>
        <w:pStyle w:val="Heading1"/>
        <w:spacing w:after="60" w:line="250" w:lineRule="auto"/>
      </w:pPr>
      <w:r>
        <w:rPr>
          <w:rFonts w:ascii="Liberation Sans" w:hAnsi="Liberation Sans"/>
          <w:sz w:val="26"/>
          <w:color w:val="000000"/>
        </w:rPr>
        <w:t>Evidence applicability</w:t>
      </w:r>
    </w:p>
    <w:p>
      <w:pPr>
        <w:spacing w:after="60" w:line="250" w:lineRule="auto"/>
      </w:pPr>
      <w:r>
        <w:rPr>
          <w:rFonts w:ascii="Liberation Sans" w:hAnsi="Liberation Sans"/>
          <w:sz w:val="22"/>
          <w:color w:val="000000"/>
        </w:rPr>
        <w:t>Original source pages were checked on 12 October 2026. The OECD chapter links and the original Christensen article hosted by Harvard Business School are in evidence/source_register.json. The empirical study reports customer-support outcomes in one firm; it is not evidence of chart-review reliability, employment loss or media revenue. The vendor announcement is used only for its historical release and commercialization pathway. No current price, market share, legal compliance or organization-specific performance is inferred.</w:t>
      </w:r>
    </w:p>
    <w:p>
      <w:pPr>
        <w:pStyle w:val="Heading1"/>
        <w:spacing w:after="60" w:line="250" w:lineRule="auto"/>
      </w:pPr>
      <w:r>
        <w:rPr>
          <w:rFonts w:ascii="Liberation Sans" w:hAnsi="Liberation Sans"/>
          <w:sz w:val="26"/>
          <w:color w:val="000000"/>
        </w:rPr>
        <w:t>Artifact locations</w:t>
      </w:r>
    </w:p>
    <w:p>
      <w:pPr>
        <w:spacing w:after="60" w:line="250" w:lineRule="auto"/>
      </w:pPr>
      <w:r>
        <w:rPr>
          <w:rFonts w:ascii="Liberation Sans" w:hAnsi="Liberation Sans"/>
          <w:sz w:val="22"/>
          <w:color w:val="000000"/>
        </w:rPr>
        <w:t>Within agent_package/agents/innovation_disruption_agent, specialist_instructions.md defines the rules; cases and responses preserve the three final examples; prompts supports reproduction; records/revision_evidence.json retains the diagnostic correction; records/test_review.md and records/team_handoff.md explain context sensitivity and specialist boundaries. Verification results and source provenance remain in the package.</w:t>
      </w:r>
    </w:p>
    <w:sectPr w:rsidR="00630F3A"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rPr>
        <w:color w:val="000000"/>
        <w:sz w:val="16"/>
      </w:rPr>
      <w:t>Yufei Cai  |  Lab 3 Innovation and Disruption Agent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000000"/>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Lab3Branch" Type="http://schemas.openxmlformats.org/officeDocument/2006/relationships/hyperlink" Target="https://github.com/caiyf17/masy1800-assignment2-creation-agent/tree/assignment-3-innovation-disruption-agent/assignments/assignment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Innovation and Disruption Agent Record</dc:title>
  <dc:subject>Student instructions for weekly individual assignments</dc:subject>
  <dc:creator>Yufei Cai</dc:creator>
  <cp:keywords>Advanced Business Informatics, weekly assignments, professional practice, AI, judgment, proof of concept</cp:keywords>
  <dc:description>generated by python-docx</dc:description>
  <cp:lastModifiedBy>Andres Fortino</cp:lastModifiedBy>
  <cp:revision>2</cp:revision>
  <dcterms:created xsi:type="dcterms:W3CDTF">2026-08-13T19:48:00Z</dcterms:created>
  <dcterms:modified xsi:type="dcterms:W3CDTF">2026-08-13T19:48:00Z</dcterms:modified>
  <cp:category/>
</cp:coreProperties>
</file>