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CD74C">
      <w:pPr>
        <w:spacing w:before="0" w:after="120"/>
        <w:jc w:val="center"/>
      </w:pPr>
      <w:r>
        <w:rPr>
          <w:rFonts w:ascii="宋体" w:hAnsi="宋体" w:eastAsia="宋体" w:cs="宋体"/>
          <w:b/>
          <w:bCs/>
          <w:color w:val="1A237E"/>
          <w:sz w:val="44"/>
          <w:szCs w:val="44"/>
        </w:rPr>
        <w:t>人工智能技术发展中的工程伦理问题研究</w:t>
      </w:r>
    </w:p>
    <w:p w14:paraId="068BD27F">
      <w:pPr>
        <w:spacing w:before="200"/>
      </w:pPr>
    </w:p>
    <w:p w14:paraId="632B4B94">
      <w:pPr>
        <w:spacing w:before="0" w:after="120"/>
        <w:jc w:val="center"/>
      </w:pPr>
      <w:r>
        <w:rPr>
          <w:rFonts w:ascii="宋体" w:hAnsi="宋体" w:eastAsia="宋体" w:cs="宋体"/>
          <w:b/>
          <w:bCs/>
          <w:color w:val="283593"/>
          <w:sz w:val="26"/>
          <w:szCs w:val="26"/>
        </w:rPr>
        <w:t>—— 基于工程伦理学视角的多维分析与对策</w:t>
      </w:r>
    </w:p>
    <w:p w14:paraId="4FA7783B">
      <w:pPr>
        <w:spacing w:before="400"/>
      </w:pPr>
    </w:p>
    <w:p w14:paraId="4A55A8AB">
      <w:pPr>
        <w:jc w:val="center"/>
      </w:pPr>
      <w:r>
        <w:rPr>
          <w:rFonts w:ascii="宋体" w:hAnsi="宋体" w:eastAsia="宋体" w:cs="宋体"/>
          <w:color w:val="616161"/>
          <w:sz w:val="24"/>
          <w:szCs w:val="24"/>
        </w:rPr>
        <w:t>电气工程及其自动化专业  ·  大一</w:t>
      </w:r>
    </w:p>
    <w:p w14:paraId="0A9224E4">
      <w:pPr>
        <w:jc w:val="center"/>
      </w:pPr>
      <w:r>
        <w:rPr>
          <w:rFonts w:ascii="宋体" w:hAnsi="宋体" w:eastAsia="宋体" w:cs="宋体"/>
          <w:color w:val="616161"/>
          <w:sz w:val="24"/>
          <w:szCs w:val="24"/>
        </w:rPr>
        <w:t>2026年5月</w:t>
      </w:r>
      <w:bookmarkStart w:id="0" w:name="_GoBack"/>
      <w:bookmarkEnd w:id="0"/>
    </w:p>
    <w:p w14:paraId="1D81081D">
      <w:pPr>
        <w:spacing w:before="800"/>
      </w:pPr>
    </w:p>
    <w:p w14:paraId="351DF370">
      <w:pPr>
        <w:spacing w:before="480" w:after="240"/>
      </w:pPr>
      <w:r>
        <w:rPr>
          <w:rFonts w:ascii="黑体" w:hAnsi="黑体" w:eastAsia="黑体" w:cs="黑体"/>
          <w:b/>
          <w:bCs/>
          <w:color w:val="1A237E"/>
          <w:sz w:val="30"/>
          <w:szCs w:val="30"/>
        </w:rPr>
        <w:t>摘要</w:t>
      </w:r>
    </w:p>
    <w:p w14:paraId="3461852D">
      <w:pPr>
        <w:spacing w:before="60" w:after="60" w:line="480" w:lineRule="auto"/>
        <w:ind w:firstLine="500" w:firstLineChars="0"/>
      </w:pPr>
      <w:r>
        <w:rPr>
          <w:rFonts w:ascii="宋体" w:hAnsi="宋体" w:eastAsia="宋体" w:cs="宋体"/>
          <w:sz w:val="24"/>
          <w:szCs w:val="24"/>
        </w:rPr>
        <w:t>人工智能技术正以前所未有的速度渗透社会运行的各个领域，从招聘算法到自动驾驶，从医疗诊断到内容推荐，AI系统正在替代人类做出越来越多的重要决策。然而，技术的快速迭代也暴露出一系列深刻的伦理困境：算法偏见加剧社会不平等、数据收集侵蚀用户隐私、责任归属在法律真空中悬而未决、深度伪造技术动摇社会信任基础。本文以工程伦理为视角，系统梳理当前AI发展中的四类突出伦理问题，从技术、社会、法律与个体四个维度剖析其成因，并结合欧盟AI法案、可解释性AI（XAI）等技术与管理手段，提出多维协同治理的对策框架。本文认为，工程伦理不应是技术创新的“刹车”，而是保障技术行稳致远的“方向盘”；未来的工程师在掌握专业技能的同时，必须建立与技术能力相匹配的伦理自觉。</w:t>
      </w:r>
    </w:p>
    <w:p w14:paraId="70B96964">
      <w:pPr>
        <w:spacing w:before="120"/>
      </w:pPr>
    </w:p>
    <w:p w14:paraId="278337C6">
      <w:pPr>
        <w:spacing w:before="80" w:after="40" w:line="480" w:lineRule="auto"/>
        <w:ind w:firstLine="480"/>
      </w:pPr>
      <w:r>
        <w:rPr>
          <w:rFonts w:ascii="宋体" w:hAnsi="宋体" w:eastAsia="宋体" w:cs="宋体"/>
          <w:b/>
          <w:bCs/>
          <w:sz w:val="24"/>
          <w:szCs w:val="24"/>
        </w:rPr>
        <w:t>关键词：人工智能；工程伦理；算法偏见；可解释性AI；工程师责任</w:t>
      </w:r>
    </w:p>
    <w:p w14:paraId="1984F9A4">
      <w:pPr>
        <w:spacing w:before="480" w:after="240"/>
      </w:pPr>
      <w:r>
        <w:rPr>
          <w:rFonts w:ascii="黑体" w:hAnsi="黑体" w:eastAsia="黑体" w:cs="黑体"/>
          <w:b/>
          <w:bCs/>
          <w:color w:val="1A237E"/>
          <w:sz w:val="30"/>
          <w:szCs w:val="30"/>
        </w:rPr>
        <w:t>一、引言</w:t>
      </w:r>
    </w:p>
    <w:p w14:paraId="518077E8">
      <w:pPr>
        <w:spacing w:before="60" w:after="60" w:line="480" w:lineRule="auto"/>
        <w:ind w:firstLine="480"/>
      </w:pPr>
      <w:r>
        <w:rPr>
          <w:rFonts w:ascii="宋体" w:hAnsi="宋体" w:eastAsia="宋体" w:cs="宋体"/>
          <w:sz w:val="24"/>
          <w:szCs w:val="24"/>
        </w:rPr>
        <w:t>2022年底，ChatGPT横空出世，两个月内用户突破一亿，标志着人工智能从专业工具转变为社会基础设施。麦肯锡全球研究院预测，到2030年，全球约3亿个工作岗位将受到AI自动化的影响。然而，在效率提升的另一面，Amazon的AI招聘系统被发现系统性歧视女性候选人，Cambridge Analytica利用8700万Facebook用户数据进行政治操控，Uber自动驾驶汽车酿成全球首例致命事故……这些事件反复提醒我们：当工程师写下的代码开始决定谁能获得工作、谁被判定为高犯罪风险、谁在交通事故中优先受保护，工程伦理就不再是书斋里的哲学思辨，而是关乎每一个普通人命运的实践命题。</w:t>
      </w:r>
    </w:p>
    <w:p w14:paraId="3DAC8D90">
      <w:pPr>
        <w:spacing w:before="60" w:after="60" w:line="480" w:lineRule="auto"/>
        <w:ind w:firstLine="480"/>
      </w:pPr>
      <w:r>
        <w:rPr>
          <w:rFonts w:ascii="宋体" w:hAnsi="宋体" w:eastAsia="宋体" w:cs="宋体"/>
          <w:sz w:val="24"/>
          <w:szCs w:val="24"/>
        </w:rPr>
        <w:t>本文的核心问题意识是：为什么AI伦理问题会密集爆发？这些问题如何在技术与制度层面得到有效回应？工程师个体在其中应当承担怎样的责任？围绕这三个追问，本文依次展开对AI伦理问题现状的描述、成因的分析与解决路径的探讨。</w:t>
      </w:r>
    </w:p>
    <w:p w14:paraId="7BAC16DE">
      <w:pPr>
        <w:spacing w:before="480" w:after="240"/>
      </w:pPr>
      <w:r>
        <w:rPr>
          <w:rFonts w:ascii="黑体" w:hAnsi="黑体" w:eastAsia="黑体" w:cs="黑体"/>
          <w:b/>
          <w:bCs/>
          <w:color w:val="1A237E"/>
          <w:sz w:val="30"/>
          <w:szCs w:val="30"/>
        </w:rPr>
        <w:t>二、AI伦理问题的四大突出表现</w:t>
      </w:r>
    </w:p>
    <w:p w14:paraId="3F9B31F4">
      <w:pPr>
        <w:spacing w:before="360" w:after="180"/>
      </w:pPr>
      <w:r>
        <w:rPr>
          <w:rFonts w:ascii="黑体" w:hAnsi="黑体" w:eastAsia="黑体" w:cs="黑体"/>
          <w:b/>
          <w:bCs/>
          <w:color w:val="283593"/>
          <w:sz w:val="26"/>
          <w:szCs w:val="26"/>
        </w:rPr>
        <w:t>2.1 算法偏见：被代码复制的不平等</w:t>
      </w:r>
    </w:p>
    <w:p w14:paraId="016D20AD">
      <w:pPr>
        <w:spacing w:before="60" w:after="60" w:line="480" w:lineRule="auto"/>
        <w:ind w:firstLine="480"/>
      </w:pPr>
      <w:r>
        <w:rPr>
          <w:rFonts w:ascii="宋体" w:hAnsi="宋体" w:eastAsia="宋体" w:cs="宋体"/>
          <w:sz w:val="24"/>
          <w:szCs w:val="24"/>
        </w:rPr>
        <w:t>算法偏见（Algorithmic Bias）是指训练数据中隐含的历史偏见被机器学习模型捕获并放大，导致系统输出不公正的结果。其危险在于，偏见的嵌入发生在代码层面，普通用户甚至开发者本人都难以察觉。</w:t>
      </w:r>
    </w:p>
    <w:p w14:paraId="52F308DD">
      <w:pPr>
        <w:spacing w:before="60" w:after="60" w:line="480" w:lineRule="auto"/>
        <w:ind w:firstLine="480"/>
      </w:pPr>
      <w:r>
        <w:rPr>
          <w:rFonts w:ascii="宋体" w:hAnsi="宋体" w:eastAsia="宋体" w:cs="宋体"/>
          <w:sz w:val="24"/>
          <w:szCs w:val="24"/>
        </w:rPr>
        <w:t>典型案例是Amazon在2014年至2017年间开发的AI招聘系统。该系统基于过去十年的简历数据训练，而历史数据中技术岗位的男性比例远高于女性，导致模型习得了“男性候选人更优”的偏见——它会自动降级含有“women”等词汇的简历。尽管Amazon最终弃用了该系统，但它已经对大量女性求职者造成了实质性的机会损害。另一个令人警醒的案例是美国司法系统中使用的COMPAS再犯罪风险评估算法。ProPublica的调查表明，该算法将黑人被告错误标记为高再犯罪风险的概率是白人被告的近两倍，而白人被告更可能被错误标记为低风险。</w:t>
      </w:r>
    </w:p>
    <w:p w14:paraId="122FCFFE">
      <w:pPr>
        <w:spacing w:before="60" w:after="60" w:line="480" w:lineRule="auto"/>
        <w:ind w:firstLine="480"/>
      </w:pPr>
      <w:r>
        <w:rPr>
          <w:rFonts w:ascii="宋体" w:hAnsi="宋体" w:eastAsia="宋体" w:cs="宋体"/>
          <w:sz w:val="24"/>
          <w:szCs w:val="24"/>
        </w:rPr>
        <w:t>算法偏见的本质，是技术系统对人类社会中既有的结构性不公进行了“高效复制”和“规模化放大”。一个招聘经理的个人偏见每次只能影响一个候选人，但一个嵌入偏见的算法系统，每秒可以执行成百上千次有偏见的筛选。</w:t>
      </w:r>
    </w:p>
    <w:p w14:paraId="2EBEC06B">
      <w:pPr>
        <w:spacing w:before="360" w:after="180"/>
      </w:pPr>
      <w:r>
        <w:rPr>
          <w:rFonts w:ascii="黑体" w:hAnsi="黑体" w:eastAsia="黑体" w:cs="黑体"/>
          <w:b/>
          <w:bCs/>
          <w:color w:val="283593"/>
          <w:sz w:val="26"/>
          <w:szCs w:val="26"/>
        </w:rPr>
        <w:t>2.2 隐私侵蚀：便利的代价</w:t>
      </w:r>
    </w:p>
    <w:p w14:paraId="18F32E93">
      <w:pPr>
        <w:spacing w:before="60" w:after="60" w:line="480" w:lineRule="auto"/>
        <w:ind w:firstLine="480"/>
      </w:pPr>
      <w:r>
        <w:rPr>
          <w:rFonts w:ascii="宋体" w:hAnsi="宋体" w:eastAsia="宋体" w:cs="宋体"/>
          <w:sz w:val="24"/>
          <w:szCs w:val="24"/>
        </w:rPr>
        <w:t>AI系统的性能高度依赖数据，而数据的获取常常以牺牲用户隐私为代价。推荐算法在提供精准服务的同时，持续收集和分析用户的行为轨迹、社交关系、位置信息甚至情绪状态。当数据收集的边界不断外扩，用户逐步丧失了对自己数据的知情权和控制权。</w:t>
      </w:r>
    </w:p>
    <w:p w14:paraId="5052ECBB">
      <w:pPr>
        <w:spacing w:before="60" w:after="60" w:line="480" w:lineRule="auto"/>
        <w:ind w:firstLine="480"/>
      </w:pPr>
      <w:r>
        <w:rPr>
          <w:rFonts w:ascii="宋体" w:hAnsi="宋体" w:eastAsia="宋体" w:cs="宋体"/>
          <w:sz w:val="24"/>
          <w:szCs w:val="24"/>
        </w:rPr>
        <w:t>2018年曝光的剑桥分析事件是这一问题的标志性案例。一名研究人员通过性格测试应用获取了27万用户的数据，并利用Facebook当时的开放接口，连带获取了这些用户好友的信息，最终使8700万用户的数据被用于政治定向广告投放。2023年，意大利数据保护机构以无法证明合规数据处理为由，临时禁止了ChatGPT在意大利的运营，再次揭示出AI大模型训练过程中普遍存在的数据合规困境。</w:t>
      </w:r>
    </w:p>
    <w:p w14:paraId="0EA8166D">
      <w:pPr>
        <w:spacing w:before="60" w:after="60" w:line="480" w:lineRule="auto"/>
        <w:ind w:firstLine="480"/>
      </w:pPr>
      <w:r>
        <w:rPr>
          <w:rFonts w:ascii="宋体" w:hAnsi="宋体" w:eastAsia="宋体" w:cs="宋体"/>
          <w:sz w:val="24"/>
          <w:szCs w:val="24"/>
        </w:rPr>
        <w:t>隐私问题不仅关乎个人权利，更涉及一种深层的权力不对等——掌握数据和算法的机构，正在获得对个体的“预测性权力”：它们可能比你自己更早知道你的消费倾向、政治立场甚至情绪脆弱时刻。</w:t>
      </w:r>
    </w:p>
    <w:p w14:paraId="149E3852">
      <w:pPr>
        <w:spacing w:before="360" w:after="180"/>
      </w:pPr>
      <w:r>
        <w:rPr>
          <w:rFonts w:ascii="黑体" w:hAnsi="黑体" w:eastAsia="黑体" w:cs="黑体"/>
          <w:b/>
          <w:bCs/>
          <w:color w:val="283593"/>
          <w:sz w:val="26"/>
          <w:szCs w:val="26"/>
        </w:rPr>
        <w:t>2.3 自动驾驶中的责任归属：谁为算法的选择负责？</w:t>
      </w:r>
    </w:p>
    <w:p w14:paraId="3426E3AB">
      <w:pPr>
        <w:spacing w:before="60" w:after="60" w:line="480" w:lineRule="auto"/>
        <w:ind w:firstLine="480"/>
      </w:pPr>
      <w:r>
        <w:rPr>
          <w:rFonts w:ascii="宋体" w:hAnsi="宋体" w:eastAsia="宋体" w:cs="宋体"/>
          <w:sz w:val="24"/>
          <w:szCs w:val="24"/>
        </w:rPr>
        <w:t>自动驾驶将伦理问题推向了一个极其尖锐的境地。在紧急情境中，算法必须在毫秒内做出涉及生命权衡的决策——这种选择由谁来编程决定？当一个行人突然冲入车道，车辆应当优先保护乘客还是行人？如果选择避让行人而撞向障碍物导致乘客受伤，责任由车企、软件开发者、车主还是监管机构承担？</w:t>
      </w:r>
    </w:p>
    <w:p w14:paraId="1FF6EF68">
      <w:pPr>
        <w:spacing w:before="60" w:after="60" w:line="480" w:lineRule="auto"/>
        <w:ind w:firstLine="480"/>
      </w:pPr>
      <w:r>
        <w:rPr>
          <w:rFonts w:ascii="宋体" w:hAnsi="宋体" w:eastAsia="宋体" w:cs="宋体"/>
          <w:sz w:val="24"/>
          <w:szCs w:val="24"/>
        </w:rPr>
        <w:t>2018年3月，Uber自动驾驶测试车在美国亚利桑那州撞死一名横穿马路的行人，成为全球首例自动驾驶致人死亡的事故。安全驾驶员在事发时分心看手机，而车辆的自动紧急制动系统被关闭。事后的责任认定过程极其复杂：检察官最终认定Uber公司不承担刑事责任，安全驾驶员被指控过失杀人（后获得不起诉），而软件开发者、测试团队、监管审批等环节的责任在现有法律框架下难以清晰划定。</w:t>
      </w:r>
    </w:p>
    <w:p w14:paraId="4E5CD8E9">
      <w:pPr>
        <w:spacing w:before="60" w:after="60" w:line="480" w:lineRule="auto"/>
        <w:ind w:firstLine="480"/>
      </w:pPr>
      <w:r>
        <w:rPr>
          <w:rFonts w:ascii="宋体" w:hAnsi="宋体" w:eastAsia="宋体" w:cs="宋体"/>
          <w:sz w:val="24"/>
          <w:szCs w:val="24"/>
        </w:rPr>
        <w:t>这个案例揭示了一个根本性的困境：现有的法律责任体系建立在“人类行为者”的基础上（谁做了决定、谁有主观过错），而自动驾驶的道德决策是算法化的、预先编程的、分散在多个组织和个人之间的。传统的追责逻辑在面对AI系统时出现了系统性的“责任缺口”。</w:t>
      </w:r>
    </w:p>
    <w:p w14:paraId="5F7DC4F0">
      <w:pPr>
        <w:spacing w:before="360" w:after="180"/>
      </w:pPr>
      <w:r>
        <w:rPr>
          <w:rFonts w:ascii="黑体" w:hAnsi="黑体" w:eastAsia="黑体" w:cs="黑体"/>
          <w:b/>
          <w:bCs/>
          <w:color w:val="283593"/>
          <w:sz w:val="26"/>
          <w:szCs w:val="26"/>
        </w:rPr>
        <w:t>2.4 深度伪造：当眼见不再为实</w:t>
      </w:r>
    </w:p>
    <w:p w14:paraId="198E9363">
      <w:pPr>
        <w:spacing w:before="60" w:after="60" w:line="480" w:lineRule="auto"/>
        <w:ind w:firstLine="480"/>
      </w:pPr>
      <w:r>
        <w:rPr>
          <w:rFonts w:ascii="宋体" w:hAnsi="宋体" w:eastAsia="宋体" w:cs="宋体"/>
          <w:sz w:val="24"/>
          <w:szCs w:val="24"/>
        </w:rPr>
        <w:t>深度伪造（Deepfake）技术利用生成对抗网络等手段，可以生成高度逼真的虚假视频、音频和图像，使得未经训练的人眼难以与真实内容区分。这一技术的滥用在个人层面侵害名誉权和肖像权，在社会层面污染信息生态，在政治层面干扰民主选举进程。</w:t>
      </w:r>
    </w:p>
    <w:p w14:paraId="2F4C949C">
      <w:pPr>
        <w:spacing w:before="60" w:after="60" w:line="480" w:lineRule="auto"/>
        <w:ind w:firstLine="480"/>
      </w:pPr>
      <w:r>
        <w:rPr>
          <w:rFonts w:ascii="宋体" w:hAnsi="宋体" w:eastAsia="宋体" w:cs="宋体"/>
          <w:sz w:val="24"/>
          <w:szCs w:val="24"/>
        </w:rPr>
        <w:t>2024年，多个国家在大选期间出现了政客的Deepfake视频被广泛传播的事件，部分虚假内容在平台审核介入之前已经获得数百万次浏览。此外，AI生成的色情内容对普通公众（尤其是女性）造成了严重的名誉侵害和身心伤害。深度伪造问题的棘手之处在于：制造虚假内容的成本正在趋近于零，而识别和辟谣的成本却居高不下；信任一旦被侵蚀，重建社会信息信任的成本将是技术成本的千百倍。</w:t>
      </w:r>
    </w:p>
    <w:p w14:paraId="491611CA">
      <w:pPr>
        <w:spacing w:before="480" w:after="240"/>
      </w:pPr>
      <w:r>
        <w:rPr>
          <w:rFonts w:ascii="黑体" w:hAnsi="黑体" w:eastAsia="黑体" w:cs="黑体"/>
          <w:b/>
          <w:bCs/>
          <w:color w:val="1A237E"/>
          <w:sz w:val="30"/>
          <w:szCs w:val="30"/>
        </w:rPr>
        <w:t>三、伦理问题成因的四维分析</w:t>
      </w:r>
    </w:p>
    <w:p w14:paraId="29E532C4">
      <w:pPr>
        <w:spacing w:before="360" w:after="180"/>
      </w:pPr>
      <w:r>
        <w:rPr>
          <w:rFonts w:ascii="黑体" w:hAnsi="黑体" w:eastAsia="黑体" w:cs="黑体"/>
          <w:b/>
          <w:bCs/>
          <w:color w:val="283593"/>
          <w:sz w:val="26"/>
          <w:szCs w:val="26"/>
        </w:rPr>
        <w:t>3.1 技术层面的内因</w:t>
      </w:r>
    </w:p>
    <w:p w14:paraId="41EA2AAB">
      <w:pPr>
        <w:spacing w:before="60" w:after="60" w:line="480" w:lineRule="auto"/>
        <w:ind w:firstLine="480"/>
      </w:pPr>
      <w:r>
        <w:rPr>
          <w:rFonts w:ascii="宋体" w:hAnsi="宋体" w:eastAsia="宋体" w:cs="宋体"/>
          <w:sz w:val="24"/>
          <w:szCs w:val="24"/>
        </w:rPr>
        <w:t>深度神经网络本质上是一个“黑箱”——即便是模型的开发者，也难以完全解释模型为何做出某个特定决策。这种不可解释性与需要问责的社会治理逻辑之间存在根本冲突：如果无法理解一个决策是“如何做出的”，如何判断它是否“公正”？此外，AI模型的优化目标通常是单一的性能指标（如准确率、点击率），公平性、隐私保护等伦理价值若未被显式地纳入优化目标，就会被系统性地忽略。</w:t>
      </w:r>
    </w:p>
    <w:p w14:paraId="40B34FB4">
      <w:pPr>
        <w:spacing w:before="360" w:after="180"/>
      </w:pPr>
      <w:r>
        <w:rPr>
          <w:rFonts w:ascii="黑体" w:hAnsi="黑体" w:eastAsia="黑体" w:cs="黑体"/>
          <w:b/>
          <w:bCs/>
          <w:color w:val="283593"/>
          <w:sz w:val="26"/>
          <w:szCs w:val="26"/>
        </w:rPr>
        <w:t>3.2 社会与资本的驱动</w:t>
      </w:r>
    </w:p>
    <w:p w14:paraId="6A60DBEF">
      <w:pPr>
        <w:spacing w:before="60" w:after="60" w:line="480" w:lineRule="auto"/>
        <w:ind w:firstLine="480"/>
      </w:pPr>
      <w:r>
        <w:rPr>
          <w:rFonts w:ascii="宋体" w:hAnsi="宋体" w:eastAsia="宋体" w:cs="宋体"/>
          <w:sz w:val="24"/>
          <w:szCs w:val="24"/>
        </w:rPr>
        <w:t>科技行业长期以来遵循“先发展、后治理”的逻辑，资本对速度和利润的追求天然倾向于将伦理考量置于商业节奏之后。在激烈的市场竞争中，如果一个企业主动放慢产品上线节奏以充分评估伦理风险，而竞争对手没有这样做，它可能在商业上受到惩罚。这种“竞次”结构，使得单个企业的伦理自觉难以持续转化为行业级的伦理实践，除非有外部制度约束。</w:t>
      </w:r>
    </w:p>
    <w:p w14:paraId="4A70EFCC">
      <w:pPr>
        <w:spacing w:before="360" w:after="180"/>
      </w:pPr>
      <w:r>
        <w:rPr>
          <w:rFonts w:ascii="黑体" w:hAnsi="黑体" w:eastAsia="黑体" w:cs="黑体"/>
          <w:b/>
          <w:bCs/>
          <w:color w:val="283593"/>
          <w:sz w:val="26"/>
          <w:szCs w:val="26"/>
        </w:rPr>
        <w:t>3.3 法律法规的滞后</w:t>
      </w:r>
    </w:p>
    <w:p w14:paraId="1D80DB1D">
      <w:pPr>
        <w:spacing w:before="60" w:after="60" w:line="480" w:lineRule="auto"/>
        <w:ind w:firstLine="480"/>
      </w:pPr>
      <w:r>
        <w:rPr>
          <w:rFonts w:ascii="宋体" w:hAnsi="宋体" w:eastAsia="宋体" w:cs="宋体"/>
          <w:sz w:val="24"/>
          <w:szCs w:val="24"/>
        </w:rPr>
        <w:t>立法周期通常以年为单位，而AI技术的迭代周期已缩短至数月。欧盟从提出AI法案到最终通过历时三年多，而在此期间GPT系列模型已经迭代了多个代次。跨境AI应用的司法管辖权问题也远未厘清——一个AI系统可能在A国训练、B国部署、C国产生损害后果，适用哪国法律？此外，现有法律框架建立在“人类行为者”的基础上，AI系统是否具有“法律人格”、能否成为责任主体，在法理上尚无定论。</w:t>
      </w:r>
    </w:p>
    <w:p w14:paraId="7072850B">
      <w:pPr>
        <w:spacing w:before="360" w:after="180"/>
      </w:pPr>
      <w:r>
        <w:rPr>
          <w:rFonts w:ascii="黑体" w:hAnsi="黑体" w:eastAsia="黑体" w:cs="黑体"/>
          <w:b/>
          <w:bCs/>
          <w:color w:val="283593"/>
          <w:sz w:val="26"/>
          <w:szCs w:val="26"/>
        </w:rPr>
        <w:t>3.4 工程师个体的局限</w:t>
      </w:r>
    </w:p>
    <w:p w14:paraId="247559D9">
      <w:pPr>
        <w:spacing w:before="60" w:after="60" w:line="480" w:lineRule="auto"/>
        <w:ind w:firstLine="480"/>
      </w:pPr>
      <w:r>
        <w:rPr>
          <w:rFonts w:ascii="宋体" w:hAnsi="宋体" w:eastAsia="宋体" w:cs="宋体"/>
          <w:sz w:val="24"/>
          <w:szCs w:val="24"/>
        </w:rPr>
        <w:t>工程教育长期存在的“重技术、轻人文”倾向，使得多数工程师在职前教育阶段几乎没有接受过系统的伦理学训练。进入职场后，组织层级中的执行压力可能使工程师放弃独立的伦理判断——挑战者号航天飞机的悲剧就是最沉痛的例证：工程师在发射前已经识别出O型环在低温下的失效风险，但面对管理层的决策压力，他们的技术判断未能转化为有效的伦理表达，最终导致包括一名教师在内的七名宇航员全部遇难。此外，“技术中立”的错误假设——即认为技术只是工具、它的善恶取决于使用者——也在一定程度上消解了工程师对技术社会后果的责任意识。</w:t>
      </w:r>
    </w:p>
    <w:p w14:paraId="07CE7898">
      <w:pPr>
        <w:spacing w:before="480" w:after="240"/>
      </w:pPr>
      <w:r>
        <w:rPr>
          <w:rFonts w:ascii="黑体" w:hAnsi="黑体" w:eastAsia="黑体" w:cs="黑体"/>
          <w:b/>
          <w:bCs/>
          <w:color w:val="1A237E"/>
          <w:sz w:val="30"/>
          <w:szCs w:val="30"/>
        </w:rPr>
        <w:t>四、应对路径：多维协同治理</w:t>
      </w:r>
    </w:p>
    <w:p w14:paraId="47521F40">
      <w:pPr>
        <w:spacing w:before="360" w:after="180"/>
      </w:pPr>
      <w:r>
        <w:rPr>
          <w:rFonts w:ascii="黑体" w:hAnsi="黑体" w:eastAsia="黑体" w:cs="黑体"/>
          <w:b/>
          <w:bCs/>
          <w:color w:val="283593"/>
          <w:sz w:val="26"/>
          <w:szCs w:val="26"/>
        </w:rPr>
        <w:t>4.1 技术层面的改进</w:t>
      </w:r>
    </w:p>
    <w:p w14:paraId="4E0AC996">
      <w:pPr>
        <w:spacing w:before="60" w:after="60" w:line="480" w:lineRule="auto"/>
        <w:ind w:firstLine="480"/>
      </w:pPr>
      <w:r>
        <w:rPr>
          <w:rFonts w:ascii="宋体" w:hAnsi="宋体" w:eastAsia="宋体" w:cs="宋体"/>
          <w:sz w:val="24"/>
          <w:szCs w:val="24"/>
        </w:rPr>
        <w:t>技术造成的部分问题可以通过技术进步本身来缓解。可解释性AI（XAI）领域致力于开发LIME、SHAP等解释工具，使AI的决策过程变得透明可审查。差分隐私技术通过在数据处理过程中注入数学噪声，在保证统计分析精度的同时保护个体隐私不被追踪还原。在模型训练阶段引入公平性约束指标，可以主动检测并纠正偏见。针对深度伪造，研究者正在开发专用的检测模型和内容溯源水印技术。</w:t>
      </w:r>
    </w:p>
    <w:p w14:paraId="16897692">
      <w:pPr>
        <w:spacing w:before="360" w:after="180"/>
      </w:pPr>
      <w:r>
        <w:rPr>
          <w:rFonts w:ascii="黑体" w:hAnsi="黑体" w:eastAsia="黑体" w:cs="黑体"/>
          <w:b/>
          <w:bCs/>
          <w:color w:val="283593"/>
          <w:sz w:val="26"/>
          <w:szCs w:val="26"/>
        </w:rPr>
        <w:t>4.2 法律法规的完善</w:t>
      </w:r>
    </w:p>
    <w:p w14:paraId="00B3BA83">
      <w:pPr>
        <w:spacing w:before="60" w:after="60" w:line="480" w:lineRule="auto"/>
        <w:ind w:firstLine="480"/>
      </w:pPr>
      <w:r>
        <w:rPr>
          <w:rFonts w:ascii="宋体" w:hAnsi="宋体" w:eastAsia="宋体" w:cs="宋体"/>
          <w:sz w:val="24"/>
          <w:szCs w:val="24"/>
        </w:rPr>
        <w:t>2024年正式通过的欧盟AI法案（EU AI Act）是全球首部综合性AI监管法律，其核心框架是依据风险等级对AI应用进行分类监管——风险越高，合规要求越严格。中国于2023年施行的《生成式人工智能服务管理暂行办法》要求AI生成内容进行标识、训练数据须合规、服务提供者须建立投诉举报机制。这些法规的共同趋势是从“事后追责”走向“事前审查”，从“原则性倡导”走向“可操作的合规标准”。未来还需要在跨境AI应用的管辖协调、AI事故的强制报告与溯源机制等方面持续推进。</w:t>
      </w:r>
    </w:p>
    <w:p w14:paraId="7E0F0A3C">
      <w:pPr>
        <w:spacing w:before="360" w:after="180"/>
      </w:pPr>
      <w:r>
        <w:rPr>
          <w:rFonts w:ascii="黑体" w:hAnsi="黑体" w:eastAsia="黑体" w:cs="黑体"/>
          <w:b/>
          <w:bCs/>
          <w:color w:val="283593"/>
          <w:sz w:val="26"/>
          <w:szCs w:val="26"/>
        </w:rPr>
        <w:t>4.3 行业规范的建立</w:t>
      </w:r>
    </w:p>
    <w:p w14:paraId="05148BB2">
      <w:pPr>
        <w:spacing w:before="60" w:after="60" w:line="480" w:lineRule="auto"/>
        <w:ind w:firstLine="480"/>
      </w:pPr>
      <w:r>
        <w:rPr>
          <w:rFonts w:ascii="宋体" w:hAnsi="宋体" w:eastAsia="宋体" w:cs="宋体"/>
          <w:sz w:val="24"/>
          <w:szCs w:val="24"/>
        </w:rPr>
        <w:t>在法律法规的硬约束之外，行业自律是同样重要的治理力量。参照IEEE的“伦理对齐设计”（Ethically Aligned Design）框架，企业应在内部设立独立的AI伦理审查委员会，引入外部专家和公民代表参与高风险AI项目的评审。借鉴环境影响评估（EIA）的制度逻辑，高风险AI项目在部署前应强制进行伦理影响评估（Ethical Impact Assessment），并形成可公开的评估报告。多利益方参与机制的建立——将用户、受影响社区的代表纳入AI系统的设计与评估过程——有助于打破“技术精英决定一切”的封闭循环。</w:t>
      </w:r>
    </w:p>
    <w:p w14:paraId="6C668CE6">
      <w:pPr>
        <w:spacing w:before="360" w:after="180"/>
      </w:pPr>
      <w:r>
        <w:rPr>
          <w:rFonts w:ascii="黑体" w:hAnsi="黑体" w:eastAsia="黑体" w:cs="黑体"/>
          <w:b/>
          <w:bCs/>
          <w:color w:val="283593"/>
          <w:sz w:val="26"/>
          <w:szCs w:val="26"/>
        </w:rPr>
        <w:t>4.4 未来工程师的职业操守</w:t>
      </w:r>
    </w:p>
    <w:p w14:paraId="42FEA71C">
      <w:pPr>
        <w:spacing w:before="60" w:after="60" w:line="480" w:lineRule="auto"/>
        <w:ind w:firstLine="480"/>
      </w:pPr>
      <w:r>
        <w:rPr>
          <w:rFonts w:ascii="宋体" w:hAnsi="宋体" w:eastAsia="宋体" w:cs="宋体"/>
          <w:sz w:val="24"/>
          <w:szCs w:val="24"/>
        </w:rPr>
        <w:t>对于作为未来工程师的大学生而言，伦理能力的培养不是在毕业之后才开始的附加课，而是贯穿整个工程教育的必修课。具体而言，未来工程师应建立以下四个维度的伦理素养：</w:t>
      </w:r>
    </w:p>
    <w:p w14:paraId="46491876">
      <w:pPr>
        <w:spacing w:before="60" w:after="60" w:line="480" w:lineRule="auto"/>
        <w:ind w:firstLine="480"/>
      </w:pPr>
      <w:r>
        <w:rPr>
          <w:rFonts w:ascii="宋体" w:hAnsi="宋体" w:eastAsia="宋体" w:cs="宋体"/>
          <w:sz w:val="24"/>
          <w:szCs w:val="24"/>
        </w:rPr>
        <w:t>第一，公众利益优先。将公众安全、健康与福祉置于部门利益、雇主利益乃至个人职业利益之上，这是工程师的首要伦理准则。</w:t>
      </w:r>
    </w:p>
    <w:p w14:paraId="7912C79C">
      <w:pPr>
        <w:spacing w:before="60" w:after="60" w:line="480" w:lineRule="auto"/>
        <w:ind w:firstLine="480"/>
      </w:pPr>
      <w:r>
        <w:rPr>
          <w:rFonts w:ascii="宋体" w:hAnsi="宋体" w:eastAsia="宋体" w:cs="宋体"/>
          <w:sz w:val="24"/>
          <w:szCs w:val="24"/>
        </w:rPr>
        <w:t>第二，保持伦理敏感性。在技术决策过程中主动识别潜在的伦理风险——这个模型用在了谁身上？哪些人被排除了？最坏情况下可能造成什么伤害？——而非坐等问题暴露后才被动应对。</w:t>
      </w:r>
    </w:p>
    <w:p w14:paraId="185CAF6E">
      <w:pPr>
        <w:spacing w:before="60" w:after="60" w:line="480" w:lineRule="auto"/>
        <w:ind w:firstLine="480"/>
      </w:pPr>
      <w:r>
        <w:rPr>
          <w:rFonts w:ascii="宋体" w:hAnsi="宋体" w:eastAsia="宋体" w:cs="宋体"/>
          <w:sz w:val="24"/>
          <w:szCs w:val="24"/>
        </w:rPr>
        <w:t>第三，勇于发声。当所在组织的行为可能危及公众利益时，工程师有职业责任通过内部渠道乃至向外部监管机构报告。这需要勇气，也需要制度和法律为“吹哨人”提供保护。</w:t>
      </w:r>
    </w:p>
    <w:p w14:paraId="783C29A2">
      <w:pPr>
        <w:spacing w:before="60" w:after="60" w:line="480" w:lineRule="auto"/>
        <w:ind w:firstLine="480"/>
      </w:pPr>
      <w:r>
        <w:rPr>
          <w:rFonts w:ascii="宋体" w:hAnsi="宋体" w:eastAsia="宋体" w:cs="宋体"/>
          <w:sz w:val="24"/>
          <w:szCs w:val="24"/>
        </w:rPr>
        <w:t>第四，终身学习与跨学科协作。AI伦理问题不可能在单一的工程学科内部解决。未来的工程师需要积极学习伦理学、社会学和法学的相关知识，与非技术背景的专家——伦理学家、律师、社会学家、社区代表——开展有效协作，共同应对技术的社会挑战。</w:t>
      </w:r>
    </w:p>
    <w:p w14:paraId="4350FA85">
      <w:pPr>
        <w:spacing w:before="480" w:after="240"/>
      </w:pPr>
      <w:r>
        <w:rPr>
          <w:rFonts w:ascii="黑体" w:hAnsi="黑体" w:eastAsia="黑体" w:cs="黑体"/>
          <w:b/>
          <w:bCs/>
          <w:color w:val="1A237E"/>
          <w:sz w:val="30"/>
          <w:szCs w:val="30"/>
        </w:rPr>
        <w:t>五、结论</w:t>
      </w:r>
    </w:p>
    <w:p w14:paraId="5EB593E0">
      <w:pPr>
        <w:spacing w:before="60" w:after="60" w:line="480" w:lineRule="auto"/>
        <w:ind w:firstLine="480"/>
      </w:pPr>
      <w:r>
        <w:rPr>
          <w:rFonts w:ascii="宋体" w:hAnsi="宋体" w:eastAsia="宋体" w:cs="宋体"/>
          <w:sz w:val="24"/>
          <w:szCs w:val="24"/>
        </w:rPr>
        <w:t>人工智能技术正在全方位重塑人类社会的运行规则，而这场重塑中蕴含着深刻的价值紧张：效率与公平、便利与隐私、创新与安全、自动决策与人的尊严。本文的分析表明，这些紧张关系并非偶然的“副作用”，而是技术逻辑、资本逻辑、制度逻辑和人的认知局限共同作用下的系统性结果。</w:t>
      </w:r>
    </w:p>
    <w:p w14:paraId="7F750F9E">
      <w:pPr>
        <w:spacing w:before="60" w:after="60" w:line="480" w:lineRule="auto"/>
        <w:ind w:firstLine="480"/>
      </w:pPr>
      <w:r>
        <w:rPr>
          <w:rFonts w:ascii="宋体" w:hAnsi="宋体" w:eastAsia="宋体" w:cs="宋体"/>
          <w:sz w:val="24"/>
          <w:szCs w:val="24"/>
        </w:rPr>
        <w:t>应对这些挑战，需要跳出“技术问题技术解决”的单一思维，建立“技术—法律—行业—个体”四位一体的多维治理框架。技术层面的可解释性、公平性和隐私保护工具提供了底线保障；法律法规划定了不可逾越的红线；行业自律和伦理审查机制填充了法律强制执行之外的灰色地带；而工程师个体的伦理自觉与职业操守，则是这整个体系中最终的、也是最根本的防线。</w:t>
      </w:r>
    </w:p>
    <w:p w14:paraId="0517289A">
      <w:pPr>
        <w:spacing w:before="60" w:after="60" w:line="480" w:lineRule="auto"/>
        <w:ind w:firstLine="480"/>
      </w:pPr>
      <w:r>
        <w:rPr>
          <w:rFonts w:ascii="宋体" w:hAnsi="宋体" w:eastAsia="宋体" w:cs="宋体"/>
          <w:sz w:val="24"/>
          <w:szCs w:val="24"/>
        </w:rPr>
        <w:t>正如挑战者号事故调查委员会在最终报告中所写的那句话：“如果你无法改变组织，至少不要成为沉默的一部分。”对于在座的每一位未来的工程师而言，学习工程伦理的价值不仅在于获取知识，更在于理解一个朴素而重要的道理——技术是中性的，但工程师的决策从不中性。我们写下的每一行代码、设计的每一个系统，都在以某种方式回答着同一个问题：我们希望技术服务于怎样的社会，我们希望成为怎样的工程师。</w:t>
      </w:r>
    </w:p>
    <w:p w14:paraId="12EBD661">
      <w:pPr>
        <w:spacing w:before="480" w:after="240"/>
      </w:pPr>
      <w:r>
        <w:rPr>
          <w:rFonts w:ascii="黑体" w:hAnsi="黑体" w:eastAsia="黑体" w:cs="黑体"/>
          <w:b/>
          <w:bCs/>
          <w:color w:val="1A237E"/>
          <w:sz w:val="30"/>
          <w:szCs w:val="30"/>
        </w:rPr>
        <w:t>参考文献</w:t>
      </w:r>
    </w:p>
    <w:p w14:paraId="591FF833">
      <w:pPr>
        <w:spacing w:before="40" w:after="40" w:line="420" w:lineRule="auto"/>
        <w:ind w:left="480" w:hanging="480"/>
      </w:pPr>
      <w:r>
        <w:rPr>
          <w:rFonts w:ascii="宋体" w:hAnsi="宋体" w:eastAsia="宋体" w:cs="宋体"/>
          <w:sz w:val="22"/>
          <w:szCs w:val="22"/>
        </w:rPr>
        <w:t>[1] Autor, D., Levy, F., &amp; Murnane, R. (2003). The skill content of recent technological change: An empirical exploration. Quarterly Journal of Economics, 118(4), 1279-1333.</w:t>
      </w:r>
    </w:p>
    <w:p w14:paraId="3E7AEC93">
      <w:pPr>
        <w:spacing w:before="40" w:after="40" w:line="420" w:lineRule="auto"/>
        <w:ind w:left="480" w:hanging="480"/>
      </w:pPr>
      <w:r>
        <w:rPr>
          <w:rFonts w:ascii="宋体" w:hAnsi="宋体" w:eastAsia="宋体" w:cs="宋体"/>
          <w:sz w:val="22"/>
          <w:szCs w:val="22"/>
        </w:rPr>
        <w:t>[2] European Commission. (2024). EU Artificial Intelligence Act. Official Journal of the European Union.</w:t>
      </w:r>
    </w:p>
    <w:p w14:paraId="67C83DEB">
      <w:pPr>
        <w:spacing w:before="40" w:after="40" w:line="420" w:lineRule="auto"/>
        <w:ind w:left="480" w:hanging="480"/>
      </w:pPr>
      <w:r>
        <w:rPr>
          <w:rFonts w:ascii="宋体" w:hAnsi="宋体" w:eastAsia="宋体" w:cs="宋体"/>
          <w:sz w:val="22"/>
          <w:szCs w:val="22"/>
        </w:rPr>
        <w:t>[3] Floridi, L., Cowls, J., Beltrametti, M., et al. (2018). AI4People—An ethical framework for a good AI society. Minds and Machines, 28(4), 689-707.</w:t>
      </w:r>
    </w:p>
    <w:p w14:paraId="1FD4B93C">
      <w:pPr>
        <w:spacing w:before="40" w:after="40" w:line="420" w:lineRule="auto"/>
        <w:ind w:left="480" w:hanging="480"/>
      </w:pPr>
      <w:r>
        <w:rPr>
          <w:rFonts w:ascii="宋体" w:hAnsi="宋体" w:eastAsia="宋体" w:cs="宋体"/>
          <w:sz w:val="22"/>
          <w:szCs w:val="22"/>
        </w:rPr>
        <w:t>[4] McKinsey Global Institute. (2024). The state of AI in early 2024: Gen AI adoption spikes and starts to generate value.</w:t>
      </w:r>
    </w:p>
    <w:p w14:paraId="3E209944">
      <w:pPr>
        <w:spacing w:before="40" w:after="40" w:line="420" w:lineRule="auto"/>
        <w:ind w:left="480" w:hanging="480"/>
      </w:pPr>
      <w:r>
        <w:rPr>
          <w:rFonts w:ascii="宋体" w:hAnsi="宋体" w:eastAsia="宋体" w:cs="宋体"/>
          <w:sz w:val="22"/>
          <w:szCs w:val="22"/>
        </w:rPr>
        <w:t>[5] Mitchell, M. (2019). Artificial Intelligence: A Guide for Thinking Humans. New York: Farrar, Straus and Giroux.</w:t>
      </w:r>
    </w:p>
    <w:p w14:paraId="6D786761">
      <w:pPr>
        <w:spacing w:before="40" w:after="40" w:line="420" w:lineRule="auto"/>
        <w:ind w:left="480" w:hanging="480"/>
      </w:pPr>
      <w:r>
        <w:rPr>
          <w:rFonts w:ascii="宋体" w:hAnsi="宋体" w:eastAsia="宋体" w:cs="宋体"/>
          <w:sz w:val="22"/>
          <w:szCs w:val="22"/>
        </w:rPr>
        <w:t>[6] O'Neil, C. (2016). Weapons of Math Destruction: How Big Data Increases Inequality and Threatens Democracy. New York: Crown.</w:t>
      </w:r>
    </w:p>
    <w:p w14:paraId="7761B68E">
      <w:pPr>
        <w:spacing w:before="40" w:after="40" w:line="420" w:lineRule="auto"/>
        <w:ind w:left="480" w:hanging="480"/>
      </w:pPr>
      <w:r>
        <w:rPr>
          <w:rFonts w:ascii="宋体" w:hAnsi="宋体" w:eastAsia="宋体" w:cs="宋体"/>
          <w:sz w:val="22"/>
          <w:szCs w:val="22"/>
        </w:rPr>
        <w:t>[7] 国家互联网信息办公室. (2023). 《生成式人工智能服务管理暂行办法》.</w:t>
      </w:r>
    </w:p>
    <w:p w14:paraId="38E06168">
      <w:pPr>
        <w:spacing w:before="40" w:after="40" w:line="420" w:lineRule="auto"/>
        <w:ind w:left="480" w:hanging="480"/>
      </w:pPr>
      <w:r>
        <w:rPr>
          <w:rFonts w:ascii="宋体" w:hAnsi="宋体" w:eastAsia="宋体" w:cs="宋体"/>
          <w:sz w:val="22"/>
          <w:szCs w:val="22"/>
        </w:rPr>
        <w:t>[8] 李伦. (2020). 《人工智能与大数据伦理》. 北京: 科学出版社.</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isplayBackgroundShape w:val="1"/>
  <w:documentProtection w:enforcement="0"/>
  <w:compat>
    <w:useFELayout/>
    <w:compatSetting w:name="compatibilityMode" w:uri="http://schemas.microsoft.com/office/word" w:val="15"/>
  </w:compat>
  <w:rsids>
    <w:rsidRoot w:val="00000000"/>
    <w:rsid w:val="1FA212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4807</Words>
  <Characters>5648</Characters>
  <TotalTime>0</TotalTime>
  <ScaleCrop>false</ScaleCrop>
  <LinksUpToDate>false</LinksUpToDate>
  <CharactersWithSpaces>5794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2026-05-23T16:23:00Z</dcterms:created>
  <dc:creator>Un-named</dc:creator>
  <cp:lastModifiedBy>单孜尼马</cp:lastModifiedBy>
  <dcterms:modified xsi:type="dcterms:W3CDTF">2026-05-29T17:46:23Z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eyJoZGlkIjoiNDdiNjEyNGIwMDUxYzQ5ZGFkMzFlZWFlMmYyMGFmNmYiLCJ1c2VySWQiOiIxNTY4OTI5OTcxIn0=</vt:lpwstr>
  </property>
  <property fmtid="{D5CDD505-2E9C-101B-9397-08002B2CF9AE}" pid="3" name="KSOProductBuildVer">
    <vt:lpwstr>2052-12.1.0.25225</vt:lpwstr>
  </property>
  <property fmtid="{D5CDD505-2E9C-101B-9397-08002B2CF9AE}" pid="4" name="ICV">
    <vt:lpwstr>80301539C9E04808B7EF5D1047422070_12</vt:lpwstr>
  </property>
</Properties>
</file>