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4DDE0">
      <w:pPr>
        <w:snapToGrid w:val="0"/>
        <w:spacing w:after="156" w:afterLines="50" w:line="440" w:lineRule="exact"/>
        <w:jc w:val="center"/>
        <w:rPr>
          <w:rFonts w:ascii="楷体" w:hAnsi="楷体" w:eastAsia="楷体"/>
          <w:b/>
          <w:bCs/>
          <w:sz w:val="32"/>
          <w:szCs w:val="32"/>
        </w:rPr>
      </w:pPr>
      <w:bookmarkStart w:id="27" w:name="_GoBack"/>
      <w:bookmarkEnd w:id="27"/>
      <w:r>
        <w:rPr>
          <w:rFonts w:hint="eastAsia" w:ascii="楷体" w:hAnsi="楷体" w:eastAsia="楷体" w:cs="楷体_GB2312"/>
          <w:b/>
          <w:bCs/>
          <w:sz w:val="32"/>
          <w:szCs w:val="32"/>
        </w:rPr>
        <w:t>报告正文（202</w:t>
      </w:r>
      <w:r>
        <w:rPr>
          <w:rFonts w:ascii="楷体" w:hAnsi="楷体" w:eastAsia="楷体" w:cs="楷体_GB2312"/>
          <w:b/>
          <w:bCs/>
          <w:sz w:val="32"/>
          <w:szCs w:val="32"/>
        </w:rPr>
        <w:t>6</w:t>
      </w:r>
      <w:r>
        <w:rPr>
          <w:rFonts w:hint="eastAsia" w:ascii="楷体" w:hAnsi="楷体" w:eastAsia="楷体" w:cs="楷体_GB2312"/>
          <w:b/>
          <w:bCs/>
          <w:sz w:val="32"/>
          <w:szCs w:val="32"/>
        </w:rPr>
        <w:t>版）</w:t>
      </w:r>
    </w:p>
    <w:p w14:paraId="7185C04C">
      <w:pPr>
        <w:snapToGrid w:val="0"/>
        <w:spacing w:line="440" w:lineRule="exact"/>
        <w:ind w:firstLine="560" w:firstLineChars="200"/>
        <w:rPr>
          <w:rFonts w:ascii="楷体" w:hAnsi="楷体" w:eastAsia="楷体" w:cs="楷体_GB2312"/>
          <w:b/>
          <w:iCs/>
          <w:color w:val="0070C0"/>
          <w:sz w:val="28"/>
          <w:szCs w:val="28"/>
        </w:rPr>
      </w:pPr>
      <w:r>
        <w:rPr>
          <w:rFonts w:hint="eastAsia" w:ascii="楷体" w:hAnsi="楷体" w:eastAsia="楷体" w:cs="楷体_GB2312"/>
          <w:sz w:val="28"/>
          <w:szCs w:val="28"/>
        </w:rPr>
        <w:t>参照以下提纲撰写，要求内容翔实、清晰，层次分明，标题突出。</w:t>
      </w:r>
      <w:r>
        <w:rPr>
          <w:rFonts w:hint="eastAsia" w:ascii="楷体" w:hAnsi="楷体" w:eastAsia="楷体" w:cs="楷体_GB2312"/>
          <w:b/>
          <w:bCs/>
          <w:color w:val="FF0000"/>
          <w:sz w:val="28"/>
          <w:szCs w:val="28"/>
        </w:rPr>
        <w:t>申请书正文原则上不超过30页，鼓励简洁表达</w:t>
      </w:r>
      <w:r>
        <w:rPr>
          <w:rFonts w:hint="eastAsia" w:ascii="楷体" w:hAnsi="楷体" w:eastAsia="楷体" w:cs="楷体_GB2312"/>
          <w:iCs/>
          <w:color w:val="FF0000"/>
          <w:sz w:val="28"/>
          <w:szCs w:val="28"/>
        </w:rPr>
        <w:t>。</w:t>
      </w:r>
      <w:r>
        <w:rPr>
          <w:rFonts w:hint="eastAsia" w:ascii="楷体" w:hAnsi="楷体" w:eastAsia="楷体" w:cs="楷体_GB2312"/>
          <w:b/>
          <w:iCs/>
          <w:color w:val="0070C0"/>
          <w:sz w:val="28"/>
          <w:szCs w:val="28"/>
        </w:rPr>
        <w:t>请勿删除或改动下述提纲标题及括号中的文字。</w:t>
      </w:r>
    </w:p>
    <w:p w14:paraId="3964840F">
      <w:pPr>
        <w:snapToGrid w:val="0"/>
        <w:spacing w:line="440" w:lineRule="exact"/>
        <w:rPr>
          <w:rFonts w:ascii="楷体" w:hAnsi="楷体" w:eastAsia="楷体" w:cs="楷体_GB2312"/>
          <w:b/>
          <w:bCs/>
          <w:color w:val="0070C0"/>
          <w:sz w:val="28"/>
          <w:szCs w:val="28"/>
        </w:rPr>
      </w:pPr>
      <w:permStart w:id="0" w:edGrp="everyone"/>
    </w:p>
    <w:permEnd w:id="0"/>
    <w:p w14:paraId="46B6B7D2">
      <w:pPr>
        <w:snapToGrid w:val="0"/>
        <w:spacing w:line="440" w:lineRule="exact"/>
        <w:ind w:firstLine="562" w:firstLineChars="200"/>
        <w:rPr>
          <w:rFonts w:ascii="楷体" w:hAnsi="楷体" w:eastAsia="楷体" w:cs="楷体_GB2312"/>
          <w:b/>
          <w:bCs/>
          <w:color w:val="0070C0"/>
          <w:sz w:val="28"/>
          <w:szCs w:val="28"/>
        </w:rPr>
      </w:pPr>
      <w:r>
        <w:rPr>
          <w:rFonts w:hint="eastAsia" w:ascii="楷体" w:hAnsi="楷体" w:eastAsia="楷体" w:cs="楷体_GB2312"/>
          <w:b/>
          <w:bCs/>
          <w:color w:val="0070C0"/>
          <w:sz w:val="28"/>
          <w:szCs w:val="28"/>
        </w:rPr>
        <w:t>（一）立项依据</w:t>
      </w:r>
      <w:r>
        <w:rPr>
          <w:rFonts w:ascii="楷体" w:hAnsi="楷体" w:eastAsia="楷体"/>
          <w:b/>
          <w:bCs/>
          <w:color w:val="0070C0"/>
          <w:sz w:val="28"/>
          <w:szCs w:val="28"/>
        </w:rPr>
        <w:t>：</w:t>
      </w:r>
    </w:p>
    <w:p w14:paraId="2F702149">
      <w:pPr>
        <w:snapToGrid w:val="0"/>
        <w:spacing w:line="440" w:lineRule="exact"/>
        <w:ind w:firstLine="560" w:firstLineChars="200"/>
        <w:rPr>
          <w:rFonts w:ascii="楷体" w:hAnsi="楷体" w:eastAsia="楷体"/>
          <w:color w:val="0070C0"/>
          <w:sz w:val="28"/>
          <w:szCs w:val="28"/>
        </w:rPr>
      </w:pPr>
      <w:r>
        <w:rPr>
          <w:rFonts w:ascii="楷体" w:hAnsi="楷体" w:eastAsia="楷体"/>
          <w:color w:val="0070C0"/>
          <w:sz w:val="28"/>
          <w:szCs w:val="28"/>
        </w:rPr>
        <w:t>（为什么要开展此项研究，研究的科学技术价值如何）</w:t>
      </w:r>
    </w:p>
    <w:p w14:paraId="08D1810B">
      <w:pPr>
        <w:snapToGrid w:val="0"/>
        <w:spacing w:line="360" w:lineRule="auto"/>
        <w:rPr>
          <w:rFonts w:cs="楷体_GB2312"/>
          <w:sz w:val="24"/>
          <w:szCs w:val="24"/>
        </w:rPr>
      </w:pPr>
      <w:permStart w:id="1" w:edGrp="everyone"/>
      <w:r>
        <w:rPr>
          <w:rFonts w:hint="eastAsia"/>
          <w:b/>
          <w:bCs/>
          <w:sz w:val="28"/>
          <w:szCs w:val="28"/>
        </w:rPr>
        <w:t>1.1 科学意义</w:t>
      </w:r>
    </w:p>
    <w:p w14:paraId="0D53DDA0">
      <w:pPr>
        <w:snapToGrid w:val="0"/>
        <w:spacing w:line="360" w:lineRule="auto"/>
        <w:ind w:firstLine="480" w:firstLineChars="200"/>
        <w:rPr>
          <w:rFonts w:cs="宋体"/>
          <w:color w:val="FF0000"/>
          <w:sz w:val="24"/>
          <w:szCs w:val="24"/>
        </w:rPr>
      </w:pPr>
      <w:r>
        <w:rPr>
          <w:rFonts w:hint="eastAsia" w:cs="宋体"/>
          <w:sz w:val="24"/>
          <w:szCs w:val="24"/>
        </w:rPr>
        <w:t>致盲性眼底疾病，</w:t>
      </w:r>
      <w:r>
        <w:rPr>
          <w:rFonts w:cs="宋体"/>
          <w:sz w:val="24"/>
          <w:szCs w:val="24"/>
        </w:rPr>
        <w:t>尤其</w:t>
      </w:r>
      <w:r>
        <w:rPr>
          <w:rFonts w:hint="eastAsia" w:cs="宋体"/>
          <w:sz w:val="24"/>
          <w:szCs w:val="24"/>
        </w:rPr>
        <w:t>是年龄相关性黄斑变性（AMD）、糖尿病性黄斑水肿（DME）及糖尿病视网膜病变（DR），</w:t>
      </w:r>
      <w:r>
        <w:rPr>
          <w:rFonts w:cs="宋体"/>
          <w:sz w:val="24"/>
          <w:szCs w:val="24"/>
        </w:rPr>
        <w:t>是全球首位不可逆致盲病因</w:t>
      </w:r>
      <w:r>
        <w:rPr>
          <w:rFonts w:hint="eastAsia" w:cs="宋体"/>
          <w:sz w:val="24"/>
          <w:szCs w:val="24"/>
          <w:vertAlign w:val="superscript"/>
        </w:rPr>
        <w:fldChar w:fldCharType="begin"/>
      </w:r>
      <w:r>
        <w:rPr>
          <w:rFonts w:hint="eastAsia" w:cs="宋体"/>
          <w:sz w:val="24"/>
          <w:szCs w:val="24"/>
          <w:vertAlign w:val="superscript"/>
        </w:rPr>
        <w:instrText xml:space="preserve"> REF _Ref31737 \r \h </w:instrText>
      </w:r>
      <w:r>
        <w:rPr>
          <w:rFonts w:hint="eastAsia" w:cs="宋体"/>
          <w:sz w:val="24"/>
          <w:szCs w:val="24"/>
          <w:vertAlign w:val="superscript"/>
        </w:rPr>
        <w:fldChar w:fldCharType="separate"/>
      </w:r>
      <w:r>
        <w:rPr>
          <w:rFonts w:hint="eastAsia" w:cs="宋体"/>
          <w:sz w:val="24"/>
          <w:szCs w:val="24"/>
          <w:vertAlign w:val="superscript"/>
        </w:rPr>
        <w:t>1</w:t>
      </w:r>
      <w:r>
        <w:rPr>
          <w:rFonts w:hint="eastAsia" w:cs="宋体"/>
          <w:sz w:val="24"/>
          <w:szCs w:val="24"/>
          <w:vertAlign w:val="superscript"/>
        </w:rPr>
        <w:fldChar w:fldCharType="end"/>
      </w:r>
      <w:r>
        <w:rPr>
          <w:rFonts w:hint="eastAsia" w:cs="宋体"/>
          <w:sz w:val="24"/>
          <w:szCs w:val="24"/>
          <w:vertAlign w:val="superscript"/>
        </w:rPr>
        <w:t>,</w:t>
      </w:r>
      <w:r>
        <w:rPr>
          <w:rFonts w:hint="eastAsia" w:cs="宋体"/>
          <w:sz w:val="24"/>
          <w:szCs w:val="24"/>
          <w:vertAlign w:val="superscript"/>
        </w:rPr>
        <w:fldChar w:fldCharType="begin"/>
      </w:r>
      <w:r>
        <w:rPr>
          <w:rFonts w:hint="eastAsia" w:cs="宋体"/>
          <w:sz w:val="24"/>
          <w:szCs w:val="24"/>
          <w:vertAlign w:val="superscript"/>
        </w:rPr>
        <w:instrText xml:space="preserve"> REF _Ref31741 \r \h </w:instrText>
      </w:r>
      <w:r>
        <w:rPr>
          <w:rFonts w:hint="eastAsia" w:cs="宋体"/>
          <w:sz w:val="24"/>
          <w:szCs w:val="24"/>
          <w:vertAlign w:val="superscript"/>
        </w:rPr>
        <w:fldChar w:fldCharType="separate"/>
      </w:r>
      <w:r>
        <w:rPr>
          <w:rFonts w:hint="eastAsia" w:cs="宋体"/>
          <w:sz w:val="24"/>
          <w:szCs w:val="24"/>
          <w:vertAlign w:val="superscript"/>
        </w:rPr>
        <w:t>2</w:t>
      </w:r>
      <w:r>
        <w:rPr>
          <w:rFonts w:hint="eastAsia" w:cs="宋体"/>
          <w:sz w:val="24"/>
          <w:szCs w:val="24"/>
          <w:vertAlign w:val="superscript"/>
        </w:rPr>
        <w:fldChar w:fldCharType="end"/>
      </w:r>
      <w:r>
        <w:rPr>
          <w:rFonts w:hint="eastAsia" w:cs="宋体"/>
          <w:sz w:val="24"/>
          <w:szCs w:val="24"/>
        </w:rPr>
        <w:t>。随着我国人口老龄化加剧和糖尿病患病率持续攀升，其疾病负担日益沉重，已成为重大公共卫生挑战。当前临床诊疗正从准确诊断向精准治疗决策深刻转型，</w:t>
      </w:r>
      <w:r>
        <w:rPr>
          <w:rFonts w:cs="宋体"/>
          <w:sz w:val="24"/>
          <w:szCs w:val="24"/>
        </w:rPr>
        <w:t>但个体疗效的显著差异使传统经验性治疗模式难以为继</w:t>
      </w:r>
      <w:r>
        <w:rPr>
          <w:rFonts w:hint="eastAsia" w:cs="宋体"/>
          <w:sz w:val="24"/>
          <w:szCs w:val="24"/>
          <w:vertAlign w:val="superscript"/>
        </w:rPr>
        <w:fldChar w:fldCharType="begin"/>
      </w:r>
      <w:r>
        <w:rPr>
          <w:rFonts w:hint="eastAsia" w:cs="宋体"/>
          <w:sz w:val="24"/>
          <w:szCs w:val="24"/>
          <w:vertAlign w:val="superscript"/>
        </w:rPr>
        <w:instrText xml:space="preserve"> REF _Ref31865 \r \h </w:instrText>
      </w:r>
      <w:r>
        <w:rPr>
          <w:rFonts w:hint="eastAsia" w:cs="宋体"/>
          <w:sz w:val="24"/>
          <w:szCs w:val="24"/>
          <w:vertAlign w:val="superscript"/>
        </w:rPr>
        <w:fldChar w:fldCharType="separate"/>
      </w:r>
      <w:r>
        <w:rPr>
          <w:rFonts w:hint="eastAsia" w:cs="宋体"/>
          <w:sz w:val="24"/>
          <w:szCs w:val="24"/>
          <w:vertAlign w:val="superscript"/>
        </w:rPr>
        <w:t>3</w:t>
      </w:r>
      <w:r>
        <w:rPr>
          <w:rFonts w:hint="eastAsia" w:cs="宋体"/>
          <w:sz w:val="24"/>
          <w:szCs w:val="24"/>
          <w:vertAlign w:val="superscript"/>
        </w:rPr>
        <w:fldChar w:fldCharType="end"/>
      </w:r>
      <w:r>
        <w:rPr>
          <w:rFonts w:hint="eastAsia" w:cs="宋体"/>
          <w:sz w:val="24"/>
          <w:szCs w:val="24"/>
        </w:rPr>
        <w:t>。精准预判个体化疗效，是实现治疗策略动态优化、医疗资源合理配置、避免治疗不足或过度的关键前提</w:t>
      </w:r>
      <w:r>
        <w:rPr>
          <w:rFonts w:hint="eastAsia" w:cs="宋体"/>
          <w:sz w:val="24"/>
          <w:szCs w:val="24"/>
          <w:vertAlign w:val="superscript"/>
        </w:rPr>
        <w:fldChar w:fldCharType="begin"/>
      </w:r>
      <w:r>
        <w:rPr>
          <w:rFonts w:hint="eastAsia" w:cs="宋体"/>
          <w:sz w:val="24"/>
          <w:szCs w:val="24"/>
          <w:vertAlign w:val="superscript"/>
        </w:rPr>
        <w:instrText xml:space="preserve"> REF _Ref31881 \r \h </w:instrText>
      </w:r>
      <w:r>
        <w:rPr>
          <w:rFonts w:hint="eastAsia" w:cs="宋体"/>
          <w:sz w:val="24"/>
          <w:szCs w:val="24"/>
          <w:vertAlign w:val="superscript"/>
        </w:rPr>
        <w:fldChar w:fldCharType="separate"/>
      </w:r>
      <w:r>
        <w:rPr>
          <w:rFonts w:hint="eastAsia" w:cs="宋体"/>
          <w:sz w:val="24"/>
          <w:szCs w:val="24"/>
          <w:vertAlign w:val="superscript"/>
        </w:rPr>
        <w:t>4</w:t>
      </w:r>
      <w:r>
        <w:rPr>
          <w:rFonts w:hint="eastAsia" w:cs="宋体"/>
          <w:sz w:val="24"/>
          <w:szCs w:val="24"/>
          <w:vertAlign w:val="superscript"/>
        </w:rPr>
        <w:fldChar w:fldCharType="end"/>
      </w:r>
      <w:r>
        <w:rPr>
          <w:rFonts w:hint="eastAsia" w:cs="宋体"/>
          <w:sz w:val="24"/>
          <w:szCs w:val="24"/>
        </w:rPr>
        <w:t>。本研究紧密契合《“健康中国2030”规划纲要》中人工智能医疗应用的战略导向。构建客观、精准的疗效预测智能体系统</w:t>
      </w:r>
      <w:r>
        <w:rPr>
          <w:rFonts w:hint="eastAsia" w:cs="宋体"/>
          <w:sz w:val="24"/>
          <w:szCs w:val="24"/>
          <w:vertAlign w:val="superscript"/>
        </w:rPr>
        <w:fldChar w:fldCharType="begin"/>
      </w:r>
      <w:r>
        <w:rPr>
          <w:rFonts w:hint="eastAsia" w:cs="宋体"/>
          <w:sz w:val="24"/>
          <w:szCs w:val="24"/>
          <w:vertAlign w:val="superscript"/>
        </w:rPr>
        <w:instrText xml:space="preserve"> REF _Ref31986 \r \h </w:instrText>
      </w:r>
      <w:r>
        <w:rPr>
          <w:rFonts w:hint="eastAsia" w:cs="宋体"/>
          <w:sz w:val="24"/>
          <w:szCs w:val="24"/>
          <w:vertAlign w:val="superscript"/>
        </w:rPr>
        <w:fldChar w:fldCharType="separate"/>
      </w:r>
      <w:r>
        <w:rPr>
          <w:rFonts w:hint="eastAsia" w:cs="宋体"/>
          <w:sz w:val="24"/>
          <w:szCs w:val="24"/>
          <w:vertAlign w:val="superscript"/>
        </w:rPr>
        <w:t>5</w:t>
      </w:r>
      <w:r>
        <w:rPr>
          <w:rFonts w:hint="eastAsia" w:cs="宋体"/>
          <w:sz w:val="24"/>
          <w:szCs w:val="24"/>
          <w:vertAlign w:val="superscript"/>
        </w:rPr>
        <w:fldChar w:fldCharType="end"/>
      </w:r>
      <w:r>
        <w:rPr>
          <w:rFonts w:hint="eastAsia" w:cs="宋体"/>
          <w:sz w:val="24"/>
          <w:szCs w:val="24"/>
        </w:rPr>
        <w:t>，是推动眼底疾病诊疗从经验驱动向数据智能驱动转型的核心突破口，对于延缓疾病进展、降低致盲率、提升国民视觉健康水平具有至关重要的战略意义。</w:t>
      </w:r>
    </w:p>
    <w:p w14:paraId="18D49479">
      <w:pPr>
        <w:snapToGrid w:val="0"/>
        <w:spacing w:line="360" w:lineRule="auto"/>
        <w:ind w:firstLine="480" w:firstLineChars="200"/>
        <w:rPr>
          <w:rFonts w:cs="宋体"/>
          <w:sz w:val="24"/>
          <w:szCs w:val="24"/>
        </w:rPr>
      </w:pPr>
      <w:r>
        <w:rPr>
          <w:rFonts w:hint="eastAsia" w:cs="宋体"/>
          <w:sz w:val="24"/>
          <w:szCs w:val="24"/>
        </w:rPr>
        <w:t>致盲性眼底疾病的疗效预测智能体系统，在标准治疗决策、慢病管理及医疗资源优化等关键场景中展现出巨大潜力</w:t>
      </w:r>
      <w:r>
        <w:rPr>
          <w:rFonts w:hint="eastAsia" w:cs="宋体"/>
          <w:sz w:val="24"/>
          <w:szCs w:val="24"/>
          <w:vertAlign w:val="superscript"/>
        </w:rPr>
        <w:fldChar w:fldCharType="begin"/>
      </w:r>
      <w:r>
        <w:rPr>
          <w:rFonts w:hint="eastAsia" w:cs="宋体"/>
          <w:sz w:val="24"/>
          <w:szCs w:val="24"/>
          <w:vertAlign w:val="superscript"/>
        </w:rPr>
        <w:instrText xml:space="preserve"> REF _Ref31865 \r \h </w:instrText>
      </w:r>
      <w:r>
        <w:rPr>
          <w:rFonts w:hint="eastAsia" w:cs="宋体"/>
          <w:sz w:val="24"/>
          <w:szCs w:val="24"/>
          <w:vertAlign w:val="superscript"/>
        </w:rPr>
        <w:fldChar w:fldCharType="separate"/>
      </w:r>
      <w:r>
        <w:rPr>
          <w:rFonts w:hint="eastAsia" w:cs="宋体"/>
          <w:sz w:val="24"/>
          <w:szCs w:val="24"/>
          <w:vertAlign w:val="superscript"/>
        </w:rPr>
        <w:t>3</w:t>
      </w:r>
      <w:r>
        <w:rPr>
          <w:rFonts w:hint="eastAsia" w:cs="宋体"/>
          <w:sz w:val="24"/>
          <w:szCs w:val="24"/>
          <w:vertAlign w:val="superscript"/>
        </w:rPr>
        <w:fldChar w:fldCharType="end"/>
      </w:r>
      <w:r>
        <w:rPr>
          <w:rFonts w:hint="eastAsia" w:cs="宋体"/>
          <w:sz w:val="24"/>
          <w:szCs w:val="24"/>
          <w:vertAlign w:val="superscript"/>
        </w:rPr>
        <w:t>,</w:t>
      </w:r>
      <w:r>
        <w:rPr>
          <w:rFonts w:hint="eastAsia" w:cs="宋体"/>
          <w:sz w:val="24"/>
          <w:szCs w:val="24"/>
          <w:vertAlign w:val="superscript"/>
        </w:rPr>
        <w:fldChar w:fldCharType="begin"/>
      </w:r>
      <w:r>
        <w:rPr>
          <w:rFonts w:hint="eastAsia" w:cs="宋体"/>
          <w:sz w:val="24"/>
          <w:szCs w:val="24"/>
          <w:vertAlign w:val="superscript"/>
        </w:rPr>
        <w:instrText xml:space="preserve"> REF _Ref32015 \r \h </w:instrText>
      </w:r>
      <w:r>
        <w:rPr>
          <w:rFonts w:hint="eastAsia" w:cs="宋体"/>
          <w:sz w:val="24"/>
          <w:szCs w:val="24"/>
          <w:vertAlign w:val="superscript"/>
        </w:rPr>
        <w:fldChar w:fldCharType="separate"/>
      </w:r>
      <w:r>
        <w:rPr>
          <w:rFonts w:hint="eastAsia" w:cs="宋体"/>
          <w:sz w:val="24"/>
          <w:szCs w:val="24"/>
          <w:vertAlign w:val="superscript"/>
        </w:rPr>
        <w:t>6</w:t>
      </w:r>
      <w:r>
        <w:rPr>
          <w:rFonts w:hint="eastAsia" w:cs="宋体"/>
          <w:sz w:val="24"/>
          <w:szCs w:val="24"/>
          <w:vertAlign w:val="superscript"/>
        </w:rPr>
        <w:fldChar w:fldCharType="end"/>
      </w:r>
      <w:r>
        <w:rPr>
          <w:rFonts w:hint="eastAsia" w:cs="宋体"/>
          <w:sz w:val="24"/>
          <w:szCs w:val="24"/>
        </w:rPr>
        <w:t>。作为数字化预后评估工具，该系统可为临床医生提供超越主观经验的量化决策依据；通过早期识别治疗反应不佳的高风险患者，实现治疗方案的动态调整与早期干预，显著降低不可逆视力损伤发生率</w:t>
      </w:r>
      <w:r>
        <w:rPr>
          <w:rFonts w:hint="eastAsia" w:cs="宋体"/>
          <w:sz w:val="24"/>
          <w:szCs w:val="24"/>
          <w:vertAlign w:val="superscript"/>
        </w:rPr>
        <w:fldChar w:fldCharType="begin"/>
      </w:r>
      <w:r>
        <w:rPr>
          <w:rFonts w:hint="eastAsia" w:cs="宋体"/>
          <w:sz w:val="24"/>
          <w:szCs w:val="24"/>
          <w:vertAlign w:val="superscript"/>
        </w:rPr>
        <w:instrText xml:space="preserve"> REF _Ref32116 \r \h </w:instrText>
      </w:r>
      <w:r>
        <w:rPr>
          <w:rFonts w:hint="eastAsia" w:cs="宋体"/>
          <w:sz w:val="24"/>
          <w:szCs w:val="24"/>
          <w:vertAlign w:val="superscript"/>
        </w:rPr>
        <w:fldChar w:fldCharType="separate"/>
      </w:r>
      <w:r>
        <w:rPr>
          <w:rFonts w:hint="eastAsia" w:cs="宋体"/>
          <w:sz w:val="24"/>
          <w:szCs w:val="24"/>
          <w:vertAlign w:val="superscript"/>
        </w:rPr>
        <w:t>7</w:t>
      </w:r>
      <w:r>
        <w:rPr>
          <w:rFonts w:hint="eastAsia" w:cs="宋体"/>
          <w:sz w:val="24"/>
          <w:szCs w:val="24"/>
          <w:vertAlign w:val="superscript"/>
        </w:rPr>
        <w:fldChar w:fldCharType="end"/>
      </w:r>
      <w:r>
        <w:rPr>
          <w:rFonts w:hint="eastAsia" w:cs="宋体"/>
          <w:sz w:val="24"/>
          <w:szCs w:val="24"/>
          <w:vertAlign w:val="superscript"/>
        </w:rPr>
        <w:t>,</w:t>
      </w:r>
      <w:r>
        <w:rPr>
          <w:rFonts w:hint="eastAsia" w:cs="宋体"/>
          <w:sz w:val="24"/>
          <w:szCs w:val="24"/>
          <w:vertAlign w:val="superscript"/>
        </w:rPr>
        <w:fldChar w:fldCharType="begin"/>
      </w:r>
      <w:r>
        <w:rPr>
          <w:rFonts w:hint="eastAsia" w:cs="宋体"/>
          <w:sz w:val="24"/>
          <w:szCs w:val="24"/>
          <w:vertAlign w:val="superscript"/>
        </w:rPr>
        <w:instrText xml:space="preserve"> REF _Ref32074 \r \h </w:instrText>
      </w:r>
      <w:r>
        <w:rPr>
          <w:rFonts w:hint="eastAsia" w:cs="宋体"/>
          <w:sz w:val="24"/>
          <w:szCs w:val="24"/>
          <w:vertAlign w:val="superscript"/>
        </w:rPr>
        <w:fldChar w:fldCharType="separate"/>
      </w:r>
      <w:r>
        <w:rPr>
          <w:rFonts w:hint="eastAsia" w:cs="宋体"/>
          <w:sz w:val="24"/>
          <w:szCs w:val="24"/>
          <w:vertAlign w:val="superscript"/>
        </w:rPr>
        <w:t>8</w:t>
      </w:r>
      <w:r>
        <w:rPr>
          <w:rFonts w:hint="eastAsia" w:cs="宋体"/>
          <w:sz w:val="24"/>
          <w:szCs w:val="24"/>
          <w:vertAlign w:val="superscript"/>
        </w:rPr>
        <w:fldChar w:fldCharType="end"/>
      </w:r>
      <w:r>
        <w:rPr>
          <w:rFonts w:hint="eastAsia" w:cs="宋体"/>
          <w:sz w:val="24"/>
          <w:szCs w:val="24"/>
        </w:rPr>
        <w:t>。然而，尽管应用前景广阔，现有技术在实现多模态异构数据融合与长时序动态建模方面仍面临根本性瓶颈</w:t>
      </w:r>
      <w:r>
        <w:rPr>
          <w:rFonts w:hint="eastAsia" w:cs="宋体"/>
          <w:sz w:val="24"/>
          <w:szCs w:val="24"/>
          <w:vertAlign w:val="superscript"/>
        </w:rPr>
        <w:fldChar w:fldCharType="begin"/>
      </w:r>
      <w:r>
        <w:rPr>
          <w:rFonts w:hint="eastAsia" w:cs="宋体"/>
          <w:sz w:val="24"/>
          <w:szCs w:val="24"/>
          <w:vertAlign w:val="superscript"/>
        </w:rPr>
        <w:instrText xml:space="preserve"> REF _Ref31986 \r \h </w:instrText>
      </w:r>
      <w:r>
        <w:rPr>
          <w:rFonts w:hint="eastAsia" w:cs="宋体"/>
          <w:sz w:val="24"/>
          <w:szCs w:val="24"/>
          <w:vertAlign w:val="superscript"/>
        </w:rPr>
        <w:fldChar w:fldCharType="separate"/>
      </w:r>
      <w:r>
        <w:rPr>
          <w:rFonts w:hint="eastAsia" w:cs="宋体"/>
          <w:sz w:val="24"/>
          <w:szCs w:val="24"/>
          <w:vertAlign w:val="superscript"/>
        </w:rPr>
        <w:t>5</w:t>
      </w:r>
      <w:r>
        <w:rPr>
          <w:rFonts w:hint="eastAsia" w:cs="宋体"/>
          <w:sz w:val="24"/>
          <w:szCs w:val="24"/>
          <w:vertAlign w:val="superscript"/>
        </w:rPr>
        <w:fldChar w:fldCharType="end"/>
      </w:r>
      <w:r>
        <w:rPr>
          <w:rFonts w:hint="eastAsia" w:cs="宋体"/>
          <w:sz w:val="24"/>
          <w:szCs w:val="24"/>
          <w:vertAlign w:val="superscript"/>
        </w:rPr>
        <w:t>,</w:t>
      </w:r>
      <w:r>
        <w:rPr>
          <w:rFonts w:hint="eastAsia" w:cs="宋体"/>
          <w:sz w:val="24"/>
          <w:szCs w:val="24"/>
          <w:vertAlign w:val="superscript"/>
        </w:rPr>
        <w:fldChar w:fldCharType="begin"/>
      </w:r>
      <w:r>
        <w:rPr>
          <w:rFonts w:hint="eastAsia" w:cs="宋体"/>
          <w:sz w:val="24"/>
          <w:szCs w:val="24"/>
          <w:vertAlign w:val="superscript"/>
        </w:rPr>
        <w:instrText xml:space="preserve"> REF _Ref32195 \r \h </w:instrText>
      </w:r>
      <w:r>
        <w:rPr>
          <w:rFonts w:hint="eastAsia" w:cs="宋体"/>
          <w:sz w:val="24"/>
          <w:szCs w:val="24"/>
          <w:vertAlign w:val="superscript"/>
        </w:rPr>
        <w:fldChar w:fldCharType="separate"/>
      </w:r>
      <w:r>
        <w:rPr>
          <w:rFonts w:hint="eastAsia" w:cs="宋体"/>
          <w:sz w:val="24"/>
          <w:szCs w:val="24"/>
          <w:vertAlign w:val="superscript"/>
        </w:rPr>
        <w:t>9</w:t>
      </w:r>
      <w:r>
        <w:rPr>
          <w:rFonts w:hint="eastAsia" w:cs="宋体"/>
          <w:sz w:val="24"/>
          <w:szCs w:val="24"/>
          <w:vertAlign w:val="superscript"/>
        </w:rPr>
        <w:fldChar w:fldCharType="end"/>
      </w:r>
      <w:r>
        <w:rPr>
          <w:rFonts w:hint="eastAsia" w:cs="宋体"/>
          <w:sz w:val="24"/>
          <w:szCs w:val="24"/>
        </w:rPr>
        <w:t>。当前主流的基于基线数据的静态预测范式，既缺失跨影像、文本与功能检查的多模态融合机制</w:t>
      </w:r>
      <w:r>
        <w:rPr>
          <w:rFonts w:hint="eastAsia" w:cs="宋体"/>
          <w:sz w:val="24"/>
          <w:szCs w:val="24"/>
          <w:vertAlign w:val="superscript"/>
        </w:rPr>
        <w:fldChar w:fldCharType="begin"/>
      </w:r>
      <w:r>
        <w:rPr>
          <w:rFonts w:hint="eastAsia" w:cs="宋体"/>
          <w:sz w:val="24"/>
          <w:szCs w:val="24"/>
          <w:vertAlign w:val="superscript"/>
        </w:rPr>
        <w:instrText xml:space="preserve"> REF _Ref32221 \r \h </w:instrText>
      </w:r>
      <w:r>
        <w:rPr>
          <w:rFonts w:hint="eastAsia" w:cs="宋体"/>
          <w:sz w:val="24"/>
          <w:szCs w:val="24"/>
          <w:vertAlign w:val="superscript"/>
        </w:rPr>
        <w:fldChar w:fldCharType="separate"/>
      </w:r>
      <w:r>
        <w:rPr>
          <w:rFonts w:hint="eastAsia" w:cs="宋体"/>
          <w:sz w:val="24"/>
          <w:szCs w:val="24"/>
          <w:vertAlign w:val="superscript"/>
        </w:rPr>
        <w:t>10</w:t>
      </w:r>
      <w:r>
        <w:rPr>
          <w:rFonts w:hint="eastAsia" w:cs="宋体"/>
          <w:sz w:val="24"/>
          <w:szCs w:val="24"/>
          <w:vertAlign w:val="superscript"/>
        </w:rPr>
        <w:fldChar w:fldCharType="end"/>
      </w:r>
      <w:r>
        <w:rPr>
          <w:rFonts w:hint="eastAsia" w:cs="宋体"/>
          <w:sz w:val="24"/>
          <w:szCs w:val="24"/>
        </w:rPr>
        <w:t>，又因为本质上依赖于单一时间点的截面分析，缺乏对疾病动态演变规律的时序建模能力</w:t>
      </w:r>
      <w:r>
        <w:rPr>
          <w:rFonts w:hint="eastAsia" w:cs="宋体"/>
          <w:sz w:val="24"/>
          <w:szCs w:val="24"/>
          <w:vertAlign w:val="superscript"/>
        </w:rPr>
        <w:fldChar w:fldCharType="begin"/>
      </w:r>
      <w:r>
        <w:rPr>
          <w:rFonts w:hint="eastAsia" w:cs="宋体"/>
          <w:sz w:val="24"/>
          <w:szCs w:val="24"/>
          <w:vertAlign w:val="superscript"/>
        </w:rPr>
        <w:instrText xml:space="preserve"> REF _Ref32195 \r \h </w:instrText>
      </w:r>
      <w:r>
        <w:rPr>
          <w:rFonts w:hint="eastAsia" w:cs="宋体"/>
          <w:sz w:val="24"/>
          <w:szCs w:val="24"/>
          <w:vertAlign w:val="superscript"/>
        </w:rPr>
        <w:fldChar w:fldCharType="separate"/>
      </w:r>
      <w:r>
        <w:rPr>
          <w:rFonts w:hint="eastAsia" w:cs="宋体"/>
          <w:sz w:val="24"/>
          <w:szCs w:val="24"/>
          <w:vertAlign w:val="superscript"/>
        </w:rPr>
        <w:t>9</w:t>
      </w:r>
      <w:r>
        <w:rPr>
          <w:rFonts w:hint="eastAsia" w:cs="宋体"/>
          <w:sz w:val="24"/>
          <w:szCs w:val="24"/>
          <w:vertAlign w:val="superscript"/>
        </w:rPr>
        <w:fldChar w:fldCharType="end"/>
      </w:r>
      <w:r>
        <w:rPr>
          <w:rFonts w:hint="eastAsia" w:cs="宋体"/>
          <w:sz w:val="24"/>
          <w:szCs w:val="24"/>
        </w:rPr>
        <w:t>。这导致其在长期预后推断中易产生忽视病程连续性的预测偏差与时序信息遗忘，难以满足精准医疗对治疗反应长期追踪的严苛要求。</w:t>
      </w:r>
      <w:r>
        <w:rPr>
          <w:rFonts w:hint="eastAsia" w:cs="宋体"/>
          <w:b/>
          <w:bCs/>
          <w:sz w:val="24"/>
          <w:szCs w:val="24"/>
        </w:rPr>
        <w:t>因此，如何突破现有模型在多模态异构数据融合与长时序动态建模上的双重瓶颈，构建能够统一处理多模态异构数据、</w:t>
      </w:r>
      <w:r>
        <w:rPr>
          <w:rFonts w:cs="宋体"/>
          <w:b/>
          <w:bCs/>
          <w:sz w:val="24"/>
          <w:szCs w:val="24"/>
        </w:rPr>
        <w:t>捕捉疾病动态演变规律</w:t>
      </w:r>
      <w:r>
        <w:rPr>
          <w:rFonts w:hint="eastAsia" w:cs="宋体"/>
          <w:b/>
          <w:bCs/>
          <w:sz w:val="24"/>
          <w:szCs w:val="24"/>
        </w:rPr>
        <w:t>、支持多任务协同推演的智能体系统，正是本课题拟攻克的核心科学问题。</w:t>
      </w:r>
    </w:p>
    <w:p w14:paraId="2BF21696">
      <w:pPr>
        <w:snapToGrid w:val="0"/>
        <w:spacing w:line="360" w:lineRule="auto"/>
        <w:ind w:firstLine="480" w:firstLineChars="200"/>
        <w:rPr>
          <w:rFonts w:cs="宋体"/>
          <w:sz w:val="24"/>
          <w:szCs w:val="24"/>
        </w:rPr>
      </w:pPr>
      <w:r>
        <w:rPr>
          <w:rFonts w:hint="eastAsia" w:cs="宋体"/>
          <w:sz w:val="24"/>
          <w:szCs w:val="24"/>
        </w:rPr>
        <w:t>然而，要真正构建模拟临床专家思维、兼具多模态融合与长时序精准的疗效预测智能体系统，仍面临三大核心难题：</w:t>
      </w:r>
      <w:r>
        <w:rPr>
          <w:rFonts w:hint="eastAsia" w:cs="宋体"/>
          <w:b/>
          <w:bCs/>
          <w:sz w:val="24"/>
          <w:szCs w:val="24"/>
        </w:rPr>
        <w:t>其一，多模态数据异构鸿沟与模态缺失难题</w:t>
      </w:r>
      <w:r>
        <w:rPr>
          <w:rFonts w:hint="eastAsia" w:cs="宋体"/>
          <w:sz w:val="24"/>
          <w:szCs w:val="24"/>
          <w:vertAlign w:val="superscript"/>
        </w:rPr>
        <w:fldChar w:fldCharType="begin"/>
      </w:r>
      <w:r>
        <w:rPr>
          <w:rFonts w:hint="eastAsia" w:cs="宋体"/>
          <w:sz w:val="24"/>
          <w:szCs w:val="24"/>
          <w:vertAlign w:val="superscript"/>
        </w:rPr>
        <w:instrText xml:space="preserve"> REF _Ref32221 \r \h </w:instrText>
      </w:r>
      <w:r>
        <w:rPr>
          <w:rFonts w:hint="eastAsia" w:cs="宋体"/>
          <w:sz w:val="24"/>
          <w:szCs w:val="24"/>
          <w:vertAlign w:val="superscript"/>
        </w:rPr>
        <w:fldChar w:fldCharType="separate"/>
      </w:r>
      <w:r>
        <w:rPr>
          <w:rFonts w:hint="eastAsia" w:cs="宋体"/>
          <w:sz w:val="24"/>
          <w:szCs w:val="24"/>
          <w:vertAlign w:val="superscript"/>
        </w:rPr>
        <w:t>10</w:t>
      </w:r>
      <w:r>
        <w:rPr>
          <w:rFonts w:hint="eastAsia" w:cs="宋体"/>
          <w:sz w:val="24"/>
          <w:szCs w:val="24"/>
          <w:vertAlign w:val="superscript"/>
        </w:rPr>
        <w:fldChar w:fldCharType="end"/>
      </w:r>
      <w:r>
        <w:rPr>
          <w:rFonts w:hint="eastAsia" w:cs="宋体"/>
          <w:b/>
          <w:bCs/>
          <w:sz w:val="24"/>
          <w:szCs w:val="24"/>
        </w:rPr>
        <w:t>。</w:t>
      </w:r>
      <w:r>
        <w:rPr>
          <w:rFonts w:hint="eastAsia" w:cs="宋体"/>
          <w:sz w:val="24"/>
          <w:szCs w:val="24"/>
        </w:rPr>
        <w:t>临床数据涵盖影像与文本等多种模态，存在空间非对齐、语义不匹配等问题，且真实随访中数据常出现缺失。现有方法跨模态对齐与缺失表征能力薄弱，难以为长期预测提供高质量的统一数据基座。</w:t>
      </w:r>
      <w:r>
        <w:rPr>
          <w:rFonts w:hint="eastAsia" w:cs="宋体"/>
          <w:b/>
          <w:bCs/>
          <w:sz w:val="24"/>
          <w:szCs w:val="24"/>
        </w:rPr>
        <w:t>其二，全病程动态演变与长期失准难题</w:t>
      </w:r>
      <w:r>
        <w:rPr>
          <w:rFonts w:hint="eastAsia" w:cs="宋体"/>
          <w:sz w:val="24"/>
          <w:szCs w:val="24"/>
          <w:vertAlign w:val="superscript"/>
        </w:rPr>
        <w:fldChar w:fldCharType="begin"/>
      </w:r>
      <w:r>
        <w:rPr>
          <w:rFonts w:hint="eastAsia" w:cs="宋体"/>
          <w:sz w:val="24"/>
          <w:szCs w:val="24"/>
          <w:vertAlign w:val="superscript"/>
        </w:rPr>
        <w:instrText xml:space="preserve"> REF _Ref32195 \r \h </w:instrText>
      </w:r>
      <w:r>
        <w:rPr>
          <w:rFonts w:hint="eastAsia" w:cs="宋体"/>
          <w:sz w:val="24"/>
          <w:szCs w:val="24"/>
          <w:vertAlign w:val="superscript"/>
        </w:rPr>
        <w:fldChar w:fldCharType="separate"/>
      </w:r>
      <w:r>
        <w:rPr>
          <w:rFonts w:hint="eastAsia" w:cs="宋体"/>
          <w:sz w:val="24"/>
          <w:szCs w:val="24"/>
          <w:vertAlign w:val="superscript"/>
        </w:rPr>
        <w:t>9</w:t>
      </w:r>
      <w:r>
        <w:rPr>
          <w:rFonts w:hint="eastAsia" w:cs="宋体"/>
          <w:sz w:val="24"/>
          <w:szCs w:val="24"/>
          <w:vertAlign w:val="superscript"/>
        </w:rPr>
        <w:fldChar w:fldCharType="end"/>
      </w:r>
      <w:r>
        <w:rPr>
          <w:rFonts w:hint="eastAsia" w:cs="宋体"/>
          <w:b/>
          <w:bCs/>
          <w:sz w:val="24"/>
          <w:szCs w:val="24"/>
        </w:rPr>
        <w:t>。</w:t>
      </w:r>
      <w:r>
        <w:rPr>
          <w:rFonts w:hint="eastAsia" w:cs="宋体"/>
          <w:sz w:val="24"/>
          <w:szCs w:val="24"/>
        </w:rPr>
        <w:t>疾病演变具有不规则随访与非线性动态特征，静态模型难以捕捉细微病理演变，导致短期尚可、长期失准，全病程动态建模能力不足是制约长期推断的核心瓶颈。</w:t>
      </w:r>
      <w:r>
        <w:rPr>
          <w:rFonts w:hint="eastAsia" w:cs="宋体"/>
          <w:b/>
          <w:bCs/>
          <w:sz w:val="24"/>
          <w:szCs w:val="24"/>
        </w:rPr>
        <w:t>其三，单一任务决策局限与协同推演难题</w:t>
      </w:r>
      <w:r>
        <w:rPr>
          <w:rFonts w:hint="eastAsia" w:cs="宋体"/>
          <w:sz w:val="24"/>
          <w:szCs w:val="24"/>
          <w:vertAlign w:val="superscript"/>
        </w:rPr>
        <w:fldChar w:fldCharType="begin"/>
      </w:r>
      <w:r>
        <w:rPr>
          <w:rFonts w:hint="eastAsia" w:cs="宋体"/>
          <w:sz w:val="24"/>
          <w:szCs w:val="24"/>
          <w:vertAlign w:val="superscript"/>
        </w:rPr>
        <w:instrText xml:space="preserve"> REF _Ref32348 \r \h </w:instrText>
      </w:r>
      <w:r>
        <w:rPr>
          <w:rFonts w:hint="eastAsia" w:cs="宋体"/>
          <w:sz w:val="24"/>
          <w:szCs w:val="24"/>
          <w:vertAlign w:val="superscript"/>
        </w:rPr>
        <w:fldChar w:fldCharType="separate"/>
      </w:r>
      <w:r>
        <w:rPr>
          <w:rFonts w:hint="eastAsia" w:cs="宋体"/>
          <w:sz w:val="24"/>
          <w:szCs w:val="24"/>
          <w:vertAlign w:val="superscript"/>
        </w:rPr>
        <w:t>11</w:t>
      </w:r>
      <w:r>
        <w:rPr>
          <w:rFonts w:hint="eastAsia" w:cs="宋体"/>
          <w:sz w:val="24"/>
          <w:szCs w:val="24"/>
          <w:vertAlign w:val="superscript"/>
        </w:rPr>
        <w:fldChar w:fldCharType="end"/>
      </w:r>
      <w:r>
        <w:rPr>
          <w:rFonts w:hint="eastAsia" w:cs="宋体"/>
          <w:sz w:val="24"/>
          <w:szCs w:val="24"/>
        </w:rPr>
        <w:t>。现有模型多为单眼病、单任务设计，与临床医生整合多源信息进行综合决策的思维模式相去甚远。如何构建能同时处理多种眼病、协同预测解剖改善、功能恢复与治疗需求的多任务智能体系统，是实现技术落地的关键。</w:t>
      </w:r>
    </w:p>
    <w:p w14:paraId="2E1A38DE">
      <w:pPr>
        <w:snapToGrid w:val="0"/>
        <w:spacing w:line="360" w:lineRule="auto"/>
        <w:ind w:firstLine="480" w:firstLineChars="200"/>
        <w:rPr>
          <w:rFonts w:cs="宋体"/>
          <w:sz w:val="24"/>
          <w:szCs w:val="24"/>
        </w:rPr>
      </w:pPr>
      <w:r>
        <w:rPr>
          <w:rFonts w:hint="eastAsia" w:cs="宋体"/>
          <w:sz w:val="24"/>
          <w:szCs w:val="24"/>
        </w:rPr>
        <w:t>针对上述挑战，本项目提出</w:t>
      </w:r>
      <w:r>
        <w:rPr>
          <w:rFonts w:hint="eastAsia" w:cs="宋体"/>
          <w:b/>
          <w:bCs/>
          <w:sz w:val="24"/>
          <w:szCs w:val="24"/>
        </w:rPr>
        <w:t>多模态生成式对齐、长时序动态建模、多眼病协同推演驱动的智能体构建新范式</w:t>
      </w:r>
      <w:r>
        <w:rPr>
          <w:rFonts w:hint="eastAsia" w:cs="宋体"/>
          <w:sz w:val="24"/>
          <w:szCs w:val="24"/>
        </w:rPr>
        <w:t>，旨在以生成式补全与病理语义对齐解决多模态数据异构缺失，实现从被动整合到主动生成；以Mamba2混合架构与因果约束为核心，将疾病演变规律内化为精准预测策略。</w:t>
      </w:r>
      <w:r>
        <w:rPr>
          <w:rFonts w:hint="eastAsia" w:cs="宋体"/>
          <w:b/>
          <w:bCs/>
          <w:sz w:val="24"/>
          <w:szCs w:val="24"/>
        </w:rPr>
        <w:t>针对多模态异构与缺失难题，构建跨模态对齐与缺失鲁棒的多模态融合基座。</w:t>
      </w:r>
      <w:r>
        <w:rPr>
          <w:rFonts w:hint="eastAsia" w:cs="宋体"/>
          <w:sz w:val="24"/>
          <w:szCs w:val="24"/>
        </w:rPr>
        <w:t>提出病理语义感知的扩散模型框架，利用病态先验生成病理可信的缺失数据，结合对比学习与时序约束学习鲁棒时序表征；提出符号化令牌化与动态时间编码，将多源数据转化为统一序列，结合解剖结构引导与稀疏注意力机制解决像素到语义的精准融合问题。</w:t>
      </w:r>
      <w:r>
        <w:rPr>
          <w:rFonts w:hint="eastAsia" w:cs="宋体"/>
          <w:b/>
          <w:bCs/>
          <w:sz w:val="24"/>
          <w:szCs w:val="24"/>
        </w:rPr>
        <w:t>针对全病程动态演变与长期失准难题，构建Mamba2-UMamba混合多时序预测机制。</w:t>
      </w:r>
      <w:r>
        <w:rPr>
          <w:rFonts w:hint="eastAsia" w:cs="宋体"/>
          <w:sz w:val="24"/>
          <w:szCs w:val="24"/>
        </w:rPr>
        <w:t>构建双维度协同编码主干，Mamba2捕捉全局依赖，UMamba提取局灶性微小演变；建立稀疏混合专家动态交互框架，自适应融合多时间点信息，构建多任务预测头；引入神经符号AI与因果约束，嵌入诊疗指南逻辑增强可解释性。</w:t>
      </w:r>
      <w:r>
        <w:rPr>
          <w:rFonts w:hint="eastAsia" w:cs="宋体"/>
          <w:b/>
          <w:bCs/>
          <w:sz w:val="24"/>
          <w:szCs w:val="24"/>
        </w:rPr>
        <w:t>针对单任务模型局限与多任务协同需求，建立多阶段推理协作智能体。</w:t>
      </w:r>
      <w:r>
        <w:rPr>
          <w:rFonts w:hint="eastAsia" w:cs="宋体"/>
          <w:sz w:val="24"/>
          <w:szCs w:val="24"/>
        </w:rPr>
        <w:t>构建以LLM为核心的自适应调度引擎，通过推理行动闭环模拟临床思维，实现数据补全、疾病分类到模型调用的串联；引入多维归因生成自然语言预后报告，形成预测解释闭环，构建模块化智能体系统。</w:t>
      </w:r>
      <w:r>
        <w:rPr>
          <w:rFonts w:hint="eastAsia" w:cs="宋体"/>
          <w:b/>
          <w:bCs/>
          <w:sz w:val="24"/>
          <w:szCs w:val="24"/>
        </w:rPr>
        <w:t>在临床验证环节，构建主客观双轨量化、多层级人机对比验证范式。</w:t>
      </w:r>
      <w:r>
        <w:rPr>
          <w:rFonts w:hint="eastAsia" w:cs="宋体"/>
          <w:sz w:val="24"/>
          <w:szCs w:val="24"/>
        </w:rPr>
        <w:t>性能阶段融合客观指标与专家主观测试量化评估精度，设计人机对比论证应用效能；转化阶段采用双盲盲审与Likert量表评估报告临床价值，证明其作为预后评估工具与决策支持系统在提升决策精准性与效率方面的价值。</w:t>
      </w:r>
    </w:p>
    <w:p w14:paraId="616B8F82">
      <w:pPr>
        <w:snapToGrid w:val="0"/>
        <w:spacing w:line="360" w:lineRule="auto"/>
        <w:ind w:firstLine="480" w:firstLineChars="200"/>
        <w:rPr>
          <w:rFonts w:cs="宋体"/>
          <w:sz w:val="24"/>
          <w:szCs w:val="24"/>
        </w:rPr>
      </w:pPr>
      <w:r>
        <w:rPr>
          <w:rFonts w:hint="eastAsia" w:cs="宋体"/>
          <w:sz w:val="24"/>
          <w:szCs w:val="24"/>
        </w:rPr>
        <w:t>综上所述，本项目主要创新性贡献体现为：</w:t>
      </w:r>
      <w:r>
        <w:rPr>
          <w:rFonts w:hint="eastAsia" w:cs="宋体"/>
          <w:b/>
          <w:bCs/>
          <w:sz w:val="24"/>
          <w:szCs w:val="24"/>
        </w:rPr>
        <w:t>（1）多模态融合方面</w:t>
      </w:r>
      <w:r>
        <w:rPr>
          <w:rFonts w:hint="eastAsia" w:cs="宋体"/>
          <w:sz w:val="24"/>
          <w:szCs w:val="24"/>
        </w:rPr>
        <w:t>：提出生成式补全与病理语义感知的跨模态对齐机制，实现从被动整合到主动生成的跨越；</w:t>
      </w:r>
      <w:r>
        <w:rPr>
          <w:rFonts w:hint="eastAsia" w:cs="宋体"/>
          <w:b/>
          <w:bCs/>
          <w:sz w:val="24"/>
          <w:szCs w:val="24"/>
        </w:rPr>
        <w:t>（2）长时序建模方面</w:t>
      </w:r>
      <w:r>
        <w:rPr>
          <w:rFonts w:hint="eastAsia" w:cs="宋体"/>
          <w:sz w:val="24"/>
          <w:szCs w:val="24"/>
        </w:rPr>
        <w:t>：提出Mamba2-UMamba混合架构与多任务协同优化的时序预测范式，实现从静态预测到动态演变的跨越；</w:t>
      </w:r>
      <w:r>
        <w:rPr>
          <w:rFonts w:hint="eastAsia" w:cs="宋体"/>
          <w:b/>
          <w:bCs/>
          <w:sz w:val="24"/>
          <w:szCs w:val="24"/>
        </w:rPr>
        <w:t>（3）多任务智能体方面</w:t>
      </w:r>
      <w:r>
        <w:rPr>
          <w:rFonts w:hint="eastAsia" w:cs="宋体"/>
          <w:sz w:val="24"/>
          <w:szCs w:val="24"/>
        </w:rPr>
        <w:t>：提出推理行动驱动的多阶段协作智能体架构，实现从单眼病单模型到泛化协作决策的跨越；</w:t>
      </w:r>
      <w:r>
        <w:rPr>
          <w:rFonts w:hint="eastAsia" w:cs="宋体"/>
          <w:b/>
          <w:bCs/>
          <w:sz w:val="24"/>
          <w:szCs w:val="24"/>
        </w:rPr>
        <w:t>（4）临床验证方面：</w:t>
      </w:r>
      <w:r>
        <w:rPr>
          <w:rFonts w:hint="eastAsia" w:cs="宋体"/>
          <w:sz w:val="24"/>
          <w:szCs w:val="24"/>
        </w:rPr>
        <w:t>构建主客观双轨量化与人机多层级对比的临床验证范式，显著提升眼科医疗的智能化水平与临床信任度。</w:t>
      </w:r>
    </w:p>
    <w:p w14:paraId="1402C6A2">
      <w:pPr>
        <w:snapToGrid w:val="0"/>
        <w:spacing w:line="360" w:lineRule="auto"/>
        <w:ind w:firstLine="480" w:firstLineChars="200"/>
        <w:rPr>
          <w:rFonts w:cs="宋体"/>
          <w:sz w:val="24"/>
          <w:szCs w:val="24"/>
        </w:rPr>
      </w:pPr>
    </w:p>
    <w:p w14:paraId="1F528D44">
      <w:pPr>
        <w:snapToGrid w:val="0"/>
        <w:spacing w:line="360" w:lineRule="auto"/>
        <w:rPr>
          <w:rFonts w:cs="楷体_GB2312"/>
          <w:b/>
          <w:bCs/>
          <w:sz w:val="28"/>
          <w:szCs w:val="28"/>
        </w:rPr>
      </w:pPr>
      <w:r>
        <w:rPr>
          <w:rFonts w:hint="eastAsia" w:cs="楷体_GB2312"/>
          <w:b/>
          <w:bCs/>
          <w:sz w:val="28"/>
          <w:szCs w:val="28"/>
        </w:rPr>
        <w:t xml:space="preserve">1.2 国内外研究现状 </w:t>
      </w:r>
    </w:p>
    <w:p w14:paraId="5DB6775F">
      <w:pPr>
        <w:snapToGrid w:val="0"/>
        <w:spacing w:line="360" w:lineRule="auto"/>
        <w:rPr>
          <w:rFonts w:cs="楷体_GB2312"/>
          <w:b/>
          <w:bCs/>
          <w:sz w:val="24"/>
          <w:szCs w:val="24"/>
        </w:rPr>
      </w:pPr>
      <w:r>
        <w:rPr>
          <w:rFonts w:hint="eastAsia" w:cs="楷体_GB2312"/>
          <w:b/>
          <w:bCs/>
          <w:sz w:val="24"/>
          <w:szCs w:val="24"/>
        </w:rPr>
        <w:t xml:space="preserve">1.2.1 </w:t>
      </w:r>
      <w:r>
        <w:rPr>
          <w:b/>
          <w:bCs/>
          <w:sz w:val="24"/>
          <w:szCs w:val="24"/>
        </w:rPr>
        <w:t>致盲性眼底疾病疗效预测</w:t>
      </w:r>
      <w:r>
        <w:rPr>
          <w:rFonts w:hint="eastAsia" w:cs="楷体_GB2312"/>
          <w:b/>
          <w:bCs/>
          <w:sz w:val="24"/>
          <w:szCs w:val="24"/>
        </w:rPr>
        <w:t>研究现状</w:t>
      </w:r>
    </w:p>
    <w:p w14:paraId="68ECCF6B">
      <w:pPr>
        <w:spacing w:line="360" w:lineRule="auto"/>
        <w:ind w:firstLine="480" w:firstLineChars="200"/>
        <w:rPr>
          <w:rFonts w:cs="宋体"/>
          <w:sz w:val="24"/>
          <w:szCs w:val="24"/>
        </w:rPr>
      </w:pPr>
      <w:r>
        <w:rPr>
          <w:rFonts w:hint="eastAsia" w:cs="宋体"/>
          <w:sz w:val="24"/>
          <w:szCs w:val="24"/>
        </w:rPr>
        <w:t>近年来，面向致盲性眼底疾病的疗效预测研究取得显著进展，正逐步从单一模态、静态诊断向多模态融合与纵向预测方向演进。</w:t>
      </w:r>
      <w:r>
        <w:rPr>
          <w:rFonts w:hint="eastAsia" w:cs="宋体"/>
          <w:b/>
          <w:bCs/>
          <w:sz w:val="24"/>
          <w:szCs w:val="24"/>
        </w:rPr>
        <w:t>在模型构建层面，</w:t>
      </w:r>
      <w:r>
        <w:rPr>
          <w:rFonts w:hint="eastAsia" w:cs="宋体"/>
          <w:sz w:val="24"/>
          <w:szCs w:val="24"/>
        </w:rPr>
        <w:t>本团队提出了KongMing多任务预测模型和TSNet多任务网络，分别实现抗VEGF治疗视觉功能与解剖结构预后的联合预测</w:t>
      </w:r>
      <w:r>
        <w:rPr>
          <w:rFonts w:hint="eastAsia" w:cs="宋体"/>
          <w:b/>
          <w:bCs/>
          <w:i/>
          <w:iCs/>
          <w:sz w:val="24"/>
          <w:szCs w:val="24"/>
        </w:rPr>
        <w:t>（The Lancet Digital Health 2026，申请人为共同一作）</w:t>
      </w:r>
      <w:r>
        <w:rPr>
          <w:rFonts w:hint="eastAsia" w:cs="宋体"/>
          <w:sz w:val="24"/>
          <w:szCs w:val="24"/>
          <w:vertAlign w:val="superscript"/>
        </w:rPr>
        <w:fldChar w:fldCharType="begin"/>
      </w:r>
      <w:r>
        <w:rPr>
          <w:rFonts w:hint="eastAsia" w:cs="宋体"/>
          <w:sz w:val="24"/>
          <w:szCs w:val="24"/>
          <w:vertAlign w:val="superscript"/>
        </w:rPr>
        <w:instrText xml:space="preserve"> REF _Ref32423 \r \h </w:instrText>
      </w:r>
      <w:r>
        <w:rPr>
          <w:rFonts w:hint="eastAsia" w:cs="宋体"/>
          <w:sz w:val="24"/>
          <w:szCs w:val="24"/>
          <w:vertAlign w:val="superscript"/>
        </w:rPr>
        <w:fldChar w:fldCharType="separate"/>
      </w:r>
      <w:r>
        <w:rPr>
          <w:rFonts w:hint="eastAsia" w:cs="宋体"/>
          <w:sz w:val="24"/>
          <w:szCs w:val="24"/>
          <w:vertAlign w:val="superscript"/>
        </w:rPr>
        <w:t>12</w:t>
      </w:r>
      <w:r>
        <w:rPr>
          <w:rFonts w:hint="eastAsia" w:cs="宋体"/>
          <w:sz w:val="24"/>
          <w:szCs w:val="24"/>
          <w:vertAlign w:val="superscript"/>
        </w:rPr>
        <w:fldChar w:fldCharType="end"/>
      </w:r>
      <w:r>
        <w:rPr>
          <w:rFonts w:hint="eastAsia" w:cs="宋体"/>
          <w:sz w:val="24"/>
          <w:szCs w:val="24"/>
        </w:rPr>
        <w:t>，以及糖尿病视网膜病变分级与病灶分割多任务协同</w:t>
      </w:r>
      <w:r>
        <w:rPr>
          <w:rFonts w:hint="eastAsia" w:cs="宋体"/>
          <w:b/>
          <w:bCs/>
          <w:i/>
          <w:iCs/>
          <w:sz w:val="24"/>
          <w:szCs w:val="24"/>
        </w:rPr>
        <w:t>（ACM TOMM, The Visual Computer 2024，申请人为独立一作）</w:t>
      </w:r>
      <w:r>
        <w:rPr>
          <w:rFonts w:hint="eastAsia" w:cs="宋体"/>
          <w:sz w:val="24"/>
          <w:szCs w:val="24"/>
          <w:vertAlign w:val="superscript"/>
        </w:rPr>
        <w:fldChar w:fldCharType="begin"/>
      </w:r>
      <w:r>
        <w:rPr>
          <w:rFonts w:hint="eastAsia" w:cs="宋体"/>
          <w:sz w:val="24"/>
          <w:szCs w:val="24"/>
          <w:vertAlign w:val="superscript"/>
        </w:rPr>
        <w:instrText xml:space="preserve"> REF _Ref32446 \r \h </w:instrText>
      </w:r>
      <w:r>
        <w:rPr>
          <w:rFonts w:hint="eastAsia" w:cs="宋体"/>
          <w:sz w:val="24"/>
          <w:szCs w:val="24"/>
          <w:vertAlign w:val="superscript"/>
        </w:rPr>
        <w:fldChar w:fldCharType="separate"/>
      </w:r>
      <w:r>
        <w:rPr>
          <w:rFonts w:hint="eastAsia" w:cs="宋体"/>
          <w:sz w:val="24"/>
          <w:szCs w:val="24"/>
          <w:vertAlign w:val="superscript"/>
        </w:rPr>
        <w:t>13</w:t>
      </w:r>
      <w:r>
        <w:rPr>
          <w:rFonts w:hint="eastAsia" w:cs="宋体"/>
          <w:sz w:val="24"/>
          <w:szCs w:val="24"/>
          <w:vertAlign w:val="superscript"/>
        </w:rPr>
        <w:fldChar w:fldCharType="end"/>
      </w:r>
      <w:r>
        <w:rPr>
          <w:rFonts w:hint="eastAsia" w:cs="宋体"/>
          <w:sz w:val="24"/>
          <w:szCs w:val="24"/>
          <w:vertAlign w:val="superscript"/>
        </w:rPr>
        <w:t>,</w:t>
      </w:r>
      <w:r>
        <w:rPr>
          <w:rFonts w:hint="eastAsia" w:cs="宋体"/>
          <w:sz w:val="24"/>
          <w:szCs w:val="24"/>
          <w:vertAlign w:val="superscript"/>
        </w:rPr>
        <w:fldChar w:fldCharType="begin"/>
      </w:r>
      <w:r>
        <w:rPr>
          <w:rFonts w:hint="eastAsia" w:cs="宋体"/>
          <w:sz w:val="24"/>
          <w:szCs w:val="24"/>
          <w:vertAlign w:val="superscript"/>
        </w:rPr>
        <w:instrText xml:space="preserve"> REF _Ref31136 \r \h </w:instrText>
      </w:r>
      <w:r>
        <w:rPr>
          <w:rFonts w:hint="eastAsia" w:cs="宋体"/>
          <w:sz w:val="24"/>
          <w:szCs w:val="24"/>
          <w:vertAlign w:val="superscript"/>
        </w:rPr>
        <w:fldChar w:fldCharType="separate"/>
      </w:r>
      <w:r>
        <w:rPr>
          <w:rFonts w:hint="eastAsia" w:cs="宋体"/>
          <w:sz w:val="24"/>
          <w:szCs w:val="24"/>
          <w:vertAlign w:val="superscript"/>
        </w:rPr>
        <w:t>14</w:t>
      </w:r>
      <w:r>
        <w:rPr>
          <w:rFonts w:hint="eastAsia" w:cs="宋体"/>
          <w:sz w:val="24"/>
          <w:szCs w:val="24"/>
          <w:vertAlign w:val="superscript"/>
        </w:rPr>
        <w:fldChar w:fldCharType="end"/>
      </w:r>
      <w:r>
        <w:rPr>
          <w:rFonts w:hint="eastAsia" w:cs="宋体"/>
          <w:sz w:val="24"/>
          <w:szCs w:val="24"/>
        </w:rPr>
        <w:t>。Jung等构建基于DenseNet201的深度学习模型，利用OCT影像预测新生血管性AMD患者在抗VEGF治疗后3个月内的复发风险</w:t>
      </w:r>
      <w:r>
        <w:rPr>
          <w:rFonts w:hint="eastAsia" w:cs="宋体"/>
          <w:sz w:val="24"/>
          <w:szCs w:val="24"/>
          <w:vertAlign w:val="superscript"/>
        </w:rPr>
        <w:fldChar w:fldCharType="begin"/>
      </w:r>
      <w:r>
        <w:rPr>
          <w:rFonts w:hint="eastAsia" w:cs="宋体"/>
          <w:sz w:val="24"/>
          <w:szCs w:val="24"/>
          <w:vertAlign w:val="superscript"/>
        </w:rPr>
        <w:instrText xml:space="preserve"> REF _Ref32475 \r \h </w:instrText>
      </w:r>
      <w:r>
        <w:rPr>
          <w:rFonts w:hint="eastAsia" w:cs="宋体"/>
          <w:sz w:val="24"/>
          <w:szCs w:val="24"/>
          <w:vertAlign w:val="superscript"/>
        </w:rPr>
        <w:fldChar w:fldCharType="separate"/>
      </w:r>
      <w:r>
        <w:rPr>
          <w:rFonts w:hint="eastAsia" w:cs="宋体"/>
          <w:sz w:val="24"/>
          <w:szCs w:val="24"/>
          <w:vertAlign w:val="superscript"/>
        </w:rPr>
        <w:t>15</w:t>
      </w:r>
      <w:r>
        <w:rPr>
          <w:rFonts w:hint="eastAsia" w:cs="宋体"/>
          <w:sz w:val="24"/>
          <w:szCs w:val="24"/>
          <w:vertAlign w:val="superscript"/>
        </w:rPr>
        <w:fldChar w:fldCharType="end"/>
      </w:r>
      <w:r>
        <w:rPr>
          <w:rFonts w:hint="eastAsia" w:cs="宋体"/>
          <w:sz w:val="24"/>
          <w:szCs w:val="24"/>
        </w:rPr>
        <w:t>；Qiao等提出DRForecastGAN生成对抗网络框架，通过合成未来眼底图像实现糖尿病视网膜病变进展的可视化预测与病程追踪</w:t>
      </w:r>
      <w:r>
        <w:rPr>
          <w:rFonts w:hint="eastAsia" w:cs="宋体"/>
          <w:sz w:val="24"/>
          <w:szCs w:val="24"/>
          <w:vertAlign w:val="superscript"/>
        </w:rPr>
        <w:fldChar w:fldCharType="begin"/>
      </w:r>
      <w:r>
        <w:rPr>
          <w:rFonts w:hint="eastAsia" w:cs="宋体"/>
          <w:sz w:val="24"/>
          <w:szCs w:val="24"/>
          <w:vertAlign w:val="superscript"/>
        </w:rPr>
        <w:instrText xml:space="preserve"> REF _Ref32508 \r \h </w:instrText>
      </w:r>
      <w:r>
        <w:rPr>
          <w:rFonts w:hint="eastAsia" w:cs="宋体"/>
          <w:sz w:val="24"/>
          <w:szCs w:val="24"/>
          <w:vertAlign w:val="superscript"/>
        </w:rPr>
        <w:fldChar w:fldCharType="separate"/>
      </w:r>
      <w:r>
        <w:rPr>
          <w:rFonts w:hint="eastAsia" w:cs="宋体"/>
          <w:sz w:val="24"/>
          <w:szCs w:val="24"/>
          <w:vertAlign w:val="superscript"/>
        </w:rPr>
        <w:t>16</w:t>
      </w:r>
      <w:r>
        <w:rPr>
          <w:rFonts w:hint="eastAsia" w:cs="宋体"/>
          <w:sz w:val="24"/>
          <w:szCs w:val="24"/>
          <w:vertAlign w:val="superscript"/>
        </w:rPr>
        <w:fldChar w:fldCharType="end"/>
      </w:r>
      <w:r>
        <w:rPr>
          <w:rFonts w:hint="eastAsia" w:cs="宋体"/>
          <w:sz w:val="24"/>
          <w:szCs w:val="24"/>
        </w:rPr>
        <w:t>。</w:t>
      </w:r>
      <w:r>
        <w:rPr>
          <w:rFonts w:hint="eastAsia" w:cs="宋体"/>
          <w:b/>
          <w:bCs/>
          <w:sz w:val="24"/>
          <w:szCs w:val="24"/>
        </w:rPr>
        <w:t>在多模态融合方面，</w:t>
      </w:r>
      <w:r>
        <w:rPr>
          <w:rFonts w:hint="eastAsia" w:cs="宋体"/>
          <w:sz w:val="24"/>
          <w:szCs w:val="24"/>
        </w:rPr>
        <w:t>VisionTrack系统集成卷积神经网络、图神经网络与大语言模型，实现DR、AMD、DME等多种视网膜疾病的多标签同步预测</w:t>
      </w:r>
      <w:r>
        <w:rPr>
          <w:rFonts w:hint="eastAsia" w:cs="宋体"/>
          <w:sz w:val="24"/>
          <w:szCs w:val="24"/>
          <w:vertAlign w:val="superscript"/>
        </w:rPr>
        <w:fldChar w:fldCharType="begin"/>
      </w:r>
      <w:r>
        <w:rPr>
          <w:rFonts w:hint="eastAsia" w:cs="宋体"/>
          <w:sz w:val="24"/>
          <w:szCs w:val="24"/>
          <w:vertAlign w:val="superscript"/>
        </w:rPr>
        <w:instrText xml:space="preserve"> REF _Ref32528 \r \h </w:instrText>
      </w:r>
      <w:r>
        <w:rPr>
          <w:rFonts w:hint="eastAsia" w:cs="宋体"/>
          <w:sz w:val="24"/>
          <w:szCs w:val="24"/>
          <w:vertAlign w:val="superscript"/>
        </w:rPr>
        <w:fldChar w:fldCharType="separate"/>
      </w:r>
      <w:r>
        <w:rPr>
          <w:rFonts w:hint="eastAsia" w:cs="宋体"/>
          <w:sz w:val="24"/>
          <w:szCs w:val="24"/>
          <w:vertAlign w:val="superscript"/>
        </w:rPr>
        <w:t>17</w:t>
      </w:r>
      <w:r>
        <w:rPr>
          <w:rFonts w:hint="eastAsia" w:cs="宋体"/>
          <w:sz w:val="24"/>
          <w:szCs w:val="24"/>
          <w:vertAlign w:val="superscript"/>
        </w:rPr>
        <w:fldChar w:fldCharType="end"/>
      </w:r>
      <w:r>
        <w:rPr>
          <w:rFonts w:hint="eastAsia" w:cs="宋体"/>
          <w:sz w:val="24"/>
          <w:szCs w:val="24"/>
        </w:rPr>
        <w:t>；Wang等提出神经符号AI与大语言模型融合框架，将AMD机理知识与多模态影像、临床文本相结合，构建眼科学知识图谱引导的推理机制，显著提升了模型的可解释性与临床可信度</w:t>
      </w:r>
      <w:r>
        <w:rPr>
          <w:rFonts w:hint="eastAsia" w:cs="宋体"/>
          <w:sz w:val="24"/>
          <w:szCs w:val="24"/>
          <w:vertAlign w:val="superscript"/>
        </w:rPr>
        <w:fldChar w:fldCharType="begin"/>
      </w:r>
      <w:r>
        <w:rPr>
          <w:rFonts w:hint="eastAsia" w:cs="宋体"/>
          <w:sz w:val="24"/>
          <w:szCs w:val="24"/>
          <w:vertAlign w:val="superscript"/>
        </w:rPr>
        <w:instrText xml:space="preserve"> REF _Ref32547 \r \h </w:instrText>
      </w:r>
      <w:r>
        <w:rPr>
          <w:rFonts w:hint="eastAsia" w:cs="宋体"/>
          <w:sz w:val="24"/>
          <w:szCs w:val="24"/>
          <w:vertAlign w:val="superscript"/>
        </w:rPr>
        <w:fldChar w:fldCharType="separate"/>
      </w:r>
      <w:r>
        <w:rPr>
          <w:rFonts w:hint="eastAsia" w:cs="宋体"/>
          <w:sz w:val="24"/>
          <w:szCs w:val="24"/>
          <w:vertAlign w:val="superscript"/>
        </w:rPr>
        <w:t>18</w:t>
      </w:r>
      <w:r>
        <w:rPr>
          <w:rFonts w:hint="eastAsia" w:cs="宋体"/>
          <w:sz w:val="24"/>
          <w:szCs w:val="24"/>
          <w:vertAlign w:val="superscript"/>
        </w:rPr>
        <w:fldChar w:fldCharType="end"/>
      </w:r>
      <w:r>
        <w:rPr>
          <w:rFonts w:hint="eastAsia" w:cs="宋体"/>
          <w:sz w:val="24"/>
          <w:szCs w:val="24"/>
        </w:rPr>
        <w:t>。</w:t>
      </w:r>
      <w:r>
        <w:rPr>
          <w:rFonts w:hint="eastAsia" w:cs="宋体"/>
          <w:b/>
          <w:bCs/>
          <w:sz w:val="24"/>
          <w:szCs w:val="24"/>
        </w:rPr>
        <w:t>在基础模型层面，</w:t>
      </w:r>
      <w:r>
        <w:rPr>
          <w:rFonts w:hint="eastAsia" w:cs="宋体"/>
          <w:sz w:val="24"/>
          <w:szCs w:val="24"/>
        </w:rPr>
        <w:t>本团队提出了眼科视觉语言大模型EyeFM</w:t>
      </w:r>
      <w:r>
        <w:rPr>
          <w:rFonts w:hint="eastAsia" w:cs="宋体"/>
          <w:b/>
          <w:bCs/>
          <w:i/>
          <w:iCs/>
          <w:sz w:val="24"/>
          <w:szCs w:val="24"/>
        </w:rPr>
        <w:t>（Nature Medicine 2025，参与核心算法验证）</w:t>
      </w:r>
      <w:r>
        <w:rPr>
          <w:rFonts w:hint="eastAsia" w:cs="宋体"/>
          <w:sz w:val="24"/>
          <w:szCs w:val="24"/>
        </w:rPr>
        <w:t>和DeepMyopia</w:t>
      </w:r>
      <w:r>
        <w:rPr>
          <w:rFonts w:hint="eastAsia" w:cs="宋体"/>
          <w:b/>
          <w:bCs/>
          <w:i/>
          <w:iCs/>
          <w:sz w:val="24"/>
          <w:szCs w:val="24"/>
        </w:rPr>
        <w:t>（npj Digital Medicine 2024，申请人为共同一作）</w:t>
      </w:r>
      <w:r>
        <w:rPr>
          <w:rFonts w:hint="eastAsia" w:cs="宋体"/>
          <w:sz w:val="24"/>
          <w:szCs w:val="24"/>
        </w:rPr>
        <w:t>深度学习系统，前者集成疾病诊断、图像报告生成及视觉知识问答功能</w:t>
      </w:r>
      <w:r>
        <w:rPr>
          <w:rFonts w:hint="eastAsia" w:cs="宋体"/>
          <w:sz w:val="24"/>
          <w:szCs w:val="24"/>
          <w:vertAlign w:val="superscript"/>
        </w:rPr>
        <w:fldChar w:fldCharType="begin"/>
      </w:r>
      <w:r>
        <w:rPr>
          <w:rFonts w:hint="eastAsia" w:cs="宋体"/>
          <w:sz w:val="24"/>
          <w:szCs w:val="24"/>
          <w:vertAlign w:val="superscript"/>
        </w:rPr>
        <w:instrText xml:space="preserve"> REF _Ref32622 \r \h </w:instrText>
      </w:r>
      <w:r>
        <w:rPr>
          <w:rFonts w:hint="eastAsia" w:cs="宋体"/>
          <w:sz w:val="24"/>
          <w:szCs w:val="24"/>
          <w:vertAlign w:val="superscript"/>
        </w:rPr>
        <w:fldChar w:fldCharType="separate"/>
      </w:r>
      <w:r>
        <w:rPr>
          <w:rFonts w:hint="eastAsia" w:cs="宋体"/>
          <w:sz w:val="24"/>
          <w:szCs w:val="24"/>
          <w:vertAlign w:val="superscript"/>
        </w:rPr>
        <w:t>19</w:t>
      </w:r>
      <w:r>
        <w:rPr>
          <w:rFonts w:hint="eastAsia" w:cs="宋体"/>
          <w:sz w:val="24"/>
          <w:szCs w:val="24"/>
          <w:vertAlign w:val="superscript"/>
        </w:rPr>
        <w:fldChar w:fldCharType="end"/>
      </w:r>
      <w:r>
        <w:rPr>
          <w:rFonts w:hint="eastAsia" w:cs="宋体"/>
          <w:sz w:val="24"/>
          <w:szCs w:val="24"/>
        </w:rPr>
        <w:t>，后者融合多源数据实现儿童近视风险预测</w:t>
      </w:r>
      <w:r>
        <w:rPr>
          <w:rFonts w:hint="eastAsia" w:cs="宋体"/>
          <w:sz w:val="24"/>
          <w:szCs w:val="24"/>
          <w:vertAlign w:val="superscript"/>
        </w:rPr>
        <w:fldChar w:fldCharType="begin"/>
      </w:r>
      <w:r>
        <w:rPr>
          <w:rFonts w:hint="eastAsia" w:cs="宋体"/>
          <w:sz w:val="24"/>
          <w:szCs w:val="24"/>
          <w:vertAlign w:val="superscript"/>
        </w:rPr>
        <w:instrText xml:space="preserve"> REF _Ref32645 \r \h </w:instrText>
      </w:r>
      <w:r>
        <w:rPr>
          <w:rFonts w:hint="eastAsia" w:cs="宋体"/>
          <w:sz w:val="24"/>
          <w:szCs w:val="24"/>
          <w:vertAlign w:val="superscript"/>
        </w:rPr>
        <w:fldChar w:fldCharType="separate"/>
      </w:r>
      <w:r>
        <w:rPr>
          <w:rFonts w:hint="eastAsia" w:cs="宋体"/>
          <w:sz w:val="24"/>
          <w:szCs w:val="24"/>
          <w:vertAlign w:val="superscript"/>
        </w:rPr>
        <w:t>20</w:t>
      </w:r>
      <w:r>
        <w:rPr>
          <w:rFonts w:hint="eastAsia" w:cs="宋体"/>
          <w:sz w:val="24"/>
          <w:szCs w:val="24"/>
          <w:vertAlign w:val="superscript"/>
        </w:rPr>
        <w:fldChar w:fldCharType="end"/>
      </w:r>
      <w:r>
        <w:rPr>
          <w:rFonts w:hint="eastAsia" w:cs="宋体"/>
          <w:sz w:val="24"/>
          <w:szCs w:val="24"/>
        </w:rPr>
        <w:t>。</w:t>
      </w:r>
    </w:p>
    <w:p w14:paraId="1EE89D7D">
      <w:pPr>
        <w:spacing w:line="360" w:lineRule="auto"/>
        <w:ind w:firstLine="480" w:firstLineChars="200"/>
        <w:rPr>
          <w:rFonts w:cs="宋体"/>
          <w:sz w:val="24"/>
          <w:szCs w:val="24"/>
        </w:rPr>
      </w:pPr>
      <w:r>
        <w:rPr>
          <w:rFonts w:hint="eastAsia" w:cs="宋体"/>
          <w:sz w:val="24"/>
          <w:szCs w:val="24"/>
        </w:rPr>
        <w:t>综上所述，现有研究虽在单眼病预测、多任务学习及可解释性方面取得进展，但普遍存在三方面局限：</w:t>
      </w:r>
      <w:r>
        <w:rPr>
          <w:rFonts w:hint="eastAsia" w:cs="宋体"/>
          <w:b/>
          <w:bCs/>
          <w:sz w:val="24"/>
          <w:szCs w:val="24"/>
        </w:rPr>
        <w:t>长期疗效预测动态建模能力不足</w:t>
      </w:r>
      <w:r>
        <w:rPr>
          <w:rFonts w:hint="eastAsia" w:cs="宋体"/>
          <w:sz w:val="24"/>
          <w:szCs w:val="24"/>
        </w:rPr>
        <w:t>，多局限于1-6个月短期预测，缺乏1-3年不规则时序数据的长期建模机制；</w:t>
      </w:r>
      <w:r>
        <w:rPr>
          <w:rFonts w:hint="eastAsia" w:cs="宋体"/>
          <w:b/>
          <w:bCs/>
          <w:sz w:val="24"/>
          <w:szCs w:val="24"/>
        </w:rPr>
        <w:t>多维度协同预测能力欠缺</w:t>
      </w:r>
      <w:r>
        <w:rPr>
          <w:rFonts w:hint="eastAsia" w:cs="宋体"/>
          <w:sz w:val="24"/>
          <w:szCs w:val="24"/>
        </w:rPr>
        <w:t>，未形成视力、解剖结构、治疗反应的多任务协同体系；</w:t>
      </w:r>
      <w:r>
        <w:rPr>
          <w:rFonts w:hint="eastAsia" w:cs="宋体"/>
          <w:b/>
          <w:bCs/>
          <w:sz w:val="24"/>
          <w:szCs w:val="24"/>
        </w:rPr>
        <w:t>缺乏临床决策智能体</w:t>
      </w:r>
      <w:r>
        <w:rPr>
          <w:rFonts w:hint="eastAsia" w:cs="宋体"/>
          <w:sz w:val="24"/>
          <w:szCs w:val="24"/>
        </w:rPr>
        <w:t>，无法模拟医生整合多源异构信息的综合决策能力。本项目拟构建长时序多模态疗效预测智能体系统，推动致盲性眼底疾病个体化治疗的临床转化。</w:t>
      </w:r>
    </w:p>
    <w:p w14:paraId="0B3374C4">
      <w:pPr>
        <w:spacing w:line="360" w:lineRule="auto"/>
        <w:rPr>
          <w:rFonts w:cs="宋体"/>
        </w:rPr>
      </w:pPr>
    </w:p>
    <w:p w14:paraId="6A8EAFB1">
      <w:pPr>
        <w:spacing w:line="360" w:lineRule="auto"/>
        <w:rPr>
          <w:rFonts w:cs="楷体_GB2312"/>
          <w:b/>
          <w:bCs/>
          <w:sz w:val="24"/>
          <w:szCs w:val="24"/>
        </w:rPr>
      </w:pPr>
      <w:r>
        <w:rPr>
          <w:rFonts w:hint="eastAsia" w:cs="楷体_GB2312"/>
          <w:b/>
          <w:bCs/>
          <w:sz w:val="24"/>
          <w:szCs w:val="24"/>
        </w:rPr>
        <w:t>1.2.2 基于多模态大模型的眼底疾病诊疗研究现状</w:t>
      </w:r>
    </w:p>
    <w:p w14:paraId="7E201281">
      <w:pPr>
        <w:spacing w:line="360" w:lineRule="auto"/>
        <w:ind w:firstLine="480" w:firstLineChars="200"/>
        <w:rPr>
          <w:rFonts w:cs="宋体"/>
          <w:sz w:val="24"/>
          <w:szCs w:val="24"/>
        </w:rPr>
      </w:pPr>
      <w:r>
        <w:rPr>
          <w:rFonts w:hint="eastAsia" w:cs="宋体"/>
          <w:sz w:val="24"/>
          <w:szCs w:val="24"/>
        </w:rPr>
        <w:t>近年来，面向眼底疾病的多模态大模型研究取得重要突破，为提升诊疗智能化水平提供了新的技术路径。</w:t>
      </w:r>
      <w:r>
        <w:rPr>
          <w:rFonts w:hint="eastAsia" w:cs="宋体"/>
          <w:b/>
          <w:bCs/>
          <w:sz w:val="24"/>
          <w:szCs w:val="24"/>
        </w:rPr>
        <w:t>在基础模型构建方面</w:t>
      </w:r>
      <w:r>
        <w:rPr>
          <w:rFonts w:hint="eastAsia" w:cs="宋体"/>
          <w:sz w:val="24"/>
          <w:szCs w:val="24"/>
        </w:rPr>
        <w:t>，合作团队提出的RETFound自监督基础模型，利用掩码自编码器在超百万张眼底图像上预训练，实现了糖尿病视网膜病变、青光眼等多种疾病的精准检测</w:t>
      </w:r>
      <w:r>
        <w:rPr>
          <w:rFonts w:hint="eastAsia" w:cs="宋体"/>
          <w:b/>
          <w:bCs/>
          <w:i/>
          <w:iCs/>
          <w:sz w:val="24"/>
          <w:szCs w:val="24"/>
        </w:rPr>
        <w:t>（Nature 2023）</w:t>
      </w:r>
      <w:r>
        <w:rPr>
          <w:rFonts w:hint="eastAsia" w:cs="宋体"/>
          <w:sz w:val="24"/>
          <w:szCs w:val="24"/>
          <w:vertAlign w:val="superscript"/>
        </w:rPr>
        <w:fldChar w:fldCharType="begin"/>
      </w:r>
      <w:r>
        <w:rPr>
          <w:rFonts w:hint="eastAsia" w:cs="宋体"/>
          <w:sz w:val="24"/>
          <w:szCs w:val="24"/>
          <w:vertAlign w:val="superscript"/>
        </w:rPr>
        <w:instrText xml:space="preserve"> REF _Ref32348 \r \h </w:instrText>
      </w:r>
      <w:r>
        <w:rPr>
          <w:rFonts w:hint="eastAsia" w:cs="宋体"/>
          <w:sz w:val="24"/>
          <w:szCs w:val="24"/>
          <w:vertAlign w:val="superscript"/>
        </w:rPr>
        <w:fldChar w:fldCharType="separate"/>
      </w:r>
      <w:r>
        <w:rPr>
          <w:rFonts w:hint="eastAsia" w:cs="宋体"/>
          <w:sz w:val="24"/>
          <w:szCs w:val="24"/>
          <w:vertAlign w:val="superscript"/>
        </w:rPr>
        <w:t>11</w:t>
      </w:r>
      <w:r>
        <w:rPr>
          <w:rFonts w:hint="eastAsia" w:cs="宋体"/>
          <w:sz w:val="24"/>
          <w:szCs w:val="24"/>
          <w:vertAlign w:val="superscript"/>
        </w:rPr>
        <w:fldChar w:fldCharType="end"/>
      </w:r>
      <w:r>
        <w:rPr>
          <w:rFonts w:hint="eastAsia" w:cs="宋体"/>
          <w:sz w:val="24"/>
          <w:szCs w:val="24"/>
        </w:rPr>
        <w:t>；Morano等则构建MIRAGE多模态基础模型，采用配对掩码自编码策略，实现了OCT与扫描激光检眼镜图像的对齐与联合分析</w:t>
      </w:r>
      <w:r>
        <w:rPr>
          <w:rFonts w:hint="eastAsia" w:cs="宋体"/>
          <w:sz w:val="24"/>
          <w:szCs w:val="24"/>
          <w:vertAlign w:val="superscript"/>
        </w:rPr>
        <w:fldChar w:fldCharType="begin"/>
      </w:r>
      <w:r>
        <w:rPr>
          <w:rFonts w:hint="eastAsia" w:cs="宋体"/>
          <w:sz w:val="24"/>
          <w:szCs w:val="24"/>
          <w:vertAlign w:val="superscript"/>
        </w:rPr>
        <w:instrText xml:space="preserve"> REF _Ref263 \r \h </w:instrText>
      </w:r>
      <w:r>
        <w:rPr>
          <w:rFonts w:hint="eastAsia" w:cs="宋体"/>
          <w:sz w:val="24"/>
          <w:szCs w:val="24"/>
          <w:vertAlign w:val="superscript"/>
        </w:rPr>
        <w:fldChar w:fldCharType="separate"/>
      </w:r>
      <w:r>
        <w:rPr>
          <w:rFonts w:hint="eastAsia" w:cs="宋体"/>
          <w:sz w:val="24"/>
          <w:szCs w:val="24"/>
          <w:vertAlign w:val="superscript"/>
        </w:rPr>
        <w:t>21</w:t>
      </w:r>
      <w:r>
        <w:rPr>
          <w:rFonts w:hint="eastAsia" w:cs="宋体"/>
          <w:sz w:val="24"/>
          <w:szCs w:val="24"/>
          <w:vertAlign w:val="superscript"/>
        </w:rPr>
        <w:fldChar w:fldCharType="end"/>
      </w:r>
      <w:r>
        <w:rPr>
          <w:rFonts w:hint="eastAsia" w:cs="宋体"/>
          <w:sz w:val="24"/>
          <w:szCs w:val="24"/>
        </w:rPr>
        <w:t>。在此基础上，跨模态对齐成为研究热点：Shi等提出EyeCLIP多模态视觉-语言基础模型，在涵盖11种模态的277万张眼科图像上预训练，具备疾病分类、视觉问答及跨模态检索等多种任务的高性能泛化能力</w:t>
      </w:r>
      <w:r>
        <w:rPr>
          <w:rFonts w:hint="eastAsia" w:cs="宋体"/>
          <w:sz w:val="24"/>
          <w:szCs w:val="24"/>
          <w:vertAlign w:val="superscript"/>
        </w:rPr>
        <w:fldChar w:fldCharType="begin"/>
      </w:r>
      <w:r>
        <w:rPr>
          <w:rFonts w:hint="eastAsia" w:cs="宋体"/>
          <w:sz w:val="24"/>
          <w:szCs w:val="24"/>
          <w:vertAlign w:val="superscript"/>
        </w:rPr>
        <w:instrText xml:space="preserve"> REF _Ref305 \r \h </w:instrText>
      </w:r>
      <w:r>
        <w:rPr>
          <w:rFonts w:hint="eastAsia" w:cs="宋体"/>
          <w:sz w:val="24"/>
          <w:szCs w:val="24"/>
          <w:vertAlign w:val="superscript"/>
        </w:rPr>
        <w:fldChar w:fldCharType="separate"/>
      </w:r>
      <w:r>
        <w:rPr>
          <w:rFonts w:hint="eastAsia" w:cs="宋体"/>
          <w:sz w:val="24"/>
          <w:szCs w:val="24"/>
          <w:vertAlign w:val="superscript"/>
        </w:rPr>
        <w:t>22</w:t>
      </w:r>
      <w:r>
        <w:rPr>
          <w:rFonts w:hint="eastAsia" w:cs="宋体"/>
          <w:sz w:val="24"/>
          <w:szCs w:val="24"/>
          <w:vertAlign w:val="superscript"/>
        </w:rPr>
        <w:fldChar w:fldCharType="end"/>
      </w:r>
      <w:r>
        <w:rPr>
          <w:rFonts w:hint="eastAsia" w:cs="宋体"/>
          <w:sz w:val="24"/>
          <w:szCs w:val="24"/>
        </w:rPr>
        <w:t>；本团队近期推出的眼科视觉语言大模型EyeFM，采用跨模态对比学习与两阶段预训练架构，同样实现了五种核心成像模态与临床文本的统一表征</w:t>
      </w:r>
      <w:r>
        <w:rPr>
          <w:rFonts w:hint="eastAsia" w:cs="宋体"/>
          <w:b/>
          <w:bCs/>
          <w:i/>
          <w:iCs/>
          <w:sz w:val="24"/>
          <w:szCs w:val="24"/>
        </w:rPr>
        <w:t>（Nature Medicine 2025）</w:t>
      </w:r>
      <w:r>
        <w:rPr>
          <w:rFonts w:hint="eastAsia" w:cs="宋体"/>
          <w:sz w:val="24"/>
          <w:szCs w:val="24"/>
          <w:vertAlign w:val="superscript"/>
        </w:rPr>
        <w:fldChar w:fldCharType="begin"/>
      </w:r>
      <w:r>
        <w:rPr>
          <w:rFonts w:hint="eastAsia" w:cs="宋体"/>
          <w:sz w:val="24"/>
          <w:szCs w:val="24"/>
          <w:vertAlign w:val="superscript"/>
        </w:rPr>
        <w:instrText xml:space="preserve"> REF _Ref32622 \r \h </w:instrText>
      </w:r>
      <w:r>
        <w:rPr>
          <w:rFonts w:hint="eastAsia" w:cs="宋体"/>
          <w:sz w:val="24"/>
          <w:szCs w:val="24"/>
          <w:vertAlign w:val="superscript"/>
        </w:rPr>
        <w:fldChar w:fldCharType="separate"/>
      </w:r>
      <w:r>
        <w:rPr>
          <w:rFonts w:hint="eastAsia" w:cs="宋体"/>
          <w:sz w:val="24"/>
          <w:szCs w:val="24"/>
          <w:vertAlign w:val="superscript"/>
        </w:rPr>
        <w:t>19</w:t>
      </w:r>
      <w:r>
        <w:rPr>
          <w:rFonts w:hint="eastAsia" w:cs="宋体"/>
          <w:sz w:val="24"/>
          <w:szCs w:val="24"/>
          <w:vertAlign w:val="superscript"/>
        </w:rPr>
        <w:fldChar w:fldCharType="end"/>
      </w:r>
      <w:r>
        <w:rPr>
          <w:rFonts w:hint="eastAsia" w:cs="宋体"/>
          <w:sz w:val="24"/>
          <w:szCs w:val="24"/>
        </w:rPr>
        <w:t>。</w:t>
      </w:r>
      <w:r>
        <w:rPr>
          <w:rFonts w:hint="eastAsia" w:cs="宋体"/>
          <w:b/>
          <w:bCs/>
          <w:sz w:val="24"/>
          <w:szCs w:val="24"/>
        </w:rPr>
        <w:t>在临床诊疗集成系统方面</w:t>
      </w:r>
      <w:r>
        <w:rPr>
          <w:rFonts w:hint="eastAsia" w:cs="宋体"/>
          <w:sz w:val="24"/>
          <w:szCs w:val="24"/>
        </w:rPr>
        <w:t>，研究重点逐渐从单一模态分析转向多模态融合决策。本团队提出的面向糖尿病诊疗的视觉-大语言模型多模态集成智能系统DeepDR-LLM，不仅实现了糖尿病视网膜病变辅助诊断，还能生成个性化综合管理意见，并通过覆盖亚非欧七个国家的多中心验证证明了其临床价值</w:t>
      </w:r>
      <w:r>
        <w:rPr>
          <w:rFonts w:hint="eastAsia" w:cs="宋体"/>
          <w:b/>
          <w:bCs/>
          <w:i/>
          <w:iCs/>
          <w:sz w:val="24"/>
          <w:szCs w:val="24"/>
        </w:rPr>
        <w:t>（Nature Medicine 2024）</w:t>
      </w:r>
      <w:r>
        <w:rPr>
          <w:rFonts w:hint="eastAsia" w:cs="宋体"/>
          <w:sz w:val="24"/>
          <w:szCs w:val="24"/>
          <w:vertAlign w:val="superscript"/>
        </w:rPr>
        <w:fldChar w:fldCharType="begin"/>
      </w:r>
      <w:r>
        <w:rPr>
          <w:rFonts w:hint="eastAsia" w:cs="宋体"/>
          <w:sz w:val="24"/>
          <w:szCs w:val="24"/>
          <w:vertAlign w:val="superscript"/>
        </w:rPr>
        <w:instrText xml:space="preserve"> REF _Ref383 \r \h </w:instrText>
      </w:r>
      <w:r>
        <w:rPr>
          <w:rFonts w:hint="eastAsia" w:cs="宋体"/>
          <w:sz w:val="24"/>
          <w:szCs w:val="24"/>
          <w:vertAlign w:val="superscript"/>
        </w:rPr>
        <w:fldChar w:fldCharType="separate"/>
      </w:r>
      <w:r>
        <w:rPr>
          <w:rFonts w:hint="eastAsia" w:cs="宋体"/>
          <w:sz w:val="24"/>
          <w:szCs w:val="24"/>
          <w:vertAlign w:val="superscript"/>
        </w:rPr>
        <w:t>23</w:t>
      </w:r>
      <w:r>
        <w:rPr>
          <w:rFonts w:hint="eastAsia" w:cs="宋体"/>
          <w:sz w:val="24"/>
          <w:szCs w:val="24"/>
          <w:vertAlign w:val="superscript"/>
        </w:rPr>
        <w:fldChar w:fldCharType="end"/>
      </w:r>
      <w:r>
        <w:rPr>
          <w:rFonts w:hint="eastAsia" w:cs="宋体"/>
          <w:sz w:val="24"/>
          <w:szCs w:val="24"/>
        </w:rPr>
        <w:t>。Soh等提出的Meta-EyeFM则采用动态路由机制，整合大语言模型与八个任务专用视觉模型，在对话式诊断与分诊任务中显著优于通用多模态大模型</w:t>
      </w:r>
      <w:r>
        <w:rPr>
          <w:rFonts w:hint="eastAsia" w:cs="宋体"/>
          <w:sz w:val="24"/>
          <w:szCs w:val="24"/>
          <w:vertAlign w:val="superscript"/>
        </w:rPr>
        <w:fldChar w:fldCharType="begin"/>
      </w:r>
      <w:r>
        <w:rPr>
          <w:rFonts w:hint="eastAsia" w:cs="宋体"/>
          <w:sz w:val="24"/>
          <w:szCs w:val="24"/>
          <w:vertAlign w:val="superscript"/>
        </w:rPr>
        <w:instrText xml:space="preserve"> REF _Ref423 \r \h </w:instrText>
      </w:r>
      <w:r>
        <w:rPr>
          <w:rFonts w:hint="eastAsia" w:cs="宋体"/>
          <w:sz w:val="24"/>
          <w:szCs w:val="24"/>
          <w:vertAlign w:val="superscript"/>
        </w:rPr>
        <w:fldChar w:fldCharType="separate"/>
      </w:r>
      <w:r>
        <w:rPr>
          <w:rFonts w:hint="eastAsia" w:cs="宋体"/>
          <w:sz w:val="24"/>
          <w:szCs w:val="24"/>
          <w:vertAlign w:val="superscript"/>
        </w:rPr>
        <w:t>24</w:t>
      </w:r>
      <w:r>
        <w:rPr>
          <w:rFonts w:hint="eastAsia" w:cs="宋体"/>
          <w:sz w:val="24"/>
          <w:szCs w:val="24"/>
          <w:vertAlign w:val="superscript"/>
        </w:rPr>
        <w:fldChar w:fldCharType="end"/>
      </w:r>
      <w:r>
        <w:rPr>
          <w:rFonts w:hint="eastAsia" w:cs="宋体"/>
          <w:sz w:val="24"/>
          <w:szCs w:val="24"/>
        </w:rPr>
        <w:t>。</w:t>
      </w:r>
      <w:r>
        <w:rPr>
          <w:rFonts w:hint="eastAsia" w:cs="宋体"/>
          <w:b/>
          <w:bCs/>
          <w:sz w:val="24"/>
          <w:szCs w:val="24"/>
        </w:rPr>
        <w:t>在临床应用评估方面</w:t>
      </w:r>
      <w:r>
        <w:rPr>
          <w:rFonts w:hint="eastAsia" w:cs="宋体"/>
          <w:sz w:val="24"/>
          <w:szCs w:val="24"/>
        </w:rPr>
        <w:t>，研究者开始系统检验多模态大模型的实际表现。Giordano等利用ChatGPT-4o分析OCT影像，探索其在新生血管性AMD复发检测中的应用潜力</w:t>
      </w:r>
      <w:r>
        <w:rPr>
          <w:rFonts w:hint="eastAsia" w:cs="宋体"/>
          <w:sz w:val="24"/>
          <w:szCs w:val="24"/>
          <w:vertAlign w:val="superscript"/>
        </w:rPr>
        <w:fldChar w:fldCharType="begin"/>
      </w:r>
      <w:r>
        <w:rPr>
          <w:rFonts w:hint="eastAsia" w:cs="宋体"/>
          <w:sz w:val="24"/>
          <w:szCs w:val="24"/>
          <w:vertAlign w:val="superscript"/>
        </w:rPr>
        <w:instrText xml:space="preserve"> REF _Ref455 \r \h </w:instrText>
      </w:r>
      <w:r>
        <w:rPr>
          <w:rFonts w:hint="eastAsia" w:cs="宋体"/>
          <w:sz w:val="24"/>
          <w:szCs w:val="24"/>
          <w:vertAlign w:val="superscript"/>
        </w:rPr>
        <w:fldChar w:fldCharType="separate"/>
      </w:r>
      <w:r>
        <w:rPr>
          <w:rFonts w:hint="eastAsia" w:cs="宋体"/>
          <w:sz w:val="24"/>
          <w:szCs w:val="24"/>
          <w:vertAlign w:val="superscript"/>
        </w:rPr>
        <w:t>25</w:t>
      </w:r>
      <w:r>
        <w:rPr>
          <w:rFonts w:hint="eastAsia" w:cs="宋体"/>
          <w:sz w:val="24"/>
          <w:szCs w:val="24"/>
          <w:vertAlign w:val="superscript"/>
        </w:rPr>
        <w:fldChar w:fldCharType="end"/>
      </w:r>
      <w:r>
        <w:rPr>
          <w:rFonts w:hint="eastAsia" w:cs="宋体"/>
          <w:sz w:val="24"/>
          <w:szCs w:val="24"/>
        </w:rPr>
        <w:t>；Most等则评估了ChatGPT-4o等四种多模态大模型在糖尿病视网膜病变眼底图像诊断中的准确性，发现其在疾病识别与严重程度分级任务中与临床标准仍存在显著差距</w:t>
      </w:r>
      <w:r>
        <w:rPr>
          <w:rFonts w:hint="eastAsia" w:cs="宋体"/>
          <w:sz w:val="24"/>
          <w:szCs w:val="24"/>
          <w:vertAlign w:val="superscript"/>
        </w:rPr>
        <w:fldChar w:fldCharType="begin"/>
      </w:r>
      <w:r>
        <w:rPr>
          <w:rFonts w:hint="eastAsia" w:cs="宋体"/>
          <w:sz w:val="24"/>
          <w:szCs w:val="24"/>
          <w:vertAlign w:val="superscript"/>
        </w:rPr>
        <w:instrText xml:space="preserve"> REF _Ref472 \r \h </w:instrText>
      </w:r>
      <w:r>
        <w:rPr>
          <w:rFonts w:hint="eastAsia" w:cs="宋体"/>
          <w:sz w:val="24"/>
          <w:szCs w:val="24"/>
          <w:vertAlign w:val="superscript"/>
        </w:rPr>
        <w:fldChar w:fldCharType="separate"/>
      </w:r>
      <w:r>
        <w:rPr>
          <w:rFonts w:hint="eastAsia" w:cs="宋体"/>
          <w:sz w:val="24"/>
          <w:szCs w:val="24"/>
          <w:vertAlign w:val="superscript"/>
        </w:rPr>
        <w:t>26</w:t>
      </w:r>
      <w:r>
        <w:rPr>
          <w:rFonts w:hint="eastAsia" w:cs="宋体"/>
          <w:sz w:val="24"/>
          <w:szCs w:val="24"/>
          <w:vertAlign w:val="superscript"/>
        </w:rPr>
        <w:fldChar w:fldCharType="end"/>
      </w:r>
      <w:r>
        <w:rPr>
          <w:rFonts w:hint="eastAsia" w:cs="宋体"/>
          <w:sz w:val="24"/>
          <w:szCs w:val="24"/>
        </w:rPr>
        <w:t>。</w:t>
      </w:r>
    </w:p>
    <w:p w14:paraId="6DB862C5">
      <w:pPr>
        <w:spacing w:line="360" w:lineRule="auto"/>
        <w:ind w:firstLine="480" w:firstLineChars="200"/>
        <w:rPr>
          <w:rFonts w:cs="宋体"/>
          <w:sz w:val="24"/>
          <w:szCs w:val="24"/>
        </w:rPr>
      </w:pPr>
      <w:r>
        <w:rPr>
          <w:rFonts w:hint="eastAsia" w:cs="宋体"/>
          <w:sz w:val="24"/>
          <w:szCs w:val="24"/>
        </w:rPr>
        <w:t>综上，现有研究虽在大模型构建与多模态融合方面取得重要突破，但面向致盲性眼底疾病的临床诊疗需求，仍存在三方面核心局限：其一，</w:t>
      </w:r>
      <w:r>
        <w:rPr>
          <w:rFonts w:hint="eastAsia" w:cs="宋体"/>
          <w:b/>
          <w:bCs/>
          <w:sz w:val="24"/>
          <w:szCs w:val="24"/>
        </w:rPr>
        <w:t>现有大模型多聚焦于诊断任务</w:t>
      </w:r>
      <w:r>
        <w:rPr>
          <w:rFonts w:hint="eastAsia" w:cs="宋体"/>
          <w:sz w:val="24"/>
          <w:szCs w:val="24"/>
        </w:rPr>
        <w:t>，缺乏对疗效预测等预后任务的统一建模能力，难以实现从病灶检测到治疗反应评估的全链条智能决策；其二，</w:t>
      </w:r>
      <w:r>
        <w:rPr>
          <w:rFonts w:hint="eastAsia" w:cs="宋体"/>
          <w:b/>
          <w:bCs/>
          <w:sz w:val="24"/>
          <w:szCs w:val="24"/>
        </w:rPr>
        <w:t>多眼病统一建模机制尚未建立</w:t>
      </w:r>
      <w:r>
        <w:rPr>
          <w:rFonts w:hint="eastAsia" w:cs="宋体"/>
          <w:sz w:val="24"/>
          <w:szCs w:val="24"/>
        </w:rPr>
        <w:t>，现有模型多为单眼病独立设计，无法建立不同疾病之间的病理关联模型，也难以实现跨病种的知识迁移与统一表征；其三，</w:t>
      </w:r>
      <w:r>
        <w:rPr>
          <w:rFonts w:hint="eastAsia" w:cs="宋体"/>
          <w:b/>
          <w:bCs/>
          <w:sz w:val="24"/>
          <w:szCs w:val="24"/>
        </w:rPr>
        <w:t>动态时序建模能力不足</w:t>
      </w:r>
      <w:r>
        <w:rPr>
          <w:rFonts w:hint="eastAsia" w:cs="宋体"/>
          <w:sz w:val="24"/>
          <w:szCs w:val="24"/>
        </w:rPr>
        <w:t>，多数模型基于单一时间点影像数据，缺乏对不规则随访间隔与疾病长期演变规律的建模能力，难以支撑个体化治疗方案的动态优化。针对上述瓶颈，本研究拟构建面向致盲性眼底疾病的多模态疗效预测智能体系统，其拟解决的核心科学问题与总体技术架构如图1所示，从而突破多眼病统一建模与动态时序融合关键技术，实现从诊断到预后预测的智能决策闭环。</w:t>
      </w:r>
    </w:p>
    <w:p w14:paraId="166887BC">
      <w:pPr>
        <w:snapToGrid w:val="0"/>
        <w:spacing w:line="360" w:lineRule="auto"/>
        <w:jc w:val="center"/>
        <w:rPr>
          <w:rFonts w:cs="宋体"/>
          <w:sz w:val="24"/>
          <w:szCs w:val="24"/>
        </w:rPr>
      </w:pPr>
      <w:r>
        <w:rPr>
          <w:rFonts w:hint="eastAsia" w:cs="宋体"/>
          <w:sz w:val="24"/>
          <w:szCs w:val="24"/>
        </w:rPr>
        <w:drawing>
          <wp:inline distT="0" distB="0" distL="114300" distR="114300">
            <wp:extent cx="5340350" cy="2418715"/>
            <wp:effectExtent l="0" t="0" r="0" b="0"/>
            <wp:docPr id="14" name="图片 14" descr="新建 PPTX 演示文稿 (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新建 PPTX 演示文稿 (2)_01"/>
                    <pic:cNvPicPr>
                      <a:picLocks noChangeAspect="1"/>
                    </pic:cNvPicPr>
                  </pic:nvPicPr>
                  <pic:blipFill>
                    <a:blip r:embed="rId4"/>
                    <a:srcRect t="10338" b="9133"/>
                    <a:stretch>
                      <a:fillRect/>
                    </a:stretch>
                  </pic:blipFill>
                  <pic:spPr>
                    <a:xfrm>
                      <a:off x="0" y="0"/>
                      <a:ext cx="5340350" cy="2418715"/>
                    </a:xfrm>
                    <a:prstGeom prst="rect">
                      <a:avLst/>
                    </a:prstGeom>
                  </pic:spPr>
                </pic:pic>
              </a:graphicData>
            </a:graphic>
          </wp:inline>
        </w:drawing>
      </w:r>
    </w:p>
    <w:p w14:paraId="526DEF82">
      <w:pPr>
        <w:snapToGrid w:val="0"/>
        <w:spacing w:line="360" w:lineRule="auto"/>
        <w:ind w:firstLine="470" w:firstLineChars="196"/>
        <w:jc w:val="center"/>
        <w:rPr>
          <w:rFonts w:cs="宋体"/>
          <w:sz w:val="24"/>
          <w:szCs w:val="24"/>
        </w:rPr>
      </w:pPr>
      <w:r>
        <w:rPr>
          <w:rFonts w:hint="eastAsia" w:cs="宋体"/>
          <w:sz w:val="24"/>
          <w:szCs w:val="24"/>
        </w:rPr>
        <w:t>图1 致盲性眼底疾病疗效预测智能体构建的研究意义与核心问题</w:t>
      </w:r>
    </w:p>
    <w:p w14:paraId="20A52A0F">
      <w:pPr>
        <w:spacing w:line="360" w:lineRule="auto"/>
        <w:ind w:firstLine="480" w:firstLineChars="200"/>
        <w:rPr>
          <w:rFonts w:cs="宋体"/>
          <w:color w:val="FF0000"/>
          <w:sz w:val="24"/>
          <w:szCs w:val="24"/>
        </w:rPr>
      </w:pPr>
    </w:p>
    <w:p w14:paraId="303F7D85">
      <w:pPr>
        <w:snapToGrid w:val="0"/>
        <w:spacing w:line="360" w:lineRule="auto"/>
        <w:rPr>
          <w:rFonts w:cs="楷体_GB2312"/>
          <w:b/>
          <w:bCs/>
          <w:sz w:val="28"/>
          <w:szCs w:val="28"/>
        </w:rPr>
      </w:pPr>
      <w:r>
        <w:rPr>
          <w:rFonts w:hint="eastAsia" w:cs="楷体_GB2312"/>
          <w:b/>
          <w:bCs/>
          <w:sz w:val="28"/>
          <w:szCs w:val="28"/>
        </w:rPr>
        <w:t>1.3 亟待解决的关键问题</w:t>
      </w:r>
    </w:p>
    <w:p w14:paraId="3CC956CD">
      <w:pPr>
        <w:snapToGrid w:val="0"/>
        <w:spacing w:line="360" w:lineRule="auto"/>
        <w:ind w:firstLine="472" w:firstLineChars="196"/>
        <w:rPr>
          <w:rFonts w:cs="楷体_GB2312"/>
          <w:sz w:val="24"/>
          <w:szCs w:val="24"/>
        </w:rPr>
      </w:pPr>
      <w:r>
        <w:rPr>
          <w:rFonts w:hint="eastAsia" w:cs="楷体_GB2312"/>
          <w:b/>
          <w:bCs/>
          <w:sz w:val="24"/>
          <w:szCs w:val="24"/>
        </w:rPr>
        <w:t>综上所述，</w:t>
      </w:r>
      <w:r>
        <w:rPr>
          <w:rFonts w:hint="eastAsia" w:cs="楷体_GB2312"/>
          <w:sz w:val="24"/>
          <w:szCs w:val="24"/>
        </w:rPr>
        <w:t>尽管多模态人工智能在眼底疾病诊疗领域取得显著进展，但在面向致盲性眼病疗效预测的实际应用中，现有技术仍面临多重挑战。</w:t>
      </w:r>
    </w:p>
    <w:p w14:paraId="48751F80">
      <w:pPr>
        <w:snapToGrid w:val="0"/>
        <w:spacing w:line="360" w:lineRule="auto"/>
        <w:ind w:firstLine="472" w:firstLineChars="196"/>
        <w:rPr>
          <w:rFonts w:cs="楷体_GB2312"/>
          <w:sz w:val="24"/>
          <w:szCs w:val="24"/>
        </w:rPr>
      </w:pPr>
      <w:r>
        <w:rPr>
          <w:rFonts w:hint="eastAsia" w:cs="楷体_GB2312"/>
          <w:b/>
          <w:bCs/>
          <w:sz w:val="24"/>
          <w:szCs w:val="24"/>
        </w:rPr>
        <w:t>多模态异构融合机制尚不明确。</w:t>
      </w:r>
      <w:r>
        <w:rPr>
          <w:rFonts w:hint="eastAsia" w:cs="楷体_GB2312"/>
          <w:sz w:val="24"/>
          <w:szCs w:val="24"/>
        </w:rPr>
        <w:t>现有方法虽能初步整合影像特征，但面对临床常见的模态缺失、跨模态语义对齐等复杂场景，缺乏自适应融合策略。固定架构的早晚期融合难以动态调整权重，导致数据不完整时性能急剧退化，无法为多眼病疗效预测提供稳健表征基础。</w:t>
      </w:r>
    </w:p>
    <w:p w14:paraId="66906CD0">
      <w:pPr>
        <w:snapToGrid w:val="0"/>
        <w:spacing w:line="360" w:lineRule="auto"/>
        <w:ind w:firstLine="472" w:firstLineChars="196"/>
        <w:rPr>
          <w:rFonts w:cs="楷体_GB2312"/>
          <w:sz w:val="24"/>
          <w:szCs w:val="24"/>
        </w:rPr>
      </w:pPr>
      <w:r>
        <w:rPr>
          <w:rFonts w:hint="eastAsia" w:cs="楷体_GB2312"/>
          <w:b/>
          <w:bCs/>
          <w:sz w:val="24"/>
          <w:szCs w:val="24"/>
        </w:rPr>
        <w:t>长时序动态建模能力明显不足。</w:t>
      </w:r>
      <w:r>
        <w:rPr>
          <w:rFonts w:hint="eastAsia" w:cs="楷体_GB2312"/>
          <w:sz w:val="24"/>
          <w:szCs w:val="24"/>
        </w:rPr>
        <w:t>当前模型多为基于基线数据的静态快照推断，缺乏对不规则随访间隔的自适应建模与长程趋势捕捉能力。临床随访时间点稀疏不均，疾病进展存在个体差异与非线性演变，而现有模型难以精准推断长期治疗结局，呈现短期尚可、长期失准的根本局限。</w:t>
      </w:r>
    </w:p>
    <w:p w14:paraId="2BA2E7EC">
      <w:pPr>
        <w:snapToGrid w:val="0"/>
        <w:spacing w:line="360" w:lineRule="auto"/>
        <w:ind w:firstLine="472" w:firstLineChars="196"/>
        <w:rPr>
          <w:rFonts w:cs="楷体_GB2312"/>
          <w:sz w:val="24"/>
          <w:szCs w:val="24"/>
        </w:rPr>
      </w:pPr>
      <w:r>
        <w:rPr>
          <w:rFonts w:hint="eastAsia" w:cs="楷体_GB2312"/>
          <w:b/>
          <w:bCs/>
          <w:sz w:val="24"/>
          <w:szCs w:val="24"/>
        </w:rPr>
        <w:t>单眼病架构与多眼病临床需求存在鸿沟。</w:t>
      </w:r>
      <w:r>
        <w:rPr>
          <w:rFonts w:hint="eastAsia" w:cs="楷体_GB2312"/>
          <w:sz w:val="24"/>
          <w:szCs w:val="24"/>
        </w:rPr>
        <w:t>现有模型多为单一疾病的独立设计，缺乏跨病种知识迁移与统一评估框架。临床实践中，AMD、DME与DR在病理机制上存在共性，而单一疾病模型难以模拟医生整合多源信息、统一处理多种眼病的综合决策思维，制约技术临床规模化应用。</w:t>
      </w:r>
    </w:p>
    <w:p w14:paraId="6A91E1D1">
      <w:pPr>
        <w:snapToGrid w:val="0"/>
        <w:spacing w:line="360" w:lineRule="auto"/>
      </w:pPr>
      <w:r>
        <w:rPr>
          <w:rFonts w:hint="eastAsia" w:cs="楷体_GB2312"/>
          <w:b/>
          <w:bCs/>
          <w:sz w:val="28"/>
          <w:szCs w:val="28"/>
        </w:rPr>
        <w:t>参考文献</w:t>
      </w:r>
    </w:p>
    <w:p w14:paraId="06307275">
      <w:pPr>
        <w:numPr>
          <w:ilvl w:val="0"/>
          <w:numId w:val="1"/>
        </w:numPr>
      </w:pPr>
      <w:bookmarkStart w:id="0" w:name="_Ref31737"/>
      <w:r>
        <w:rPr>
          <w:rFonts w:hint="eastAsia"/>
        </w:rPr>
        <w:t>Khathami AA, Baklola M, Alalyani MA, et al. Multimodal artificial intelligence in retinal vascular and neovascular macular diseases: a systematic review of diagnostic and prognostic applications[J]. BMC Ophthalmol, 2025, 26(1): 46.</w:t>
      </w:r>
      <w:bookmarkEnd w:id="0"/>
    </w:p>
    <w:p w14:paraId="168968AB">
      <w:pPr>
        <w:numPr>
          <w:ilvl w:val="0"/>
          <w:numId w:val="1"/>
        </w:numPr>
      </w:pPr>
      <w:bookmarkStart w:id="1" w:name="_Ref31741"/>
      <w:r>
        <w:rPr>
          <w:rFonts w:hint="eastAsia"/>
        </w:rPr>
        <w:t>中华医学会眼科学分会眼底病学组,中国医师协会眼科医师分会眼底病学组.我国糖尿病视网膜病变临床诊疗指南（2022年）[J].中华眼底病杂志,2023,39(2):99-124.</w:t>
      </w:r>
      <w:bookmarkEnd w:id="1"/>
    </w:p>
    <w:p w14:paraId="1FD8F95F">
      <w:pPr>
        <w:numPr>
          <w:ilvl w:val="0"/>
          <w:numId w:val="1"/>
        </w:numPr>
      </w:pPr>
      <w:bookmarkStart w:id="2" w:name="_Ref31865"/>
      <w:r>
        <w:rPr>
          <w:rFonts w:hint="eastAsia"/>
        </w:rPr>
        <w:t>Jin K, Yu T, Grzybowski A. Multimodal artificial intelligence in ophthalmology: Applications, challenges, and future directions[J]. Surv Ophthalmol, 2026, 71(1): 158-167.</w:t>
      </w:r>
      <w:bookmarkEnd w:id="2"/>
    </w:p>
    <w:p w14:paraId="06BF893D">
      <w:pPr>
        <w:numPr>
          <w:ilvl w:val="0"/>
          <w:numId w:val="1"/>
        </w:numPr>
      </w:pPr>
      <w:bookmarkStart w:id="3" w:name="_Ref31881"/>
      <w:r>
        <w:rPr>
          <w:rFonts w:hint="eastAsia"/>
        </w:rPr>
        <w:t>Nagai T, Homma K, Kawamata Y, et al. Leveraging large scale deep learning models for diagnosis and visual outcome prediction in retinitis pigmentosa[J]. npj Digit Med, 2026, 9: 137.</w:t>
      </w:r>
      <w:bookmarkEnd w:id="3"/>
    </w:p>
    <w:p w14:paraId="005C7819">
      <w:pPr>
        <w:numPr>
          <w:ilvl w:val="0"/>
          <w:numId w:val="1"/>
        </w:numPr>
      </w:pPr>
      <w:bookmarkStart w:id="4" w:name="_Ref31986"/>
      <w:r>
        <w:rPr>
          <w:rFonts w:hint="eastAsia"/>
        </w:rPr>
        <w:t>Zhang J, Song X, Tian B, et al. Large language models in the management of chronic ocular diseases: a scoping review[J]. Front Cell Dev Biol, 2025, 13: 1608988.</w:t>
      </w:r>
      <w:bookmarkEnd w:id="4"/>
    </w:p>
    <w:p w14:paraId="1498FF84">
      <w:pPr>
        <w:numPr>
          <w:ilvl w:val="0"/>
          <w:numId w:val="1"/>
        </w:numPr>
      </w:pPr>
      <w:bookmarkStart w:id="5" w:name="_Ref32015"/>
      <w:r>
        <w:rPr>
          <w:rFonts w:hint="eastAsia"/>
        </w:rPr>
        <w:t>张明,廖祺,杨婷婷.人工智能在眼底病全程管理中的革新与挑战[J].中华眼科杂志,2024,60(7):559-565.</w:t>
      </w:r>
      <w:bookmarkEnd w:id="5"/>
    </w:p>
    <w:p w14:paraId="1E5FA59A">
      <w:pPr>
        <w:numPr>
          <w:ilvl w:val="0"/>
          <w:numId w:val="1"/>
        </w:numPr>
      </w:pPr>
      <w:bookmarkStart w:id="6" w:name="_Ref32116"/>
      <w:r>
        <w:rPr>
          <w:rFonts w:hint="eastAsia"/>
        </w:rPr>
        <w:t>陈有信,张碧磊,张弘哲.眼科人工智能技术的现状与问题[J].中华眼底病杂志, 2019, 35(2):5.</w:t>
      </w:r>
      <w:bookmarkEnd w:id="6"/>
    </w:p>
    <w:p w14:paraId="22FD8EE3">
      <w:pPr>
        <w:numPr>
          <w:ilvl w:val="0"/>
          <w:numId w:val="1"/>
        </w:numPr>
      </w:pPr>
      <w:bookmarkStart w:id="7" w:name="_Ref32074"/>
      <w:r>
        <w:rPr>
          <w:rFonts w:hint="eastAsia"/>
        </w:rPr>
        <w:t>Jang B, Lee CH, Kim SJ, et al. Artificial intelligence based prediction of first recurrence in neovascular age related macular degeneration with validation by 19 experts[J]. Sci Rep, 2026, 16: 4440.</w:t>
      </w:r>
      <w:bookmarkEnd w:id="7"/>
    </w:p>
    <w:p w14:paraId="5C8E10DB">
      <w:pPr>
        <w:numPr>
          <w:ilvl w:val="0"/>
          <w:numId w:val="1"/>
        </w:numPr>
      </w:pPr>
      <w:bookmarkStart w:id="8" w:name="_Ref32195"/>
      <w:r>
        <w:rPr>
          <w:rFonts w:hint="eastAsia"/>
        </w:rPr>
        <w:t>Sampathkumar A, Kowerko D. Longitudinal Forecasting of Retinal Structure and Function Using a Multimodal StyleGAN-Based Architecture[J]. Bioengineering, 2026, 13(2): 149.</w:t>
      </w:r>
      <w:bookmarkEnd w:id="8"/>
    </w:p>
    <w:p w14:paraId="512A3AD0">
      <w:pPr>
        <w:numPr>
          <w:ilvl w:val="0"/>
          <w:numId w:val="1"/>
        </w:numPr>
      </w:pPr>
      <w:bookmarkStart w:id="9" w:name="_Ref32221"/>
      <w:r>
        <w:rPr>
          <w:rFonts w:hint="eastAsia"/>
        </w:rPr>
        <w:t>Wen Y, Wang XN, Tang J, et al. CCM-Net: Contrastive and Consistent Multi-Task Network for Artifact Segmentation and Quality Classification of OCTA Images[J]. ACM Trans Multimedia Comput Commun Appl, 2025, 21(12): 337.</w:t>
      </w:r>
      <w:bookmarkEnd w:id="9"/>
    </w:p>
    <w:p w14:paraId="020E64CB">
      <w:pPr>
        <w:numPr>
          <w:ilvl w:val="0"/>
          <w:numId w:val="1"/>
        </w:numPr>
      </w:pPr>
      <w:bookmarkStart w:id="10" w:name="_Ref32348"/>
      <w:r>
        <w:rPr>
          <w:rFonts w:hint="eastAsia"/>
        </w:rPr>
        <w:t>Zhou Y, et al. A foundation model for generalizable disease detection from retinal images[J]. Nature, 2023, 622: 156-163.</w:t>
      </w:r>
      <w:bookmarkEnd w:id="10"/>
    </w:p>
    <w:p w14:paraId="59E018C4">
      <w:pPr>
        <w:numPr>
          <w:ilvl w:val="0"/>
          <w:numId w:val="1"/>
        </w:numPr>
      </w:pPr>
      <w:bookmarkStart w:id="11" w:name="_Ref32423"/>
      <w:r>
        <w:rPr>
          <w:rFonts w:hint="eastAsia"/>
        </w:rPr>
        <w:t>Zhao X. Development and Validation of a Deep-Learning Model to Predict Visual and Anatomical Prognosis of Anti-VEGF Therapy for Neovascular Age-Related Macular Degeneration (KongMing Study): A Prospective, Nationwide, Multi-center Study[J]. Lancet Digit Health, 2026.</w:t>
      </w:r>
      <w:bookmarkEnd w:id="11"/>
    </w:p>
    <w:p w14:paraId="01D43A43">
      <w:pPr>
        <w:numPr>
          <w:ilvl w:val="0"/>
          <w:numId w:val="1"/>
        </w:numPr>
      </w:pPr>
      <w:bookmarkStart w:id="12" w:name="_Ref32446"/>
      <w:r>
        <w:rPr>
          <w:rFonts w:hint="eastAsia"/>
        </w:rPr>
        <w:t>Tang J, Wang XN, Yang X, et al. TSNet: Task-specific network for joint diabetic retinopathy grading and lesion segmentation of ultra-wide optical coherence tomography angiography images[J]. Vis Comput, 2024, 40: 5935-5946.</w:t>
      </w:r>
      <w:bookmarkEnd w:id="12"/>
    </w:p>
    <w:p w14:paraId="58968A6E">
      <w:pPr>
        <w:numPr>
          <w:ilvl w:val="0"/>
          <w:numId w:val="1"/>
        </w:numPr>
      </w:pPr>
      <w:bookmarkStart w:id="13" w:name="_Ref31136"/>
      <w:r>
        <w:rPr>
          <w:rFonts w:hint="eastAsia"/>
        </w:rPr>
        <w:t>Wen Y, Wang XN, Tang JX, et al. CCM-Net: Contrastive and Consistent Multi-Task Network for Artifact Segmentation and Quality Classification of OCTA Images[J]. ACM Trans Multimedia Comput Commun Appl, 2025, 21(12): 337.</w:t>
      </w:r>
      <w:bookmarkEnd w:id="13"/>
    </w:p>
    <w:p w14:paraId="3723D526">
      <w:pPr>
        <w:numPr>
          <w:ilvl w:val="0"/>
          <w:numId w:val="1"/>
        </w:numPr>
      </w:pPr>
      <w:bookmarkStart w:id="14" w:name="_Ref32475"/>
      <w:r>
        <w:rPr>
          <w:rFonts w:hint="eastAsia"/>
        </w:rPr>
        <w:t>Jung J, Han J, Han JM, et al. Prediction of neovascular age-related macular degeneration recurrence using optical coherence tomography images with a deep neural network[J]. Sci Rep, 2024, 14: 5854.</w:t>
      </w:r>
      <w:bookmarkEnd w:id="14"/>
    </w:p>
    <w:p w14:paraId="44D9EF75">
      <w:pPr>
        <w:numPr>
          <w:ilvl w:val="0"/>
          <w:numId w:val="1"/>
        </w:numPr>
      </w:pPr>
      <w:bookmarkStart w:id="15" w:name="_Ref32508"/>
      <w:r>
        <w:rPr>
          <w:rFonts w:hint="eastAsia"/>
        </w:rPr>
        <w:t>Qiao H, Tang F, Zhou H, et al. Forecasting the diabetic retinopathy progression using generative adversarial networks[J]. Commun Med, 2025, 5: 368.</w:t>
      </w:r>
      <w:bookmarkEnd w:id="15"/>
    </w:p>
    <w:p w14:paraId="56634C4E">
      <w:pPr>
        <w:numPr>
          <w:ilvl w:val="0"/>
          <w:numId w:val="1"/>
        </w:numPr>
      </w:pPr>
      <w:bookmarkStart w:id="16" w:name="_Ref32528"/>
      <w:r>
        <w:rPr>
          <w:rFonts w:hint="eastAsia"/>
        </w:rPr>
        <w:t xml:space="preserve">Zedadra A, Salah-Salah MY, Zedadra O, et al. Multi-Modal AI for Multi-Label Retinal Disease Prediction Using OCT and Fundus Images: A Hybrid Approach[J]. Sensors, 2025, 25(14): 4492. </w:t>
      </w:r>
      <w:bookmarkEnd w:id="16"/>
    </w:p>
    <w:p w14:paraId="59409A93">
      <w:pPr>
        <w:numPr>
          <w:ilvl w:val="0"/>
          <w:numId w:val="1"/>
        </w:numPr>
      </w:pPr>
      <w:bookmarkStart w:id="17" w:name="_Ref32547"/>
      <w:r>
        <w:rPr>
          <w:rFonts w:hint="eastAsia"/>
        </w:rPr>
        <w:t>Wang MH. Explainable Artificial Intelligence Framework for Predicting Treatment Outcomes in Age-Related Macular Degeneration[J]. Sensors, 2025, 25: 6879.</w:t>
      </w:r>
      <w:bookmarkEnd w:id="17"/>
    </w:p>
    <w:p w14:paraId="5CCF848A">
      <w:pPr>
        <w:numPr>
          <w:ilvl w:val="0"/>
          <w:numId w:val="1"/>
        </w:numPr>
      </w:pPr>
      <w:bookmarkStart w:id="18" w:name="_Ref32622"/>
      <w:r>
        <w:rPr>
          <w:rFonts w:hint="eastAsia"/>
        </w:rPr>
        <w:t>Wu Y, Qian B, Li T, et al. An eyecare foundation model for clinical assistance: a randomized controlled trial[J]. Nat Med, 2025, 31(10): 3404-3413.</w:t>
      </w:r>
      <w:bookmarkEnd w:id="18"/>
    </w:p>
    <w:p w14:paraId="66C5B04B">
      <w:pPr>
        <w:numPr>
          <w:ilvl w:val="0"/>
          <w:numId w:val="1"/>
        </w:numPr>
      </w:pPr>
      <w:bookmarkStart w:id="19" w:name="_Ref32645"/>
      <w:r>
        <w:rPr>
          <w:rFonts w:hint="eastAsia"/>
        </w:rPr>
        <w:t>Qi Z, Li T, Chen J, et al. A deep learning system for myopia onset prediction and intervention effectiveness evaluation in children[J]. npj Digit Med, 2024, 7: 206.</w:t>
      </w:r>
      <w:bookmarkEnd w:id="19"/>
    </w:p>
    <w:p w14:paraId="657E62B8">
      <w:pPr>
        <w:numPr>
          <w:ilvl w:val="0"/>
          <w:numId w:val="1"/>
        </w:numPr>
      </w:pPr>
      <w:bookmarkStart w:id="20" w:name="_Ref263"/>
      <w:r>
        <w:rPr>
          <w:rFonts w:hint="eastAsia"/>
        </w:rPr>
        <w:t>Morano J, Fazekas B, Sükei E, et al. Multimodal foundation model and benchmark for comprehensive retinal OCT image analysis[J]. npj Digit Med, 2025, 8: 576.</w:t>
      </w:r>
      <w:bookmarkEnd w:id="20"/>
    </w:p>
    <w:p w14:paraId="7835DBFA">
      <w:pPr>
        <w:numPr>
          <w:ilvl w:val="0"/>
          <w:numId w:val="1"/>
        </w:numPr>
      </w:pPr>
      <w:bookmarkStart w:id="21" w:name="_Ref305"/>
      <w:r>
        <w:rPr>
          <w:rFonts w:hint="eastAsia"/>
        </w:rPr>
        <w:t>Shi D, Zhang W, Yang J, et al. A multimodal visual–language foundation model for computational ophthalmology[J]. npj Digit Med, 2025, 8: 381.</w:t>
      </w:r>
      <w:bookmarkEnd w:id="21"/>
    </w:p>
    <w:p w14:paraId="736B44A6">
      <w:pPr>
        <w:numPr>
          <w:ilvl w:val="0"/>
          <w:numId w:val="1"/>
        </w:numPr>
      </w:pPr>
      <w:bookmarkStart w:id="22" w:name="_Ref383"/>
      <w:r>
        <w:rPr>
          <w:rFonts w:hint="eastAsia"/>
        </w:rPr>
        <w:t>Li J, Guan Z, Wang J, et al. Integrated image-based deep learning and language models for primary diabetes care[J]. Nat Med, 2024, 30: 2886-2896.</w:t>
      </w:r>
      <w:bookmarkEnd w:id="22"/>
    </w:p>
    <w:p w14:paraId="0A3678A8">
      <w:pPr>
        <w:numPr>
          <w:ilvl w:val="0"/>
          <w:numId w:val="1"/>
        </w:numPr>
      </w:pPr>
      <w:bookmarkStart w:id="23" w:name="_Ref423"/>
      <w:r>
        <w:rPr>
          <w:rFonts w:hint="eastAsia"/>
        </w:rPr>
        <w:t>Soh ZD, et al. An integrated language-vision foundation model for conversational diagnostics and triaging in primary eye care[J]. Cell Rep Med, 2025, 6(12): 102476.</w:t>
      </w:r>
      <w:bookmarkEnd w:id="23"/>
    </w:p>
    <w:p w14:paraId="566F0E78">
      <w:pPr>
        <w:numPr>
          <w:ilvl w:val="0"/>
          <w:numId w:val="1"/>
        </w:numPr>
      </w:pPr>
      <w:bookmarkStart w:id="24" w:name="_Ref455"/>
      <w:r>
        <w:rPr>
          <w:rFonts w:hint="eastAsia"/>
        </w:rPr>
        <w:t>Giordano M, Xompero C, Mehanna CJ, et al. Identifying exudative recurrence in neovascular age-related macular degeneration using large language models[J]. AJO Int, 2025, 2(4): 100186.</w:t>
      </w:r>
      <w:bookmarkEnd w:id="24"/>
    </w:p>
    <w:p w14:paraId="46E44CFF">
      <w:pPr>
        <w:numPr>
          <w:ilvl w:val="0"/>
          <w:numId w:val="1"/>
        </w:numPr>
      </w:pPr>
      <w:bookmarkStart w:id="25" w:name="_Ref472"/>
      <w:r>
        <w:rPr>
          <w:rFonts w:hint="eastAsia"/>
        </w:rPr>
        <w:t>Most JA, Walker EH, Mehta NN, et al. Can Multimodal Large Language Models Diagnose Diabetic Retinopathy from Fundus Photos? A Quantitative Evaluation[J]. Ophthalmol Sci, 2025, 6(1): 100911.</w:t>
      </w:r>
      <w:bookmarkEnd w:id="25"/>
    </w:p>
    <w:p w14:paraId="534A47E5">
      <w:pPr>
        <w:spacing w:line="276" w:lineRule="auto"/>
        <w:rPr>
          <w:sz w:val="24"/>
          <w:szCs w:val="24"/>
        </w:rPr>
      </w:pPr>
    </w:p>
    <w:permEnd w:id="1"/>
    <w:p w14:paraId="4F87371A">
      <w:pPr>
        <w:snapToGrid w:val="0"/>
        <w:spacing w:line="440" w:lineRule="exact"/>
        <w:ind w:firstLine="562" w:firstLineChars="200"/>
        <w:rPr>
          <w:rFonts w:ascii="楷体" w:hAnsi="楷体" w:eastAsia="楷体" w:cs="楷体_GB2312"/>
          <w:b/>
          <w:bCs/>
          <w:color w:val="0070C0"/>
          <w:sz w:val="28"/>
          <w:szCs w:val="28"/>
        </w:rPr>
      </w:pPr>
      <w:r>
        <w:rPr>
          <w:rFonts w:hint="eastAsia" w:ascii="楷体" w:hAnsi="楷体" w:eastAsia="楷体" w:cs="楷体_GB2312"/>
          <w:b/>
          <w:bCs/>
          <w:color w:val="0070C0"/>
          <w:sz w:val="28"/>
          <w:szCs w:val="28"/>
        </w:rPr>
        <w:t>（二）研究内容：</w:t>
      </w:r>
    </w:p>
    <w:p w14:paraId="3D2A2EAD">
      <w:pPr>
        <w:snapToGrid w:val="0"/>
        <w:spacing w:line="440" w:lineRule="exact"/>
        <w:ind w:firstLine="560" w:firstLineChars="200"/>
        <w:rPr>
          <w:rFonts w:ascii="楷体" w:hAnsi="楷体" w:eastAsia="楷体" w:cs="楷体_GB2312"/>
          <w:color w:val="0070C0"/>
          <w:sz w:val="28"/>
          <w:szCs w:val="28"/>
        </w:rPr>
      </w:pPr>
      <w:r>
        <w:rPr>
          <w:rFonts w:hint="eastAsia" w:ascii="楷体" w:hAnsi="楷体" w:eastAsia="楷体"/>
          <w:color w:val="0070C0"/>
          <w:sz w:val="28"/>
          <w:szCs w:val="28"/>
        </w:rPr>
        <w:t>（提纲不做限制，请按照研究工作的自身逻辑撰写。应提炼出特色与创新点、年度研究计划）</w:t>
      </w:r>
    </w:p>
    <w:p w14:paraId="3C27D585">
      <w:pPr>
        <w:pStyle w:val="4"/>
        <w:widowControl/>
        <w:snapToGrid w:val="0"/>
        <w:spacing w:beforeAutospacing="0" w:afterAutospacing="0" w:line="360" w:lineRule="auto"/>
        <w:jc w:val="both"/>
        <w:rPr>
          <w:rFonts w:hint="default" w:ascii="Times New Roman" w:hAnsi="Times New Roman" w:cs="宋体"/>
          <w:sz w:val="28"/>
          <w:szCs w:val="28"/>
        </w:rPr>
      </w:pPr>
      <w:permStart w:id="2" w:edGrp="everyone"/>
      <w:r>
        <w:rPr>
          <w:rFonts w:ascii="Times New Roman" w:hAnsi="Times New Roman" w:cs="宋体"/>
          <w:sz w:val="28"/>
          <w:szCs w:val="28"/>
        </w:rPr>
        <w:t>2.1 研究内容</w:t>
      </w:r>
    </w:p>
    <w:p w14:paraId="677BDCC8">
      <w:pPr>
        <w:snapToGrid w:val="0"/>
        <w:spacing w:line="360" w:lineRule="auto"/>
        <w:ind w:firstLine="420"/>
        <w:rPr>
          <w:sz w:val="24"/>
          <w:szCs w:val="24"/>
        </w:rPr>
      </w:pPr>
      <w:r>
        <w:rPr>
          <w:rFonts w:hint="eastAsia"/>
          <w:sz w:val="24"/>
          <w:szCs w:val="24"/>
        </w:rPr>
        <w:t>本项目面向真实临床随访中致盲性眼底疾病长期管理的实际需求，针对多模态数据普遍存在的模态缺失、数据异构及随访时间不规则等问题，拟构建</w:t>
      </w:r>
      <w:r>
        <w:rPr>
          <w:rFonts w:hint="eastAsia"/>
          <w:b/>
          <w:bCs/>
          <w:sz w:val="24"/>
          <w:szCs w:val="24"/>
        </w:rPr>
        <w:t>基于多模态大模型的致盲性眼底疾病疗效预测智能体</w:t>
      </w:r>
      <w:r>
        <w:rPr>
          <w:rFonts w:hint="eastAsia"/>
          <w:sz w:val="24"/>
          <w:szCs w:val="24"/>
        </w:rPr>
        <w:t>。项目总体目标是实现</w:t>
      </w:r>
      <w:r>
        <w:rPr>
          <w:rFonts w:hint="eastAsia"/>
          <w:b/>
          <w:bCs/>
          <w:sz w:val="24"/>
          <w:szCs w:val="24"/>
        </w:rPr>
        <w:t>在多模态信息缺失与不规则随访条件下的长期疗效精准预测与多疾病协同决策</w:t>
      </w:r>
      <w:r>
        <w:rPr>
          <w:rFonts w:hint="eastAsia"/>
          <w:sz w:val="24"/>
          <w:szCs w:val="24"/>
        </w:rPr>
        <w:t>，为致盲性眼底疾病提供可靠的临床决策支持。围绕这一总体目标，本研究将从</w:t>
      </w:r>
      <w:r>
        <w:rPr>
          <w:rFonts w:hint="eastAsia"/>
          <w:b/>
          <w:bCs/>
          <w:sz w:val="24"/>
          <w:szCs w:val="24"/>
        </w:rPr>
        <w:t>多模态数据补全与融合、长时序疗效预测建模</w:t>
      </w:r>
      <w:r>
        <w:rPr>
          <w:rFonts w:hint="eastAsia"/>
          <w:sz w:val="24"/>
          <w:szCs w:val="24"/>
        </w:rPr>
        <w:t>、</w:t>
      </w:r>
      <w:r>
        <w:rPr>
          <w:rFonts w:hint="eastAsia"/>
          <w:b/>
          <w:bCs/>
          <w:sz w:val="24"/>
          <w:szCs w:val="24"/>
        </w:rPr>
        <w:t>智能体协同决策机制解析</w:t>
      </w:r>
      <w:r>
        <w:rPr>
          <w:rFonts w:hint="eastAsia"/>
          <w:sz w:val="24"/>
          <w:szCs w:val="24"/>
        </w:rPr>
        <w:t>以及</w:t>
      </w:r>
      <w:r>
        <w:rPr>
          <w:rFonts w:hint="eastAsia"/>
          <w:b/>
          <w:bCs/>
          <w:sz w:val="24"/>
          <w:szCs w:val="24"/>
        </w:rPr>
        <w:t>临床验证体系构建</w:t>
      </w:r>
      <w:r>
        <w:rPr>
          <w:rFonts w:hint="eastAsia"/>
          <w:sz w:val="24"/>
          <w:szCs w:val="24"/>
        </w:rPr>
        <w:t>四个方面开展系统研究，整体研究内容框架如图2所示。</w:t>
      </w:r>
    </w:p>
    <w:p w14:paraId="67BF794F">
      <w:pPr>
        <w:snapToGrid w:val="0"/>
        <w:spacing w:line="360" w:lineRule="auto"/>
        <w:ind w:firstLine="420"/>
      </w:pPr>
      <w:r>
        <w:rPr>
          <w:rFonts w:hint="eastAsia"/>
          <w:sz w:val="24"/>
          <w:szCs w:val="24"/>
        </w:rPr>
        <w:t>首先，针对真实临床随访中眼底影像、诊疗文本及临床指标等多模态数据普遍存在缺失与异构的问题，本研究旨在实现</w:t>
      </w:r>
      <w:r>
        <w:rPr>
          <w:rFonts w:hint="eastAsia"/>
          <w:b/>
          <w:bCs/>
          <w:sz w:val="24"/>
          <w:szCs w:val="24"/>
        </w:rPr>
        <w:t>模态缺失条件下的多模态高质量补全与特征融合</w:t>
      </w:r>
      <w:r>
        <w:rPr>
          <w:rFonts w:hint="eastAsia"/>
          <w:sz w:val="24"/>
          <w:szCs w:val="24"/>
        </w:rPr>
        <w:t>。其核心关键科学问题在于</w:t>
      </w:r>
      <w:r>
        <w:rPr>
          <w:rFonts w:hint="eastAsia"/>
          <w:b/>
          <w:bCs/>
          <w:sz w:val="24"/>
          <w:szCs w:val="24"/>
        </w:rPr>
        <w:t>在模态缺失与数据异构条件下，如何建立跨模态语义对齐机制，实现多模态信息的高质量补全与统一协同表示</w:t>
      </w:r>
      <w:r>
        <w:rPr>
          <w:rFonts w:hint="eastAsia"/>
          <w:sz w:val="24"/>
          <w:szCs w:val="24"/>
        </w:rPr>
        <w:t>。为此，本研究将构建跨模态语义对齐模型，在统一潜在空间中结合潜在生成模型实现影像、文本及临床指标的缺失补全，并基于稀疏混合专家机制实现多模态特征的自适应融合，形成统一多模态表示，为后续疗效预测提供可靠的数据基础。</w:t>
      </w:r>
    </w:p>
    <w:p w14:paraId="17D4C3E2">
      <w:pPr>
        <w:pStyle w:val="4"/>
        <w:widowControl/>
        <w:snapToGrid w:val="0"/>
        <w:spacing w:beforeAutospacing="0" w:afterAutospacing="0" w:line="360" w:lineRule="auto"/>
        <w:jc w:val="center"/>
        <w:rPr>
          <w:rFonts w:hint="default" w:ascii="Times New Roman" w:hAnsi="Times New Roman" w:cs="宋体"/>
          <w:sz w:val="24"/>
          <w:szCs w:val="24"/>
        </w:rPr>
      </w:pPr>
      <w:r>
        <w:rPr>
          <w:rFonts w:ascii="Times New Roman" w:hAnsi="Times New Roman" w:cs="宋体"/>
          <w:sz w:val="24"/>
          <w:szCs w:val="24"/>
        </w:rPr>
        <w:drawing>
          <wp:inline distT="0" distB="0" distL="114300" distR="114300">
            <wp:extent cx="5093335" cy="3205480"/>
            <wp:effectExtent l="0" t="0" r="12065" b="7620"/>
            <wp:docPr id="8" name="图片 8" descr="面上项目-插图更新汇总-图1图3待更新-20260318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面上项目-插图更新汇总-图1图3待更新-20260318_02"/>
                    <pic:cNvPicPr>
                      <a:picLocks noChangeAspect="1"/>
                    </pic:cNvPicPr>
                  </pic:nvPicPr>
                  <pic:blipFill>
                    <a:blip r:embed="rId5"/>
                    <a:srcRect l="5550" t="14905" r="9490" b="18257"/>
                    <a:stretch>
                      <a:fillRect/>
                    </a:stretch>
                  </pic:blipFill>
                  <pic:spPr>
                    <a:xfrm>
                      <a:off x="0" y="0"/>
                      <a:ext cx="5093335" cy="3205480"/>
                    </a:xfrm>
                    <a:prstGeom prst="rect">
                      <a:avLst/>
                    </a:prstGeom>
                  </pic:spPr>
                </pic:pic>
              </a:graphicData>
            </a:graphic>
          </wp:inline>
        </w:drawing>
      </w:r>
    </w:p>
    <w:p w14:paraId="71F76A9B">
      <w:pPr>
        <w:snapToGrid w:val="0"/>
        <w:spacing w:line="360" w:lineRule="auto"/>
        <w:jc w:val="center"/>
        <w:rPr>
          <w:rFonts w:cs="宋体"/>
          <w:sz w:val="24"/>
          <w:szCs w:val="24"/>
        </w:rPr>
      </w:pPr>
      <w:r>
        <w:rPr>
          <w:rFonts w:hint="eastAsia" w:cs="宋体"/>
          <w:sz w:val="24"/>
          <w:szCs w:val="24"/>
        </w:rPr>
        <w:t>图2 研究内容框架图</w:t>
      </w:r>
    </w:p>
    <w:p w14:paraId="4559566A">
      <w:pPr>
        <w:snapToGrid w:val="0"/>
        <w:spacing w:line="360" w:lineRule="auto"/>
        <w:jc w:val="center"/>
        <w:rPr>
          <w:rFonts w:cs="宋体"/>
          <w:sz w:val="24"/>
          <w:szCs w:val="24"/>
        </w:rPr>
      </w:pPr>
    </w:p>
    <w:p w14:paraId="2CFD6CDC">
      <w:pPr>
        <w:snapToGrid w:val="0"/>
        <w:spacing w:line="360" w:lineRule="auto"/>
        <w:ind w:firstLine="420"/>
        <w:rPr>
          <w:sz w:val="24"/>
          <w:szCs w:val="24"/>
        </w:rPr>
      </w:pPr>
      <w:r>
        <w:rPr>
          <w:rFonts w:hint="eastAsia"/>
          <w:sz w:val="24"/>
          <w:szCs w:val="24"/>
        </w:rPr>
        <w:t>其次，针对致盲性眼底疾病1-3年长程治疗过程中随访时间不规则、疾病演进复杂以及传统静态预测模型难以兼顾宏观病程与微观病灶演变的问题，本研究旨在实现</w:t>
      </w:r>
      <w:r>
        <w:rPr>
          <w:rFonts w:hint="eastAsia"/>
          <w:b/>
          <w:bCs/>
          <w:sz w:val="24"/>
          <w:szCs w:val="24"/>
        </w:rPr>
        <w:t>长时序病程动态建模与多维度疗效协同预测</w:t>
      </w:r>
      <w:r>
        <w:rPr>
          <w:rFonts w:hint="eastAsia"/>
          <w:sz w:val="24"/>
          <w:szCs w:val="24"/>
        </w:rPr>
        <w:t>。其核心关键科学问题在于</w:t>
      </w:r>
      <w:r>
        <w:rPr>
          <w:rFonts w:hint="eastAsia"/>
          <w:b/>
          <w:bCs/>
          <w:sz w:val="24"/>
          <w:szCs w:val="24"/>
        </w:rPr>
        <w:t>在不规则随访条件下，如何同时建模长期病程趋势与局灶性演变，并实现疗效预测</w:t>
      </w:r>
      <w:r>
        <w:rPr>
          <w:rFonts w:hint="eastAsia"/>
          <w:sz w:val="24"/>
          <w:szCs w:val="24"/>
        </w:rPr>
        <w:t>。为此，本研究拟构建Mamba2-UMamba双流架构与医疗大模型协同驱动的长时序动态疗效预测模型，其中以Mamba2主干构建宏观时序流以适配不规则随访间隔并捕捉全局病程趋势，以UMamba架构构建微观病灶流以精准追踪关键病理特征的细微演变，并通过跨尺度门控融合实现宏微观时空特征的协同优化；同时提出医疗大模型知识引导的多任务协同推演方法，以眼科预训练大模型为知识锚点，通过参数高效微调注入医学先验，规避长程预测的医学逻辑失真，并构建共享特征基座与解耦任务头架构，同步实现视力预测、解剖结构生成、治疗反应分类等多维核心任务的并发推演，解决多任务间的梯度冲突问题。</w:t>
      </w:r>
    </w:p>
    <w:p w14:paraId="4F9FC15A">
      <w:pPr>
        <w:snapToGrid w:val="0"/>
        <w:spacing w:line="360" w:lineRule="auto"/>
        <w:ind w:firstLine="420"/>
        <w:rPr>
          <w:sz w:val="24"/>
          <w:szCs w:val="24"/>
        </w:rPr>
      </w:pPr>
      <w:r>
        <w:rPr>
          <w:rFonts w:hint="eastAsia"/>
          <w:sz w:val="24"/>
          <w:szCs w:val="24"/>
        </w:rPr>
        <w:t>进一步地，针对真实眼科诊疗中多病种交叉与多维疗效并发评估的复杂场景，以及传统单病种单模型架构在多任务处理时易产生特征纠缠和负迁移的问题，本研究旨在</w:t>
      </w:r>
      <w:r>
        <w:rPr>
          <w:rFonts w:hint="eastAsia"/>
          <w:b/>
          <w:bCs/>
          <w:sz w:val="24"/>
          <w:szCs w:val="24"/>
        </w:rPr>
        <w:t>构建基于大语言模型的多疾病多任务疗效预测智能体</w:t>
      </w:r>
      <w:r>
        <w:rPr>
          <w:rFonts w:hint="eastAsia"/>
          <w:sz w:val="24"/>
          <w:szCs w:val="24"/>
        </w:rPr>
        <w:t>。其核心关键科学问题在于</w:t>
      </w:r>
      <w:r>
        <w:rPr>
          <w:rFonts w:hint="eastAsia"/>
          <w:b/>
          <w:bCs/>
          <w:sz w:val="24"/>
          <w:szCs w:val="24"/>
        </w:rPr>
        <w:t>在多疾病多任务并发条件下，如何实现在同一智能体中兼容多种疾病的预测</w:t>
      </w:r>
      <w:r>
        <w:rPr>
          <w:rFonts w:hint="eastAsia"/>
          <w:sz w:val="24"/>
          <w:szCs w:val="24"/>
        </w:rPr>
        <w:t>。为此，本研究将构建以大语言模型为核心的模块化协作智能体，将数据补全、多模态融合、疗效预测及归因可视化拆分为独立模块，并由大模型作为决策中心根据患者具体情况进行模块调度；同时设计基于思考-动作-反馈的多阶段推理机制，使智能体能够模拟临床专家的分诊逻辑，即对多模态数据进行智能评估与疾病分类，</w:t>
      </w:r>
      <w:r>
        <w:rPr>
          <w:rFonts w:hint="eastAsia" w:cs="宋体"/>
          <w:sz w:val="24"/>
          <w:szCs w:val="24"/>
        </w:rPr>
        <w:t>进而生成对应疾病的分析报告</w:t>
      </w:r>
      <w:r>
        <w:rPr>
          <w:rFonts w:hint="eastAsia"/>
          <w:sz w:val="24"/>
          <w:szCs w:val="24"/>
        </w:rPr>
        <w:t>。</w:t>
      </w:r>
    </w:p>
    <w:p w14:paraId="22575876">
      <w:pPr>
        <w:snapToGrid w:val="0"/>
        <w:spacing w:line="360" w:lineRule="auto"/>
        <w:ind w:firstLine="420"/>
        <w:rPr>
          <w:sz w:val="24"/>
          <w:szCs w:val="24"/>
        </w:rPr>
      </w:pPr>
      <w:r>
        <w:rPr>
          <w:rFonts w:hint="eastAsia"/>
          <w:sz w:val="24"/>
          <w:szCs w:val="24"/>
        </w:rPr>
        <w:t>最后，为验证所构建智能体系统在真实临床环境中的应用价值，本研究旨在</w:t>
      </w:r>
      <w:r>
        <w:rPr>
          <w:rFonts w:hint="eastAsia"/>
          <w:b/>
          <w:bCs/>
          <w:sz w:val="24"/>
          <w:szCs w:val="24"/>
        </w:rPr>
        <w:t>建立面向临床应用的系统化验证与评估体系</w:t>
      </w:r>
      <w:r>
        <w:rPr>
          <w:rFonts w:hint="eastAsia"/>
          <w:sz w:val="24"/>
          <w:szCs w:val="24"/>
        </w:rPr>
        <w:t>。其核心关键科学问题在于</w:t>
      </w:r>
      <w:r>
        <w:rPr>
          <w:rFonts w:hint="eastAsia"/>
          <w:b/>
          <w:bCs/>
          <w:sz w:val="24"/>
          <w:szCs w:val="24"/>
        </w:rPr>
        <w:t>如何量化智能体做出医疗决策的准确性</w:t>
      </w:r>
      <w:r>
        <w:rPr>
          <w:rFonts w:hint="eastAsia"/>
          <w:sz w:val="24"/>
          <w:szCs w:val="24"/>
        </w:rPr>
        <w:t>。为此，本研究将构建数据保真度、预测泛化性、临床决策价值三维评价体系。首先，综合客观量化与专家视觉测试，评估AI重构与生成数据的临床解剖与病理可靠性；其次，依托跨中心队列开展梯度化人机对比研究，论证智能体辅助系统能否有效抹平医师经验鸿沟，提升复杂眼底疾病诊疗的一致性；最后，组织资深专家对智能体生成的自然语言预后报告开展综合评审，重点评估其证据充分性与实际指导意义，全面论证该系统作为新型临床决策支持系统（CDSS）的落地可行性与医生信任度。</w:t>
      </w:r>
    </w:p>
    <w:p w14:paraId="011B782B">
      <w:pPr>
        <w:snapToGrid w:val="0"/>
        <w:spacing w:line="360" w:lineRule="auto"/>
        <w:ind w:firstLine="420"/>
        <w:rPr>
          <w:rFonts w:cs="宋体"/>
          <w:sz w:val="24"/>
          <w:szCs w:val="24"/>
        </w:rPr>
      </w:pPr>
    </w:p>
    <w:p w14:paraId="2A20E9B0">
      <w:pPr>
        <w:snapToGrid w:val="0"/>
        <w:spacing w:line="360" w:lineRule="auto"/>
        <w:outlineLvl w:val="1"/>
        <w:rPr>
          <w:b/>
          <w:sz w:val="28"/>
          <w:szCs w:val="28"/>
        </w:rPr>
      </w:pPr>
      <w:r>
        <w:rPr>
          <w:b/>
          <w:sz w:val="28"/>
          <w:szCs w:val="28"/>
        </w:rPr>
        <w:t>2.</w:t>
      </w:r>
      <w:r>
        <w:rPr>
          <w:rFonts w:hint="eastAsia"/>
          <w:b/>
          <w:sz w:val="28"/>
          <w:szCs w:val="28"/>
        </w:rPr>
        <w:t>2</w:t>
      </w:r>
      <w:r>
        <w:rPr>
          <w:b/>
          <w:sz w:val="28"/>
          <w:szCs w:val="28"/>
        </w:rPr>
        <w:t xml:space="preserve"> </w:t>
      </w:r>
      <w:r>
        <w:rPr>
          <w:rFonts w:hint="eastAsia"/>
          <w:b/>
          <w:sz w:val="28"/>
          <w:szCs w:val="28"/>
        </w:rPr>
        <w:t>技术路线</w:t>
      </w:r>
    </w:p>
    <w:p w14:paraId="7792BE1D">
      <w:pPr>
        <w:snapToGrid w:val="0"/>
        <w:spacing w:line="360" w:lineRule="auto"/>
        <w:jc w:val="center"/>
        <w:outlineLvl w:val="1"/>
        <w:rPr>
          <w:bCs/>
          <w:sz w:val="24"/>
          <w:szCs w:val="24"/>
        </w:rPr>
      </w:pPr>
      <w:r>
        <w:rPr>
          <w:rFonts w:hint="eastAsia"/>
          <w:bCs/>
          <w:sz w:val="24"/>
          <w:szCs w:val="24"/>
        </w:rPr>
        <w:drawing>
          <wp:inline distT="0" distB="0" distL="114300" distR="114300">
            <wp:extent cx="4981575" cy="2484120"/>
            <wp:effectExtent l="0" t="0" r="9525" b="5080"/>
            <wp:docPr id="5" name="图片 5" descr="新建 PPTX 演示文稿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新建 PPTX 演示文稿_01"/>
                    <pic:cNvPicPr>
                      <a:picLocks noChangeAspect="1"/>
                    </pic:cNvPicPr>
                  </pic:nvPicPr>
                  <pic:blipFill>
                    <a:blip r:embed="rId6"/>
                    <a:srcRect t="5823" b="14378"/>
                    <a:stretch>
                      <a:fillRect/>
                    </a:stretch>
                  </pic:blipFill>
                  <pic:spPr>
                    <a:xfrm>
                      <a:off x="0" y="0"/>
                      <a:ext cx="4981575" cy="2484120"/>
                    </a:xfrm>
                    <a:prstGeom prst="rect">
                      <a:avLst/>
                    </a:prstGeom>
                  </pic:spPr>
                </pic:pic>
              </a:graphicData>
            </a:graphic>
          </wp:inline>
        </w:drawing>
      </w:r>
    </w:p>
    <w:p w14:paraId="5DAAA4FD">
      <w:pPr>
        <w:snapToGrid w:val="0"/>
        <w:spacing w:line="360" w:lineRule="auto"/>
        <w:jc w:val="center"/>
        <w:outlineLvl w:val="1"/>
        <w:rPr>
          <w:bCs/>
          <w:sz w:val="24"/>
          <w:szCs w:val="24"/>
          <w:highlight w:val="yellow"/>
        </w:rPr>
      </w:pPr>
      <w:r>
        <w:rPr>
          <w:rFonts w:hint="eastAsia"/>
          <w:bCs/>
          <w:sz w:val="24"/>
          <w:szCs w:val="24"/>
        </w:rPr>
        <w:t>图3 本研究总体技术路线框架图</w:t>
      </w:r>
    </w:p>
    <w:p w14:paraId="5C3B2ACF">
      <w:pPr>
        <w:snapToGrid w:val="0"/>
        <w:spacing w:line="360" w:lineRule="auto"/>
        <w:jc w:val="center"/>
        <w:outlineLvl w:val="1"/>
        <w:rPr>
          <w:bCs/>
          <w:sz w:val="24"/>
          <w:szCs w:val="24"/>
        </w:rPr>
      </w:pPr>
    </w:p>
    <w:p w14:paraId="2BD9139B">
      <w:pPr>
        <w:snapToGrid w:val="0"/>
        <w:spacing w:line="360" w:lineRule="auto"/>
        <w:outlineLvl w:val="0"/>
        <w:rPr>
          <w:rFonts w:cs="宋体"/>
          <w:sz w:val="24"/>
          <w:szCs w:val="24"/>
        </w:rPr>
      </w:pPr>
      <w:r>
        <w:rPr>
          <w:b/>
          <w:sz w:val="24"/>
          <w:szCs w:val="24"/>
        </w:rPr>
        <w:t>2.</w:t>
      </w:r>
      <w:r>
        <w:rPr>
          <w:rFonts w:hint="eastAsia"/>
          <w:b/>
          <w:sz w:val="24"/>
          <w:szCs w:val="24"/>
        </w:rPr>
        <w:t>2</w:t>
      </w:r>
      <w:r>
        <w:rPr>
          <w:b/>
          <w:sz w:val="24"/>
          <w:szCs w:val="24"/>
        </w:rPr>
        <w:t>.1</w:t>
      </w:r>
      <w:r>
        <w:rPr>
          <w:rFonts w:hint="eastAsia"/>
          <w:b/>
          <w:sz w:val="24"/>
          <w:szCs w:val="24"/>
        </w:rPr>
        <w:t xml:space="preserve"> </w:t>
      </w:r>
      <w:r>
        <w:rPr>
          <w:b/>
          <w:sz w:val="24"/>
          <w:szCs w:val="24"/>
        </w:rPr>
        <w:t>致盲性眼底疾病多时序多模态数据集构建与预处理</w:t>
      </w:r>
    </w:p>
    <w:p w14:paraId="4D37CD99">
      <w:pPr>
        <w:snapToGrid w:val="0"/>
        <w:spacing w:line="360" w:lineRule="auto"/>
        <w:rPr>
          <w:b/>
          <w:sz w:val="24"/>
          <w:szCs w:val="24"/>
        </w:rPr>
      </w:pPr>
      <w:r>
        <w:rPr>
          <w:b/>
          <w:sz w:val="24"/>
          <w:szCs w:val="24"/>
        </w:rPr>
        <w:t>2.</w:t>
      </w:r>
      <w:r>
        <w:rPr>
          <w:rFonts w:hint="eastAsia"/>
          <w:b/>
          <w:sz w:val="24"/>
          <w:szCs w:val="24"/>
        </w:rPr>
        <w:t>2</w:t>
      </w:r>
      <w:r>
        <w:rPr>
          <w:b/>
          <w:sz w:val="24"/>
          <w:szCs w:val="24"/>
        </w:rPr>
        <w:t>.1.</w:t>
      </w:r>
      <w:r>
        <w:rPr>
          <w:rFonts w:hint="eastAsia"/>
          <w:b/>
          <w:sz w:val="24"/>
          <w:szCs w:val="24"/>
        </w:rPr>
        <w:t>1 多中心多疾病</w:t>
      </w:r>
      <w:r>
        <w:rPr>
          <w:b/>
          <w:sz w:val="24"/>
          <w:szCs w:val="24"/>
        </w:rPr>
        <w:t>数据采集与整合</w:t>
      </w:r>
    </w:p>
    <w:p w14:paraId="6A7FC20A">
      <w:pPr>
        <w:snapToGrid w:val="0"/>
        <w:spacing w:line="360" w:lineRule="auto"/>
        <w:ind w:firstLine="420"/>
        <w:rPr>
          <w:sz w:val="24"/>
          <w:szCs w:val="24"/>
        </w:rPr>
      </w:pPr>
      <w:r>
        <w:rPr>
          <w:rFonts w:hint="eastAsia"/>
          <w:sz w:val="24"/>
          <w:szCs w:val="24"/>
        </w:rPr>
        <w:t>本项目前期已与北京协和医院、上海市第六人民医院和北京大学深圳医院开展多项长期紧密合作，初步构建了覆盖三大致盲性眼底疾病（DME、AMD与DR）的大规模、多时序多模态专病队列数据库，如表1所示。DME与AMD的高质量数据依托北京协和医院构建，其中DME子队列涵盖474名患者的10000余条纵向随访记录；AMD子队列包含366名患者的5000余条纵向随访记录。针对DR队列，项目进一步整合了上海糖尿病预防进程队列、上海泥城筛查队列及北京协和医院历史队列，共纳入1400余名受试者的逾4500条纵向随访记录。该数据库深度整合了患者的全身-局部多维指标，基线层面涵盖人口学、生活习惯及专病档案；代谢层面精细提取了HbA1c、肝肾功能及血脂等实验室特征；治疗层面动态追踪抗VEGF干预轨迹、PRP病史及BCVA视效演变；影像层面则构建了包含彩照、OCT、FFA在内的多模态高维序列，为DR、DME及AMD的精准研究提供数据支撑。</w:t>
      </w:r>
    </w:p>
    <w:p w14:paraId="7CA8119E">
      <w:pPr>
        <w:snapToGrid w:val="0"/>
        <w:spacing w:line="360" w:lineRule="auto"/>
        <w:jc w:val="center"/>
        <w:outlineLvl w:val="0"/>
        <w:rPr>
          <w:sz w:val="24"/>
          <w:szCs w:val="24"/>
        </w:rPr>
      </w:pPr>
      <w:r>
        <w:rPr>
          <w:rFonts w:hint="eastAsia" w:cs="宋体"/>
          <w:sz w:val="24"/>
          <w:szCs w:val="24"/>
        </w:rPr>
        <w:t>表1 多中心数据描述</w:t>
      </w:r>
    </w:p>
    <w:p w14:paraId="25A2F37C">
      <w:pPr>
        <w:snapToGrid w:val="0"/>
        <w:spacing w:line="360" w:lineRule="auto"/>
        <w:jc w:val="center"/>
        <w:outlineLvl w:val="0"/>
        <w:rPr>
          <w:rFonts w:cs="宋体"/>
          <w:sz w:val="24"/>
          <w:szCs w:val="24"/>
        </w:rPr>
      </w:pPr>
      <w:r>
        <w:rPr>
          <w:sz w:val="24"/>
        </w:rPr>
        <w:drawing>
          <wp:inline distT="0" distB="0" distL="114300" distR="114300">
            <wp:extent cx="5153025" cy="1698625"/>
            <wp:effectExtent l="0" t="0" r="3175" b="3175"/>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pic:cNvPicPr>
                  </pic:nvPicPr>
                  <pic:blipFill>
                    <a:blip r:embed="rId7"/>
                    <a:stretch>
                      <a:fillRect/>
                    </a:stretch>
                  </pic:blipFill>
                  <pic:spPr>
                    <a:xfrm>
                      <a:off x="0" y="0"/>
                      <a:ext cx="5153025" cy="1698625"/>
                    </a:xfrm>
                    <a:prstGeom prst="rect">
                      <a:avLst/>
                    </a:prstGeom>
                    <a:noFill/>
                    <a:ln>
                      <a:noFill/>
                    </a:ln>
                  </pic:spPr>
                </pic:pic>
              </a:graphicData>
            </a:graphic>
          </wp:inline>
        </w:drawing>
      </w:r>
    </w:p>
    <w:p w14:paraId="25AFC059">
      <w:pPr>
        <w:snapToGrid w:val="0"/>
        <w:spacing w:line="360" w:lineRule="auto"/>
        <w:rPr>
          <w:sz w:val="24"/>
          <w:szCs w:val="24"/>
        </w:rPr>
      </w:pPr>
    </w:p>
    <w:p w14:paraId="5C1EE1FE">
      <w:pPr>
        <w:snapToGrid w:val="0"/>
        <w:spacing w:line="360" w:lineRule="auto"/>
        <w:rPr>
          <w:sz w:val="24"/>
          <w:szCs w:val="24"/>
        </w:rPr>
      </w:pPr>
      <w:r>
        <w:rPr>
          <w:b/>
          <w:sz w:val="24"/>
          <w:szCs w:val="24"/>
        </w:rPr>
        <w:t>2.</w:t>
      </w:r>
      <w:r>
        <w:rPr>
          <w:rFonts w:hint="eastAsia"/>
          <w:b/>
          <w:sz w:val="24"/>
          <w:szCs w:val="24"/>
        </w:rPr>
        <w:t>2</w:t>
      </w:r>
      <w:r>
        <w:rPr>
          <w:b/>
          <w:sz w:val="24"/>
          <w:szCs w:val="24"/>
        </w:rPr>
        <w:t>.1.</w:t>
      </w:r>
      <w:r>
        <w:rPr>
          <w:rFonts w:hint="eastAsia"/>
          <w:b/>
          <w:sz w:val="24"/>
          <w:szCs w:val="24"/>
        </w:rPr>
        <w:t>2 多中心多疾病</w:t>
      </w:r>
      <w:r>
        <w:rPr>
          <w:b/>
          <w:bCs/>
          <w:sz w:val="24"/>
          <w:szCs w:val="24"/>
        </w:rPr>
        <w:t>数据预处理与质量控制</w:t>
      </w:r>
    </w:p>
    <w:p w14:paraId="0B193087">
      <w:pPr>
        <w:snapToGrid w:val="0"/>
        <w:spacing w:line="360" w:lineRule="auto"/>
        <w:ind w:firstLine="420"/>
        <w:rPr>
          <w:sz w:val="24"/>
          <w:szCs w:val="24"/>
        </w:rPr>
      </w:pPr>
      <w:r>
        <w:rPr>
          <w:rFonts w:hint="eastAsia"/>
          <w:sz w:val="24"/>
          <w:szCs w:val="24"/>
        </w:rPr>
        <w:t>为消除多中心异构数据引入的域偏移并满足深度学习模型的底层输入需求，本项目已对异构数据进行标准化预处理。首先，在图像层面，对原始多模态眼底影像进行去噪处理，并引入严格的质量筛选机制，剔除模糊或伪影严重的低质量图像；其次，在文本与指标层面，针对随访记录中缺失或者不连续的临床数值与文本信息进行合理补全，确保时序数据的完整性；最后，在多模态对齐层面，以患者唯一标识和随访时间点为基准，将同一患者在同一时间节点下的所有影像序列、生化指标及诊疗记录进行精准对齐与深度整合，最终构建高质量的多模态标准数据集。</w:t>
      </w:r>
    </w:p>
    <w:p w14:paraId="6E54A36D">
      <w:pPr>
        <w:snapToGrid w:val="0"/>
        <w:spacing w:line="360" w:lineRule="auto"/>
        <w:ind w:firstLine="420"/>
        <w:rPr>
          <w:sz w:val="24"/>
          <w:szCs w:val="24"/>
        </w:rPr>
      </w:pPr>
      <w:r>
        <w:rPr>
          <w:rFonts w:hint="eastAsia"/>
          <w:sz w:val="24"/>
          <w:szCs w:val="24"/>
        </w:rPr>
        <w:t>通过上述多中心数据采集与标准化预处理，本项目构建了高质量的多时序多模态专病数据集，为后续模型训练与验证奠定了坚实的数据基础。本研究的总体技术框架如图3所示。</w:t>
      </w:r>
    </w:p>
    <w:p w14:paraId="78CC5C66">
      <w:pPr>
        <w:snapToGrid w:val="0"/>
        <w:spacing w:line="360" w:lineRule="auto"/>
        <w:ind w:firstLine="420"/>
        <w:rPr>
          <w:sz w:val="24"/>
          <w:szCs w:val="24"/>
        </w:rPr>
      </w:pPr>
    </w:p>
    <w:p w14:paraId="10A9B054">
      <w:pPr>
        <w:snapToGrid w:val="0"/>
        <w:spacing w:line="360" w:lineRule="auto"/>
        <w:outlineLvl w:val="0"/>
        <w:rPr>
          <w:sz w:val="24"/>
          <w:szCs w:val="24"/>
        </w:rPr>
      </w:pPr>
      <w:r>
        <w:rPr>
          <w:rFonts w:hint="eastAsia"/>
          <w:b/>
          <w:sz w:val="24"/>
          <w:szCs w:val="24"/>
        </w:rPr>
        <w:t>2.2.2 基于潜在生成与稀疏专家机制的多模态缺失补全与特征融合</w:t>
      </w:r>
    </w:p>
    <w:p w14:paraId="67E6E9CF">
      <w:pPr>
        <w:snapToGrid w:val="0"/>
        <w:spacing w:line="360" w:lineRule="auto"/>
        <w:ind w:firstLine="420"/>
        <w:rPr>
          <w:sz w:val="24"/>
          <w:szCs w:val="24"/>
        </w:rPr>
      </w:pPr>
      <w:r>
        <w:rPr>
          <w:rFonts w:hint="eastAsia"/>
          <w:sz w:val="24"/>
          <w:szCs w:val="24"/>
        </w:rPr>
        <w:t>在真实临床随访中，致盲性眼底疾病的多模态数据普遍存在模态缺失、数据异构及随访时间不规则等问题，导致多模态信息难以形成统一表征并影响疾病进展建模。针对上述问题，本研究拟构建多模态缺失补全与特征融合框架，通过跨模态语义对齐、潜在生成建模及稀疏专家融合，实现多模态数据的高质量补全与统一表示，从而在缺失条件下恢复完整多模态信息，并揭示不同模态在疾病进展过程中的协同表达机制，为致盲性眼底疾病疗效预测提供可靠的多模态特征基础，整体框架如图4所示。</w:t>
      </w:r>
    </w:p>
    <w:p w14:paraId="1CCD9DFE">
      <w:pPr>
        <w:snapToGrid w:val="0"/>
        <w:spacing w:line="360" w:lineRule="auto"/>
        <w:jc w:val="center"/>
        <w:outlineLvl w:val="0"/>
        <w:rPr>
          <w:b/>
          <w:sz w:val="24"/>
          <w:szCs w:val="24"/>
        </w:rPr>
      </w:pPr>
      <w:r>
        <w:rPr>
          <w:rFonts w:hint="eastAsia"/>
          <w:b/>
          <w:sz w:val="24"/>
          <w:szCs w:val="24"/>
        </w:rPr>
        <w:drawing>
          <wp:inline distT="0" distB="0" distL="114300" distR="114300">
            <wp:extent cx="5157470" cy="2407920"/>
            <wp:effectExtent l="0" t="0" r="11430" b="5080"/>
            <wp:docPr id="1" name="图片 1" descr="新建 PPTX 演示文稿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建 PPTX 演示文稿_01"/>
                    <pic:cNvPicPr>
                      <a:picLocks noChangeAspect="1"/>
                    </pic:cNvPicPr>
                  </pic:nvPicPr>
                  <pic:blipFill>
                    <a:blip r:embed="rId8"/>
                    <a:srcRect l="7146" t="13700" r="13175" b="20169"/>
                    <a:stretch>
                      <a:fillRect/>
                    </a:stretch>
                  </pic:blipFill>
                  <pic:spPr>
                    <a:xfrm>
                      <a:off x="0" y="0"/>
                      <a:ext cx="5157470" cy="2407920"/>
                    </a:xfrm>
                    <a:prstGeom prst="rect">
                      <a:avLst/>
                    </a:prstGeom>
                  </pic:spPr>
                </pic:pic>
              </a:graphicData>
            </a:graphic>
          </wp:inline>
        </w:drawing>
      </w:r>
    </w:p>
    <w:p w14:paraId="5B21CADD">
      <w:pPr>
        <w:snapToGrid w:val="0"/>
        <w:spacing w:line="360" w:lineRule="auto"/>
        <w:jc w:val="center"/>
        <w:outlineLvl w:val="0"/>
        <w:rPr>
          <w:b/>
          <w:sz w:val="24"/>
          <w:szCs w:val="24"/>
        </w:rPr>
      </w:pPr>
      <w:r>
        <w:rPr>
          <w:rFonts w:hint="eastAsia" w:cs="宋体"/>
          <w:sz w:val="24"/>
          <w:szCs w:val="24"/>
        </w:rPr>
        <w:t>图4 基于潜在生成与稀疏专家机制的多模态缺失补全与特征融合</w:t>
      </w:r>
    </w:p>
    <w:p w14:paraId="2FFFE4F0">
      <w:pPr>
        <w:snapToGrid w:val="0"/>
        <w:spacing w:line="360" w:lineRule="auto"/>
        <w:outlineLvl w:val="0"/>
        <w:rPr>
          <w:b/>
          <w:sz w:val="24"/>
          <w:szCs w:val="24"/>
        </w:rPr>
      </w:pPr>
    </w:p>
    <w:p w14:paraId="0D92BC61">
      <w:pPr>
        <w:snapToGrid w:val="0"/>
        <w:spacing w:line="360" w:lineRule="auto"/>
        <w:outlineLvl w:val="0"/>
        <w:rPr>
          <w:b/>
          <w:sz w:val="24"/>
          <w:szCs w:val="24"/>
        </w:rPr>
      </w:pPr>
      <w:r>
        <w:rPr>
          <w:rFonts w:hint="eastAsia"/>
          <w:b/>
          <w:sz w:val="24"/>
          <w:szCs w:val="24"/>
        </w:rPr>
        <w:t>2.2.2.1 基于潜在生成建模的多模态缺失补全</w:t>
      </w:r>
    </w:p>
    <w:p w14:paraId="6B2E2085">
      <w:pPr>
        <w:snapToGrid w:val="0"/>
        <w:spacing w:line="360" w:lineRule="auto"/>
        <w:ind w:firstLine="420"/>
        <w:rPr>
          <w:sz w:val="24"/>
          <w:szCs w:val="24"/>
        </w:rPr>
      </w:pPr>
      <w:r>
        <w:rPr>
          <w:rFonts w:hint="eastAsia"/>
          <w:sz w:val="24"/>
          <w:szCs w:val="24"/>
        </w:rPr>
        <w:t>针对眼底影像、诊疗文本及临床指标在空间与语义上的显著差异，本研究首先构建跨模态语义对齐模型，将异构数据映射至统一潜在语义空间以建立跨模态语义关联。具体而言，通过多分支编码框架分别提取不同模态的语义特征，影像分支利用视觉Transformer提取OCT等影像结构特征，文本分支利用医学预训练语言模型编码诊疗语义，临床指标分支则通过MLP将结构化数据映射为连续语义向量。训练过程中引入跨模态对比学习策略对齐不同模态表征，其优化目标为：</w:t>
      </w:r>
    </w:p>
    <w:p w14:paraId="32E69205">
      <w:pPr>
        <w:snapToGrid w:val="0"/>
        <w:spacing w:line="360" w:lineRule="auto"/>
        <w:jc w:val="center"/>
        <w:rPr>
          <w:b/>
          <w:sz w:val="24"/>
          <w:szCs w:val="24"/>
        </w:rPr>
      </w:pPr>
      <m:oMath>
        <m:sSub>
          <m:sSubPr>
            <m:ctrlPr>
              <w:rPr>
                <w:rFonts w:ascii="Cambria Math" w:hAnsi="Cambria Math" w:eastAsia="MS Mincho"/>
                <w:sz w:val="24"/>
              </w:rPr>
            </m:ctrlPr>
          </m:sSubPr>
          <m:e>
            <m:r>
              <m:rPr>
                <m:scr m:val="script"/>
              </m:rPr>
              <w:rPr>
                <w:rFonts w:ascii="Cambria Math" w:hAnsi="Cambria Math" w:eastAsia="MS Mincho"/>
                <w:sz w:val="24"/>
              </w:rPr>
              <m:t>ℒ</m:t>
            </m:r>
            <m:ctrlPr>
              <w:rPr>
                <w:rFonts w:ascii="Cambria Math" w:hAnsi="Cambria Math" w:eastAsia="MS Mincho"/>
                <w:sz w:val="24"/>
              </w:rPr>
            </m:ctrlPr>
          </m:e>
          <m:sub>
            <m:r>
              <m:rPr/>
              <w:rPr>
                <w:rFonts w:ascii="Cambria Math" w:hAnsi="Cambria Math" w:eastAsia="MS Mincho"/>
                <w:sz w:val="24"/>
              </w:rPr>
              <m:t>con</m:t>
            </m:r>
            <m:ctrlPr>
              <w:rPr>
                <w:rFonts w:ascii="Cambria Math" w:hAnsi="Cambria Math" w:eastAsia="MS Mincho"/>
                <w:sz w:val="24"/>
              </w:rPr>
            </m:ctrlPr>
          </m:sub>
        </m:sSub>
        <m:r>
          <m:rPr/>
          <w:rPr>
            <w:rFonts w:ascii="Cambria Math" w:hAnsi="Cambria Math" w:eastAsia="MS Mincho"/>
            <w:sz w:val="24"/>
          </w:rPr>
          <m:t>=−</m:t>
        </m:r>
        <m:func>
          <m:funcPr>
            <m:ctrlPr>
              <w:rPr>
                <w:rFonts w:ascii="Cambria Math" w:hAnsi="Cambria Math" w:eastAsia="MS Mincho"/>
                <w:sz w:val="24"/>
              </w:rPr>
            </m:ctrlPr>
          </m:funcPr>
          <m:fName>
            <m:r>
              <m:rPr>
                <m:sty m:val="p"/>
              </m:rPr>
              <w:rPr>
                <w:rFonts w:ascii="Cambria Math" w:hAnsi="Cambria Math" w:eastAsia="MS Mincho"/>
                <w:sz w:val="24"/>
              </w:rPr>
              <m:t>log</m:t>
            </m:r>
            <m:ctrlPr>
              <w:rPr>
                <w:rFonts w:ascii="Cambria Math" w:hAnsi="Cambria Math" w:eastAsia="MS Mincho"/>
                <w:sz w:val="24"/>
              </w:rPr>
            </m:ctrlPr>
          </m:fName>
          <m:e>
            <m:f>
              <m:fPr>
                <m:ctrlPr>
                  <w:rPr>
                    <w:rFonts w:ascii="Cambria Math" w:hAnsi="Cambria Math" w:eastAsia="MS Mincho"/>
                    <w:i/>
                    <w:sz w:val="24"/>
                  </w:rPr>
                </m:ctrlPr>
              </m:fPr>
              <m:num>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r>
                  <m:rPr/>
                  <w:rPr>
                    <w:rFonts w:ascii="Cambria Math" w:hAnsi="Cambria Math" w:eastAsia="MS Mincho"/>
                    <w:sz w:val="24"/>
                  </w:rPr>
                  <m:t>sim(</m:t>
                </m:r>
                <m:sSubSup>
                  <m:sSubSupPr>
                    <m:ctrlPr>
                      <w:rPr>
                        <w:rFonts w:ascii="Cambria Math" w:hAnsi="Cambria Math" w:eastAsia="MS Mincho"/>
                        <w:sz w:val="24"/>
                      </w:rPr>
                    </m:ctrlPr>
                  </m:sSubSupPr>
                  <m:e>
                    <m:r>
                      <m:rPr/>
                      <w:rPr>
                        <w:rFonts w:ascii="Cambria Math" w:hAnsi="Cambria Math" w:eastAsia="MS Mincho"/>
                        <w:sz w:val="24"/>
                      </w:rPr>
                      <m:t>z</m:t>
                    </m:r>
                    <m:ctrlPr>
                      <w:rPr>
                        <w:rFonts w:ascii="Cambria Math" w:hAnsi="Cambria Math" w:eastAsia="MS Mincho"/>
                        <w:sz w:val="24"/>
                      </w:rPr>
                    </m:ctrlPr>
                  </m:e>
                  <m:sub>
                    <m:r>
                      <m:rPr/>
                      <w:rPr>
                        <w:rFonts w:ascii="Cambria Math" w:hAnsi="Cambria Math" w:eastAsia="MS Mincho"/>
                        <w:sz w:val="24"/>
                      </w:rPr>
                      <m:t>i</m:t>
                    </m:r>
                    <m:ctrlPr>
                      <w:rPr>
                        <w:rFonts w:ascii="Cambria Math" w:hAnsi="Cambria Math" w:eastAsia="MS Mincho"/>
                        <w:sz w:val="24"/>
                      </w:rPr>
                    </m:ctrlPr>
                  </m:sub>
                  <m:sup>
                    <m:r>
                      <m:rPr/>
                      <w:rPr>
                        <w:rFonts w:ascii="Cambria Math" w:hAnsi="Cambria Math" w:eastAsia="MS Mincho"/>
                        <w:sz w:val="24"/>
                      </w:rPr>
                      <m:t>v</m:t>
                    </m:r>
                    <m:ctrlPr>
                      <w:rPr>
                        <w:rFonts w:ascii="Cambria Math" w:hAnsi="Cambria Math" w:eastAsia="MS Mincho"/>
                        <w:sz w:val="24"/>
                      </w:rPr>
                    </m:ctrlPr>
                  </m:sup>
                </m:sSubSup>
                <m:r>
                  <m:rPr/>
                  <w:rPr>
                    <w:rFonts w:ascii="Cambria Math" w:hAnsi="Cambria Math" w:eastAsia="MS Mincho"/>
                    <w:sz w:val="24"/>
                  </w:rPr>
                  <m:t>,</m:t>
                </m:r>
                <m:sSubSup>
                  <m:sSubSupPr>
                    <m:ctrlPr>
                      <w:rPr>
                        <w:rFonts w:ascii="Cambria Math" w:hAnsi="Cambria Math" w:eastAsia="MS Mincho"/>
                        <w:sz w:val="24"/>
                      </w:rPr>
                    </m:ctrlPr>
                  </m:sSubSupPr>
                  <m:e>
                    <m:r>
                      <m:rPr/>
                      <w:rPr>
                        <w:rFonts w:ascii="Cambria Math" w:hAnsi="Cambria Math" w:eastAsia="MS Mincho"/>
                        <w:sz w:val="24"/>
                      </w:rPr>
                      <m:t>z</m:t>
                    </m:r>
                    <m:ctrlPr>
                      <w:rPr>
                        <w:rFonts w:ascii="Cambria Math" w:hAnsi="Cambria Math" w:eastAsia="MS Mincho"/>
                        <w:sz w:val="24"/>
                      </w:rPr>
                    </m:ctrlPr>
                  </m:e>
                  <m:sub>
                    <m:r>
                      <m:rPr/>
                      <w:rPr>
                        <w:rFonts w:ascii="Cambria Math" w:hAnsi="Cambria Math" w:eastAsia="MS Mincho"/>
                        <w:sz w:val="24"/>
                      </w:rPr>
                      <m:t>i</m:t>
                    </m:r>
                    <m:ctrlPr>
                      <w:rPr>
                        <w:rFonts w:ascii="Cambria Math" w:hAnsi="Cambria Math" w:eastAsia="MS Mincho"/>
                        <w:sz w:val="24"/>
                      </w:rPr>
                    </m:ctrlPr>
                  </m:sub>
                  <m:sup>
                    <m:r>
                      <m:rPr/>
                      <w:rPr>
                        <w:rFonts w:ascii="Cambria Math" w:hAnsi="Cambria Math" w:eastAsia="MS Mincho"/>
                        <w:sz w:val="24"/>
                      </w:rPr>
                      <m:t>t</m:t>
                    </m:r>
                    <m:ctrlPr>
                      <w:rPr>
                        <w:rFonts w:ascii="Cambria Math" w:hAnsi="Cambria Math" w:eastAsia="MS Mincho"/>
                        <w:sz w:val="24"/>
                      </w:rPr>
                    </m:ctrlPr>
                  </m:sup>
                </m:sSubSup>
                <m:r>
                  <m:rPr/>
                  <w:rPr>
                    <w:rFonts w:ascii="Cambria Math" w:hAnsi="Cambria Math" w:eastAsia="MS Mincho"/>
                    <w:sz w:val="24"/>
                  </w:rPr>
                  <m:t>)/τ)</m:t>
                </m:r>
                <m:ctrlPr>
                  <w:rPr>
                    <w:rFonts w:ascii="Cambria Math" w:hAnsi="Cambria Math" w:eastAsia="MS Mincho"/>
                    <w:sz w:val="24"/>
                  </w:rPr>
                </m:ctrlPr>
              </m:num>
              <m:den>
                <m:nary>
                  <m:naryPr>
                    <m:chr m:val="∑"/>
                    <m:limLoc m:val="undOvr"/>
                    <m:ctrlPr>
                      <w:rPr>
                        <w:rFonts w:ascii="Cambria Math" w:hAnsi="Cambria Math" w:eastAsia="MS Mincho"/>
                        <w:i/>
                        <w:sz w:val="24"/>
                      </w:rPr>
                    </m:ctrlPr>
                  </m:naryPr>
                  <m:sub>
                    <m:r>
                      <m:rPr/>
                      <w:rPr>
                        <w:rFonts w:ascii="Cambria Math" w:hAnsi="Cambria Math" w:eastAsia="MS Mincho"/>
                        <w:sz w:val="24"/>
                      </w:rPr>
                      <m:t>j=1</m:t>
                    </m:r>
                    <m:ctrlPr>
                      <w:rPr>
                        <w:rFonts w:ascii="Cambria Math" w:hAnsi="Cambria Math" w:eastAsia="MS Mincho"/>
                        <w:sz w:val="24"/>
                      </w:rPr>
                    </m:ctrlPr>
                  </m:sub>
                  <m:sup>
                    <m:r>
                      <m:rPr/>
                      <w:rPr>
                        <w:rFonts w:ascii="Cambria Math" w:hAnsi="Cambria Math" w:eastAsia="MS Mincho"/>
                        <w:sz w:val="24"/>
                      </w:rPr>
                      <m:t>N</m:t>
                    </m:r>
                    <m:ctrlPr>
                      <w:rPr>
                        <w:rFonts w:ascii="Cambria Math" w:hAnsi="Cambria Math" w:eastAsia="MS Mincho"/>
                        <w:sz w:val="24"/>
                      </w:rPr>
                    </m:ctrlPr>
                  </m:sup>
                  <m:e>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ctrlPr>
                      <w:rPr>
                        <w:rFonts w:ascii="Cambria Math" w:hAnsi="Cambria Math" w:eastAsia="MS Mincho"/>
                        <w:sz w:val="24"/>
                      </w:rPr>
                    </m:ctrlPr>
                  </m:e>
                </m:nary>
                <m:r>
                  <m:rPr/>
                  <w:rPr>
                    <w:rFonts w:ascii="Cambria Math" w:hAnsi="Cambria Math" w:eastAsia="MS Mincho"/>
                    <w:sz w:val="24"/>
                  </w:rPr>
                  <m:t>sim(</m:t>
                </m:r>
                <m:sSubSup>
                  <m:sSubSupPr>
                    <m:ctrlPr>
                      <w:rPr>
                        <w:rFonts w:ascii="Cambria Math" w:hAnsi="Cambria Math" w:eastAsia="MS Mincho"/>
                        <w:sz w:val="24"/>
                      </w:rPr>
                    </m:ctrlPr>
                  </m:sSubSupPr>
                  <m:e>
                    <m:r>
                      <m:rPr/>
                      <w:rPr>
                        <w:rFonts w:ascii="Cambria Math" w:hAnsi="Cambria Math" w:eastAsia="MS Mincho"/>
                        <w:sz w:val="24"/>
                      </w:rPr>
                      <m:t>z</m:t>
                    </m:r>
                    <m:ctrlPr>
                      <w:rPr>
                        <w:rFonts w:ascii="Cambria Math" w:hAnsi="Cambria Math" w:eastAsia="MS Mincho"/>
                        <w:sz w:val="24"/>
                      </w:rPr>
                    </m:ctrlPr>
                  </m:e>
                  <m:sub>
                    <m:r>
                      <m:rPr/>
                      <w:rPr>
                        <w:rFonts w:ascii="Cambria Math" w:hAnsi="Cambria Math" w:eastAsia="MS Mincho"/>
                        <w:sz w:val="24"/>
                      </w:rPr>
                      <m:t>i</m:t>
                    </m:r>
                    <m:ctrlPr>
                      <w:rPr>
                        <w:rFonts w:ascii="Cambria Math" w:hAnsi="Cambria Math" w:eastAsia="MS Mincho"/>
                        <w:sz w:val="24"/>
                      </w:rPr>
                    </m:ctrlPr>
                  </m:sub>
                  <m:sup>
                    <m:r>
                      <m:rPr/>
                      <w:rPr>
                        <w:rFonts w:ascii="Cambria Math" w:hAnsi="Cambria Math" w:eastAsia="MS Mincho"/>
                        <w:sz w:val="24"/>
                      </w:rPr>
                      <m:t>v</m:t>
                    </m:r>
                    <m:ctrlPr>
                      <w:rPr>
                        <w:rFonts w:ascii="Cambria Math" w:hAnsi="Cambria Math" w:eastAsia="MS Mincho"/>
                        <w:sz w:val="24"/>
                      </w:rPr>
                    </m:ctrlPr>
                  </m:sup>
                </m:sSubSup>
                <m:r>
                  <m:rPr/>
                  <w:rPr>
                    <w:rFonts w:ascii="Cambria Math" w:hAnsi="Cambria Math" w:eastAsia="MS Mincho"/>
                    <w:sz w:val="24"/>
                  </w:rPr>
                  <m:t>,</m:t>
                </m:r>
                <m:sSubSup>
                  <m:sSubSupPr>
                    <m:ctrlPr>
                      <w:rPr>
                        <w:rFonts w:ascii="Cambria Math" w:hAnsi="Cambria Math" w:eastAsia="MS Mincho"/>
                        <w:sz w:val="24"/>
                      </w:rPr>
                    </m:ctrlPr>
                  </m:sSubSupPr>
                  <m:e>
                    <m:r>
                      <m:rPr/>
                      <w:rPr>
                        <w:rFonts w:ascii="Cambria Math" w:hAnsi="Cambria Math" w:eastAsia="MS Mincho"/>
                        <w:sz w:val="24"/>
                      </w:rPr>
                      <m:t>z</m:t>
                    </m:r>
                    <m:ctrlPr>
                      <w:rPr>
                        <w:rFonts w:ascii="Cambria Math" w:hAnsi="Cambria Math" w:eastAsia="MS Mincho"/>
                        <w:sz w:val="24"/>
                      </w:rPr>
                    </m:ctrlPr>
                  </m:e>
                  <m:sub>
                    <m:r>
                      <m:rPr/>
                      <w:rPr>
                        <w:rFonts w:ascii="Cambria Math" w:hAnsi="Cambria Math" w:eastAsia="MS Mincho"/>
                        <w:sz w:val="24"/>
                      </w:rPr>
                      <m:t>j</m:t>
                    </m:r>
                    <m:ctrlPr>
                      <w:rPr>
                        <w:rFonts w:ascii="Cambria Math" w:hAnsi="Cambria Math" w:eastAsia="MS Mincho"/>
                        <w:sz w:val="24"/>
                      </w:rPr>
                    </m:ctrlPr>
                  </m:sub>
                  <m:sup>
                    <m:r>
                      <m:rPr/>
                      <w:rPr>
                        <w:rFonts w:ascii="Cambria Math" w:hAnsi="Cambria Math" w:eastAsia="MS Mincho"/>
                        <w:sz w:val="24"/>
                      </w:rPr>
                      <m:t>t</m:t>
                    </m:r>
                    <m:ctrlPr>
                      <w:rPr>
                        <w:rFonts w:ascii="Cambria Math" w:hAnsi="Cambria Math" w:eastAsia="MS Mincho"/>
                        <w:sz w:val="24"/>
                      </w:rPr>
                    </m:ctrlPr>
                  </m:sup>
                </m:sSubSup>
                <m:r>
                  <m:rPr/>
                  <w:rPr>
                    <w:rFonts w:ascii="Cambria Math" w:hAnsi="Cambria Math" w:eastAsia="MS Mincho"/>
                    <w:sz w:val="24"/>
                  </w:rPr>
                  <m:t>)/τ)</m:t>
                </m:r>
                <m:ctrlPr>
                  <w:rPr>
                    <w:rFonts w:ascii="Cambria Math" w:hAnsi="Cambria Math" w:eastAsia="MS Mincho"/>
                    <w:sz w:val="24"/>
                  </w:rPr>
                </m:ctrlPr>
              </m:den>
            </m:f>
            <m:ctrlPr>
              <w:rPr>
                <w:rFonts w:ascii="Cambria Math" w:hAnsi="Cambria Math" w:eastAsia="MS Mincho"/>
                <w:i/>
                <w:sz w:val="24"/>
              </w:rPr>
            </m:ctrlPr>
          </m:e>
        </m:func>
      </m:oMath>
      <w:r>
        <w:rPr>
          <w:rFonts w:hint="eastAsia"/>
          <w:sz w:val="24"/>
        </w:rPr>
        <w:t>,</w:t>
      </w:r>
    </w:p>
    <w:p w14:paraId="094C1EFC">
      <w:pPr>
        <w:snapToGrid w:val="0"/>
        <w:spacing w:line="360" w:lineRule="auto"/>
        <w:rPr>
          <w:b/>
          <w:sz w:val="24"/>
          <w:szCs w:val="24"/>
        </w:rPr>
      </w:pPr>
      <w:r>
        <w:rPr>
          <w:rFonts w:hint="eastAsia"/>
          <w:sz w:val="24"/>
          <w:szCs w:val="24"/>
        </w:rPr>
        <w:t>其中</w:t>
      </w:r>
      <m:oMath>
        <m:sSubSup>
          <m:sSubSupPr>
            <m:ctrlPr>
              <w:rPr>
                <w:rFonts w:ascii="Cambria Math" w:hAnsi="Cambria Math"/>
                <w:sz w:val="24"/>
              </w:rPr>
            </m:ctrlPr>
          </m:sSubSupPr>
          <m:e>
            <m:r>
              <m:rPr/>
              <w:rPr>
                <w:rFonts w:ascii="Cambria Math" w:hAnsi="Cambria Math"/>
                <w:sz w:val="24"/>
              </w:rPr>
              <m:t>z</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w:rPr>
                <w:rFonts w:ascii="Cambria Math" w:hAnsi="Cambria Math"/>
                <w:sz w:val="24"/>
              </w:rPr>
              <m:t>v</m:t>
            </m:r>
            <m:ctrlPr>
              <w:rPr>
                <w:rFonts w:ascii="Cambria Math" w:hAnsi="Cambria Math"/>
                <w:sz w:val="24"/>
              </w:rPr>
            </m:ctrlPr>
          </m:sup>
        </m:sSubSup>
      </m:oMath>
      <w:r>
        <w:rPr>
          <w:rFonts w:hint="eastAsia"/>
          <w:sz w:val="24"/>
          <w:szCs w:val="24"/>
        </w:rPr>
        <w:t>与</w:t>
      </w:r>
      <m:oMath>
        <m:sSubSup>
          <m:sSubSupPr>
            <m:ctrlPr>
              <w:rPr>
                <w:rFonts w:ascii="Cambria Math" w:hAnsi="Cambria Math"/>
                <w:sz w:val="24"/>
              </w:rPr>
            </m:ctrlPr>
          </m:sSubSupPr>
          <m:e>
            <m:r>
              <m:rPr/>
              <w:rPr>
                <w:rFonts w:ascii="Cambria Math" w:hAnsi="Cambria Math"/>
                <w:sz w:val="24"/>
              </w:rPr>
              <m:t>z</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oMath>
      <w:r>
        <w:rPr>
          <w:rFonts w:hint="eastAsia"/>
          <w:sz w:val="24"/>
          <w:szCs w:val="24"/>
        </w:rPr>
        <w:t>分别表示同一患者的影像与文本特征表示。通过最小化该损失函数，可使不同模态在潜空间中形成一致语义表示。</w:t>
      </w:r>
    </w:p>
    <w:p w14:paraId="41A9F2D2">
      <w:pPr>
        <w:snapToGrid w:val="0"/>
        <w:spacing w:line="360" w:lineRule="auto"/>
        <w:ind w:firstLine="420"/>
        <w:rPr>
          <w:sz w:val="24"/>
          <w:szCs w:val="24"/>
        </w:rPr>
      </w:pPr>
      <w:r>
        <w:rPr>
          <w:rFonts w:hint="eastAsia"/>
          <w:sz w:val="24"/>
          <w:szCs w:val="24"/>
        </w:rPr>
        <w:t>进一步地，引入变分自编码器对影像特征进行潜空间建模，其目标函数为：</w:t>
      </w:r>
    </w:p>
    <w:p w14:paraId="2E4F7099">
      <w:pPr>
        <w:snapToGrid w:val="0"/>
        <w:spacing w:line="360" w:lineRule="auto"/>
        <w:jc w:val="center"/>
        <w:outlineLvl w:val="0"/>
        <w:rPr>
          <w:b/>
          <w:sz w:val="24"/>
          <w:szCs w:val="24"/>
        </w:rPr>
      </w:pPr>
      <m:oMath>
        <m:sSub>
          <m:sSubPr>
            <m:ctrlPr>
              <w:rPr>
                <w:rFonts w:ascii="Cambria Math" w:hAnsi="Cambria Math"/>
                <w:sz w:val="24"/>
              </w:rPr>
            </m:ctrlPr>
          </m:sSubPr>
          <m:e>
            <m:r>
              <m:rPr>
                <m:scr m:val="script"/>
              </m:rPr>
              <w:rPr>
                <w:rFonts w:ascii="Cambria Math" w:hAnsi="Cambria Math" w:eastAsia="MS Mincho"/>
                <w:sz w:val="24"/>
              </w:rPr>
              <m:t>ℒ</m:t>
            </m:r>
            <m:ctrlPr>
              <w:rPr>
                <w:rFonts w:ascii="Cambria Math" w:hAnsi="Cambria Math"/>
                <w:sz w:val="24"/>
              </w:rPr>
            </m:ctrlPr>
          </m:e>
          <m:sub>
            <m:r>
              <m:rPr/>
              <w:rPr>
                <w:rFonts w:ascii="Cambria Math" w:hAnsi="Cambria Math"/>
                <w:sz w:val="24"/>
              </w:rPr>
              <m:t>VAE</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cr m:val="double-struck"/>
              </m:rPr>
              <w:rPr>
                <w:rFonts w:ascii="Cambria Math" w:hAnsi="Cambria Math" w:eastAsia="MS Mincho"/>
                <w:sz w:val="24"/>
              </w:rPr>
              <m:t>E</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ϕ</m:t>
                </m:r>
                <m:ctrlPr>
                  <w:rPr>
                    <w:rFonts w:ascii="Cambria Math" w:hAnsi="Cambria Math"/>
                    <w:sz w:val="24"/>
                  </w:rPr>
                </m:ctrlPr>
              </m:sub>
            </m:sSub>
            <m:r>
              <m:rPr/>
              <w:rPr>
                <w:rFonts w:ascii="Cambria Math" w:hAnsi="Cambria Math"/>
                <w:sz w:val="24"/>
              </w:rPr>
              <m:t>(z|x)</m:t>
            </m:r>
            <m:ctrlPr>
              <w:rPr>
                <w:rFonts w:ascii="Cambria Math" w:hAnsi="Cambria Math"/>
                <w:sz w:val="24"/>
              </w:rPr>
            </m:ctrlPr>
          </m:sub>
        </m:sSub>
        <m:r>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log</m:t>
            </m:r>
            <m:ctrlPr>
              <w:rPr>
                <w:rFonts w:ascii="Cambria Math" w:hAnsi="Cambria Math"/>
                <w:sz w:val="24"/>
              </w:rPr>
            </m:ctrlPr>
          </m:fName>
          <m:e>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ctrlPr>
              <w:rPr>
                <w:rFonts w:ascii="Cambria Math" w:hAnsi="Cambria Math"/>
                <w:sz w:val="24"/>
              </w:rPr>
            </m:ctrlPr>
          </m:e>
        </m:func>
        <m:r>
          <m:rPr/>
          <w:rPr>
            <w:rFonts w:ascii="Cambria Math" w:hAnsi="Cambria Math"/>
            <w:sz w:val="24"/>
          </w:rPr>
          <m:t>(x|z)]−</m:t>
        </m:r>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KL</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ϕ</m:t>
            </m:r>
            <m:ctrlPr>
              <w:rPr>
                <w:rFonts w:ascii="Cambria Math" w:hAnsi="Cambria Math"/>
                <w:sz w:val="24"/>
              </w:rPr>
            </m:ctrlPr>
          </m:sub>
        </m:sSub>
        <m:r>
          <m:rPr/>
          <w:rPr>
            <w:rFonts w:ascii="Cambria Math" w:hAnsi="Cambria Math"/>
            <w:sz w:val="24"/>
          </w:rPr>
          <m:t>(z|x)‖p(z))</m:t>
        </m:r>
      </m:oMath>
      <w:r>
        <w:rPr>
          <w:rFonts w:hint="eastAsia"/>
          <w:sz w:val="24"/>
        </w:rPr>
        <w:t>,</w:t>
      </w:r>
    </w:p>
    <w:p w14:paraId="6BB483D8">
      <w:pPr>
        <w:snapToGrid w:val="0"/>
        <w:spacing w:line="360" w:lineRule="auto"/>
        <w:rPr>
          <w:sz w:val="24"/>
          <w:szCs w:val="24"/>
        </w:rPr>
      </w:pPr>
      <w:r>
        <w:rPr>
          <w:rFonts w:hint="eastAsia"/>
          <w:sz w:val="24"/>
          <w:szCs w:val="24"/>
        </w:rPr>
        <w:t>其中</w:t>
      </w:r>
      <m:oMath>
        <m:r>
          <m:rPr/>
          <w:rPr>
            <w:rFonts w:ascii="Cambria Math" w:hAnsi="Cambria Math"/>
            <w:sz w:val="24"/>
          </w:rPr>
          <m:t>z</m:t>
        </m:r>
      </m:oMath>
      <w:r>
        <w:rPr>
          <w:rFonts w:hint="eastAsia"/>
          <w:sz w:val="24"/>
          <w:szCs w:val="24"/>
        </w:rPr>
        <w:t>为潜在表示，通过该约束可使潜空间分布保持连续性与可生成性。</w:t>
      </w:r>
    </w:p>
    <w:p w14:paraId="61E2CC58">
      <w:pPr>
        <w:snapToGrid w:val="0"/>
        <w:spacing w:line="360" w:lineRule="auto"/>
        <w:ind w:firstLine="420"/>
        <w:rPr>
          <w:sz w:val="24"/>
          <w:szCs w:val="24"/>
        </w:rPr>
      </w:pPr>
      <w:r>
        <w:rPr>
          <w:rFonts w:hint="eastAsia"/>
          <w:sz w:val="24"/>
          <w:szCs w:val="24"/>
        </w:rPr>
        <w:t>在此基础上，对于缺失的影像信息，本研究构建基于潜在扩散模型的补全方法，其前向扩散过程为：</w:t>
      </w:r>
    </w:p>
    <w:p w14:paraId="0D47C0F8">
      <w:pPr>
        <w:snapToGrid w:val="0"/>
        <w:spacing w:line="360" w:lineRule="auto"/>
        <w:jc w:val="center"/>
        <w:outlineLvl w:val="0"/>
        <w:rPr>
          <w:b/>
          <w:sz w:val="24"/>
          <w:szCs w:val="24"/>
        </w:rPr>
      </w:pPr>
      <m:oMath>
        <m:r>
          <m:rPr/>
          <w:rPr>
            <w:rFonts w:ascii="Cambria Math" w:hAnsi="Cambria Math"/>
            <w:sz w:val="24"/>
          </w:rPr>
          <m:t>q(</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t−1</m:t>
            </m:r>
            <m:ctrlPr>
              <w:rPr>
                <w:rFonts w:ascii="Cambria Math" w:hAnsi="Cambria Math"/>
                <w:sz w:val="24"/>
              </w:rPr>
            </m:ctrlPr>
          </m:sub>
        </m:sSub>
        <m:r>
          <m:rPr/>
          <w:rPr>
            <w:rFonts w:ascii="Cambria Math" w:hAnsi="Cambria Math"/>
            <w:sz w:val="24"/>
          </w:rPr>
          <m:t>)=</m:t>
        </m:r>
        <m:r>
          <m:rPr>
            <m:scr m:val="script"/>
          </m:rPr>
          <w:rPr>
            <w:rFonts w:ascii="Cambria Math" w:hAnsi="Cambria Math" w:eastAsia="MS Mincho"/>
            <w:sz w:val="24"/>
          </w:rPr>
          <m:t>N</m:t>
        </m:r>
        <m:r>
          <m:rPr/>
          <w:rPr>
            <w:rFonts w:ascii="Cambria Math" w:hAnsi="Cambria Math"/>
            <w:sz w:val="24"/>
          </w:rPr>
          <m:t>(</m:t>
        </m:r>
        <m:rad>
          <m:radPr>
            <m:degHide m:val="1"/>
            <m:ctrlPr>
              <w:rPr>
                <w:rFonts w:ascii="Cambria Math" w:hAnsi="Cambria Math"/>
                <w:i/>
                <w:sz w:val="24"/>
              </w:rPr>
            </m:ctrlPr>
          </m:radPr>
          <m:deg>
            <m:ctrlPr>
              <w:rPr>
                <w:rFonts w:ascii="Cambria Math" w:hAnsi="Cambria Math"/>
                <w:sz w:val="24"/>
              </w:rPr>
            </m:ctrlPr>
          </m:deg>
          <m:e>
            <m:r>
              <m:rPr/>
              <w:rPr>
                <w:rFonts w:ascii="Cambria Math" w:hAnsi="Cambria Math"/>
                <w:sz w:val="24"/>
              </w:rPr>
              <m:t>1−</m:t>
            </m:r>
            <m:sSub>
              <m:sSubPr>
                <m:ctrlPr>
                  <w:rPr>
                    <w:rFonts w:ascii="Cambria Math" w:hAnsi="Cambria Math"/>
                    <w:sz w:val="24"/>
                  </w:rPr>
                </m:ctrlPr>
              </m:sSubPr>
              <m:e>
                <m:r>
                  <m:rPr/>
                  <w:rPr>
                    <w:rFonts w:ascii="Cambria Math" w:hAnsi="Cambria Math"/>
                    <w:sz w:val="24"/>
                  </w:rPr>
                  <m:t>β</m:t>
                </m:r>
                <m:ctrlPr>
                  <w:rPr>
                    <w:rFonts w:ascii="Cambria Math" w:hAnsi="Cambria Math"/>
                    <w:sz w:val="24"/>
                  </w:rPr>
                </m:ctrlPr>
              </m:e>
              <m:sub>
                <m:r>
                  <m:rPr/>
                  <w:rPr>
                    <w:rFonts w:ascii="Cambria Math" w:hAnsi="Cambria Math"/>
                    <w:sz w:val="24"/>
                  </w:rPr>
                  <m:t>t</m:t>
                </m:r>
                <m:ctrlPr>
                  <w:rPr>
                    <w:rFonts w:ascii="Cambria Math" w:hAnsi="Cambria Math"/>
                    <w:sz w:val="24"/>
                  </w:rPr>
                </m:ctrlPr>
              </m:sub>
            </m:sSub>
            <m:ctrlPr>
              <w:rPr>
                <w:rFonts w:ascii="Cambria Math" w:hAnsi="Cambria Math"/>
                <w:sz w:val="24"/>
              </w:rPr>
            </m:ctrlPr>
          </m:e>
        </m:rad>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β</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I)</m:t>
        </m:r>
      </m:oMath>
      <w:r>
        <w:rPr>
          <w:rFonts w:hint="eastAsia" w:hAnsi="Cambria Math"/>
          <w:sz w:val="24"/>
        </w:rPr>
        <w:t>.</w:t>
      </w:r>
    </w:p>
    <w:p w14:paraId="30973FEE">
      <w:pPr>
        <w:snapToGrid w:val="0"/>
        <w:spacing w:line="360" w:lineRule="auto"/>
        <w:ind w:firstLine="420"/>
        <w:rPr>
          <w:sz w:val="24"/>
          <w:szCs w:val="24"/>
        </w:rPr>
      </w:pPr>
      <w:r>
        <w:rPr>
          <w:rFonts w:hint="eastAsia"/>
          <w:sz w:val="24"/>
          <w:szCs w:val="24"/>
        </w:rPr>
        <w:t>在反向去噪过程中，引入疾病标签嵌入及已有模态特征作为条件信息，通过条件引导约束生成过程，使模型能够恢复与疾病特征一致的缺失影像表示。</w:t>
      </w:r>
    </w:p>
    <w:p w14:paraId="67D2039B">
      <w:pPr>
        <w:snapToGrid w:val="0"/>
        <w:spacing w:line="360" w:lineRule="auto"/>
        <w:ind w:firstLine="420"/>
        <w:rPr>
          <w:sz w:val="24"/>
          <w:szCs w:val="24"/>
        </w:rPr>
      </w:pPr>
      <w:r>
        <w:rPr>
          <w:rFonts w:hint="eastAsia"/>
          <w:sz w:val="24"/>
          <w:szCs w:val="24"/>
        </w:rPr>
        <w:t>对于缺失的诊疗文本，利用医疗多模态大语言模型进行语义生成补全；对于缺失的临床指标，则通过多模态图注意力网络进行预测补全。</w:t>
      </w:r>
    </w:p>
    <w:p w14:paraId="7DB14B4E">
      <w:pPr>
        <w:snapToGrid w:val="0"/>
        <w:spacing w:line="360" w:lineRule="auto"/>
        <w:ind w:firstLine="420"/>
        <w:rPr>
          <w:sz w:val="24"/>
          <w:szCs w:val="24"/>
        </w:rPr>
      </w:pPr>
      <w:r>
        <w:rPr>
          <w:rFonts w:hint="eastAsia"/>
          <w:sz w:val="24"/>
          <w:szCs w:val="24"/>
        </w:rPr>
        <w:t>通过上述模态特异性补全策略，可以在统一潜空间中恢复缺失信息，并进一步揭示不同模态在疾病表征中的协同生成规律，为后续多模态融合提供完整输入。</w:t>
      </w:r>
    </w:p>
    <w:p w14:paraId="5D1733F1">
      <w:pPr>
        <w:snapToGrid w:val="0"/>
        <w:spacing w:line="360" w:lineRule="auto"/>
        <w:outlineLvl w:val="0"/>
        <w:rPr>
          <w:b/>
          <w:sz w:val="24"/>
          <w:szCs w:val="24"/>
        </w:rPr>
      </w:pPr>
    </w:p>
    <w:p w14:paraId="0617C07D">
      <w:pPr>
        <w:snapToGrid w:val="0"/>
        <w:spacing w:line="360" w:lineRule="auto"/>
        <w:outlineLvl w:val="0"/>
        <w:rPr>
          <w:b/>
          <w:sz w:val="24"/>
          <w:szCs w:val="24"/>
        </w:rPr>
      </w:pPr>
      <w:r>
        <w:rPr>
          <w:rFonts w:hint="eastAsia"/>
          <w:b/>
          <w:sz w:val="24"/>
          <w:szCs w:val="24"/>
        </w:rPr>
        <w:t>2.2.2.2 基于稀疏混合专家机制的多模态特征融合</w:t>
      </w:r>
    </w:p>
    <w:p w14:paraId="1A30F8BA">
      <w:pPr>
        <w:snapToGrid w:val="0"/>
        <w:spacing w:line="360" w:lineRule="auto"/>
        <w:ind w:firstLine="420"/>
        <w:rPr>
          <w:sz w:val="24"/>
          <w:szCs w:val="24"/>
        </w:rPr>
      </w:pPr>
      <w:r>
        <w:rPr>
          <w:rFonts w:hint="eastAsia"/>
          <w:sz w:val="24"/>
          <w:szCs w:val="24"/>
        </w:rPr>
        <w:t>在完成缺失模态补全后，仍然面临多模态表达差异及随访时间不规则带来的融合困难问题。为此，本研究进一步构建多模态特征融合模型。</w:t>
      </w:r>
    </w:p>
    <w:p w14:paraId="7DCC027E">
      <w:pPr>
        <w:snapToGrid w:val="0"/>
        <w:spacing w:line="360" w:lineRule="auto"/>
        <w:ind w:firstLine="420"/>
        <w:rPr>
          <w:sz w:val="24"/>
          <w:szCs w:val="24"/>
        </w:rPr>
      </w:pPr>
      <w:r>
        <w:rPr>
          <w:rFonts w:hint="eastAsia"/>
          <w:sz w:val="24"/>
          <w:szCs w:val="24"/>
        </w:rPr>
        <w:t>首先，采用令牌化将完整的影像特征、文本特征及指标特征统一转换为Token表示，并引入动态时间编码，将患者随访时间间隔嵌入多模态Token表示中。在此基础上，设计基于稀疏混合专家机制（Sparse Mixture of Experts，SMoE）的多模态融合网络，通过路由器对多模态Token进行动态门控，并采用Top-K策略仅激活少量专家参与计算，使不同专家子网络能够针对不同疾病状态模式进行建模，从而实现具有疾病感知能力且计算高效的多模态特征融合。其输出表示为：</w:t>
      </w:r>
    </w:p>
    <w:p w14:paraId="5D2E5DCF">
      <w:pPr>
        <w:snapToGrid w:val="0"/>
        <w:spacing w:line="360" w:lineRule="auto"/>
        <w:rPr>
          <w:b/>
          <w:sz w:val="24"/>
          <w:szCs w:val="24"/>
        </w:rPr>
      </w:pPr>
      <m:oMathPara>
        <m:oMath>
          <m:r>
            <m:rPr/>
            <w:rPr>
              <w:rFonts w:ascii="Cambria Math" w:hAnsi="Cambria Math"/>
              <w:sz w:val="24"/>
            </w:rPr>
            <m:t>y=</m:t>
          </m:r>
          <m:nary>
            <m:naryPr>
              <m:chr m:val="∑"/>
              <m:limLoc m:val="undOvr"/>
              <m:supHide m:val="1"/>
              <m:ctrlPr>
                <w:rPr>
                  <w:rFonts w:ascii="Cambria Math" w:hAnsi="Cambria Math"/>
                  <w:i/>
                  <w:sz w:val="24"/>
                </w:rPr>
              </m:ctrlPr>
            </m:naryPr>
            <m:sub>
              <m:r>
                <m:rPr/>
                <w:rPr>
                  <w:rFonts w:ascii="Cambria Math" w:hAnsi="Cambria Math"/>
                  <w:sz w:val="24"/>
                </w:rPr>
                <m:t>i∈</m:t>
              </m:r>
              <m:r>
                <m:rPr>
                  <m:scr m:val="script"/>
                </m:rPr>
                <w:rPr>
                  <w:rFonts w:ascii="Cambria Math" w:hAnsi="Cambria Math" w:eastAsia="MS Mincho"/>
                  <w:sz w:val="24"/>
                </w:rPr>
                <m:t>ℰ</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g</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nary>
          <m:r>
            <m:rPr/>
            <w:rPr>
              <w:rFonts w:ascii="Cambria Math" w:hAnsi="Cambria Math"/>
              <w:sz w:val="24"/>
            </w:rPr>
            <m:t>(x)</m:t>
          </m:r>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(x),</m:t>
          </m:r>
        </m:oMath>
      </m:oMathPara>
    </w:p>
    <w:p w14:paraId="0E5069DC">
      <w:pPr>
        <w:snapToGrid w:val="0"/>
        <w:spacing w:line="360" w:lineRule="auto"/>
        <w:rPr>
          <w:sz w:val="24"/>
          <w:szCs w:val="24"/>
        </w:rPr>
      </w:pPr>
      <w:r>
        <w:rPr>
          <w:rFonts w:hint="eastAsia"/>
          <w:sz w:val="24"/>
          <w:szCs w:val="24"/>
        </w:rPr>
        <w:t>其中</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(x)</m:t>
        </m:r>
      </m:oMath>
      <w:r>
        <w:rPr>
          <w:rFonts w:hint="eastAsia"/>
          <w:sz w:val="24"/>
          <w:szCs w:val="24"/>
        </w:rPr>
        <w:t>表示第</w:t>
      </w:r>
      <m:oMath>
        <m:r>
          <m:rPr/>
          <w:rPr>
            <w:rFonts w:ascii="Cambria Math" w:hAnsi="Cambria Math"/>
            <w:sz w:val="24"/>
          </w:rPr>
          <m:t>i</m:t>
        </m:r>
      </m:oMath>
      <w:r>
        <w:rPr>
          <w:rFonts w:hint="eastAsia"/>
          <w:sz w:val="24"/>
          <w:szCs w:val="24"/>
        </w:rPr>
        <w:t>个专家网络输出，</w:t>
      </w:r>
      <m:oMath>
        <m:sSub>
          <m:sSubPr>
            <m:ctrlPr>
              <w:rPr>
                <w:rFonts w:ascii="Cambria Math" w:hAnsi="Cambria Math"/>
                <w:sz w:val="24"/>
              </w:rPr>
            </m:ctrlPr>
          </m:sSubPr>
          <m:e>
            <m:r>
              <m:rPr/>
              <w:rPr>
                <w:rFonts w:ascii="Cambria Math" w:hAnsi="Cambria Math"/>
                <w:sz w:val="24"/>
              </w:rPr>
              <m:t>g</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(x)</m:t>
        </m:r>
      </m:oMath>
      <w:r>
        <w:rPr>
          <w:rFonts w:hint="eastAsia"/>
          <w:sz w:val="24"/>
          <w:szCs w:val="24"/>
        </w:rPr>
        <w:t>为路由器权重。</w:t>
      </w:r>
    </w:p>
    <w:p w14:paraId="13886F22">
      <w:pPr>
        <w:snapToGrid w:val="0"/>
        <w:spacing w:line="360" w:lineRule="auto"/>
        <w:ind w:firstLine="420"/>
        <w:rPr>
          <w:sz w:val="24"/>
          <w:szCs w:val="24"/>
        </w:rPr>
      </w:pPr>
      <w:r>
        <w:rPr>
          <w:rFonts w:hint="eastAsia"/>
          <w:sz w:val="24"/>
          <w:szCs w:val="24"/>
        </w:rPr>
        <w:t>通过该机制，模型能够自动学习不同模态组合与疾病状态之间的关联模式，从而揭示多模态信息在疾病演变过程中的异质表达规律。</w:t>
      </w:r>
    </w:p>
    <w:p w14:paraId="1F259BB2">
      <w:pPr>
        <w:snapToGrid w:val="0"/>
        <w:spacing w:line="360" w:lineRule="auto"/>
        <w:ind w:firstLine="420"/>
        <w:rPr>
          <w:sz w:val="24"/>
          <w:szCs w:val="24"/>
        </w:rPr>
      </w:pPr>
      <w:r>
        <w:rPr>
          <w:rFonts w:hint="eastAsia"/>
          <w:sz w:val="24"/>
          <w:szCs w:val="24"/>
        </w:rPr>
        <w:t>最终，通过感知重采样模块对融合后的多模态特征进行压缩映射，输出标准化的统一多模态表示序列，为后续致盲性眼底疾病疗效预测模型提供输入。</w:t>
      </w:r>
    </w:p>
    <w:p w14:paraId="6FB6231A">
      <w:pPr>
        <w:snapToGrid w:val="0"/>
        <w:spacing w:line="360" w:lineRule="auto"/>
        <w:ind w:firstLine="420"/>
        <w:rPr>
          <w:sz w:val="24"/>
          <w:szCs w:val="24"/>
        </w:rPr>
      </w:pPr>
    </w:p>
    <w:p w14:paraId="251360A0">
      <w:pPr>
        <w:pStyle w:val="2"/>
        <w:snapToGrid w:val="0"/>
        <w:spacing w:before="0" w:after="0" w:line="360" w:lineRule="auto"/>
        <w:jc w:val="both"/>
        <w:rPr>
          <w:rFonts w:eastAsia="宋体"/>
          <w:sz w:val="24"/>
          <w:szCs w:val="24"/>
        </w:rPr>
      </w:pPr>
      <w:r>
        <w:rPr>
          <w:rFonts w:eastAsia="宋体"/>
          <w:sz w:val="24"/>
          <w:szCs w:val="24"/>
        </w:rPr>
        <w:t>2.</w:t>
      </w:r>
      <w:r>
        <w:rPr>
          <w:rFonts w:hint="eastAsia" w:eastAsia="宋体"/>
          <w:sz w:val="24"/>
          <w:szCs w:val="24"/>
        </w:rPr>
        <w:t>2</w:t>
      </w:r>
      <w:r>
        <w:rPr>
          <w:rFonts w:eastAsia="宋体"/>
          <w:sz w:val="24"/>
          <w:szCs w:val="24"/>
        </w:rPr>
        <w:t>.3 基于Mamba与医疗大模型协同的长时序动态演变预测</w:t>
      </w:r>
    </w:p>
    <w:p w14:paraId="40E740B0">
      <w:pPr>
        <w:snapToGrid w:val="0"/>
        <w:spacing w:line="360" w:lineRule="auto"/>
        <w:ind w:firstLine="500"/>
        <w:rPr>
          <w:rFonts w:cs="宋体"/>
          <w:sz w:val="24"/>
          <w:szCs w:val="24"/>
        </w:rPr>
      </w:pPr>
      <w:r>
        <w:rPr>
          <w:color w:val="000000"/>
          <w:sz w:val="24"/>
          <w:szCs w:val="24"/>
        </w:rPr>
        <w:t>本章节以2.</w:t>
      </w:r>
      <w:r>
        <w:rPr>
          <w:rFonts w:hint="eastAsia"/>
          <w:color w:val="000000"/>
          <w:sz w:val="24"/>
          <w:szCs w:val="24"/>
        </w:rPr>
        <w:t>2</w:t>
      </w:r>
      <w:r>
        <w:rPr>
          <w:color w:val="000000"/>
          <w:sz w:val="24"/>
          <w:szCs w:val="24"/>
        </w:rPr>
        <w:t>.2.2输出的全随访节点统一多模态表示序列为核心输入，聚焦解决不规则长随访序列自适应建模、宏观病程与微观病灶协同捕捉、长时序预测医学逻辑失真三大核心瓶颈，核心目标是</w:t>
      </w:r>
      <w:r>
        <w:rPr>
          <w:rFonts w:hint="eastAsia"/>
          <w:color w:val="000000"/>
          <w:sz w:val="24"/>
          <w:szCs w:val="24"/>
        </w:rPr>
        <w:t>实现</w:t>
      </w:r>
      <w:r>
        <w:rPr>
          <w:b/>
          <w:bCs/>
          <w:color w:val="000000"/>
          <w:sz w:val="24"/>
          <w:szCs w:val="24"/>
        </w:rPr>
        <w:t>历史不规则随访流</w:t>
      </w:r>
      <w:r>
        <w:rPr>
          <w:color w:val="000000"/>
          <w:sz w:val="24"/>
          <w:szCs w:val="24"/>
        </w:rPr>
        <w:t>到</w:t>
      </w:r>
      <w:r>
        <w:rPr>
          <w:b/>
          <w:bCs/>
          <w:color w:val="000000"/>
          <w:sz w:val="24"/>
          <w:szCs w:val="24"/>
        </w:rPr>
        <w:t>未来1-3年多节点疗效全景</w:t>
      </w:r>
      <w:r>
        <w:rPr>
          <w:color w:val="000000"/>
          <w:sz w:val="24"/>
          <w:szCs w:val="24"/>
        </w:rPr>
        <w:t>的精准映射</w:t>
      </w:r>
      <w:r>
        <w:rPr>
          <w:rFonts w:hint="eastAsia" w:cs="宋体"/>
          <w:color w:val="000000"/>
          <w:sz w:val="24"/>
          <w:szCs w:val="24"/>
        </w:rPr>
        <w:t>。</w:t>
      </w:r>
      <w:r>
        <w:rPr>
          <w:rFonts w:hint="eastAsia"/>
          <w:color w:val="000000"/>
          <w:sz w:val="24"/>
          <w:szCs w:val="24"/>
        </w:rPr>
        <w:t>如图5所示，</w:t>
      </w:r>
      <w:r>
        <w:rPr>
          <w:rFonts w:cs="宋体"/>
          <w:sz w:val="24"/>
          <w:szCs w:val="24"/>
        </w:rPr>
        <w:t>整体技术路径采用 Mamba2-UMamba 双流架构与大模型知识锚定相结合的协同方案。</w:t>
      </w:r>
    </w:p>
    <w:p w14:paraId="02927D43">
      <w:pPr>
        <w:snapToGrid w:val="0"/>
        <w:spacing w:line="360" w:lineRule="auto"/>
        <w:jc w:val="center"/>
        <w:rPr>
          <w:rFonts w:cs="宋体"/>
          <w:sz w:val="24"/>
          <w:szCs w:val="24"/>
        </w:rPr>
      </w:pPr>
      <w:r>
        <w:rPr>
          <w:rFonts w:hint="eastAsia" w:cs="宋体"/>
          <w:sz w:val="24"/>
          <w:szCs w:val="24"/>
        </w:rPr>
        <w:drawing>
          <wp:inline distT="0" distB="0" distL="114300" distR="114300">
            <wp:extent cx="5076190" cy="2038985"/>
            <wp:effectExtent l="0" t="0" r="3810" b="5715"/>
            <wp:docPr id="6" name="图片 6" descr="面上项目-插图更新汇总-20260318(1)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面上项目-插图更新汇总-20260318(1)_05"/>
                    <pic:cNvPicPr>
                      <a:picLocks noChangeAspect="1"/>
                    </pic:cNvPicPr>
                  </pic:nvPicPr>
                  <pic:blipFill>
                    <a:blip r:embed="rId9"/>
                    <a:srcRect t="23225" b="26562"/>
                    <a:stretch>
                      <a:fillRect/>
                    </a:stretch>
                  </pic:blipFill>
                  <pic:spPr>
                    <a:xfrm>
                      <a:off x="0" y="0"/>
                      <a:ext cx="5076190" cy="2038985"/>
                    </a:xfrm>
                    <a:prstGeom prst="rect">
                      <a:avLst/>
                    </a:prstGeom>
                  </pic:spPr>
                </pic:pic>
              </a:graphicData>
            </a:graphic>
          </wp:inline>
        </w:drawing>
      </w:r>
    </w:p>
    <w:p w14:paraId="15AD3786">
      <w:pPr>
        <w:snapToGrid w:val="0"/>
        <w:spacing w:line="360" w:lineRule="auto"/>
        <w:jc w:val="center"/>
        <w:outlineLvl w:val="0"/>
        <w:rPr>
          <w:rFonts w:cs="宋体"/>
          <w:sz w:val="24"/>
          <w:szCs w:val="24"/>
        </w:rPr>
      </w:pPr>
      <w:r>
        <w:rPr>
          <w:rFonts w:hint="eastAsia" w:cs="宋体"/>
          <w:sz w:val="24"/>
          <w:szCs w:val="24"/>
        </w:rPr>
        <w:t>图5 基于Mamba与医疗大模型协同的长时序动态演变预测</w:t>
      </w:r>
    </w:p>
    <w:p w14:paraId="07CBA3CF">
      <w:pPr>
        <w:snapToGrid w:val="0"/>
        <w:spacing w:line="360" w:lineRule="auto"/>
        <w:jc w:val="center"/>
        <w:outlineLvl w:val="0"/>
        <w:rPr>
          <w:rFonts w:cs="宋体"/>
          <w:sz w:val="24"/>
          <w:szCs w:val="24"/>
        </w:rPr>
      </w:pPr>
    </w:p>
    <w:p w14:paraId="4A6AC22A">
      <w:pPr>
        <w:pStyle w:val="3"/>
        <w:snapToGrid w:val="0"/>
        <w:spacing w:before="0" w:after="0" w:line="360" w:lineRule="auto"/>
        <w:jc w:val="both"/>
        <w:rPr>
          <w:rFonts w:eastAsia="宋体"/>
          <w:sz w:val="24"/>
          <w:szCs w:val="24"/>
        </w:rPr>
      </w:pPr>
      <w:r>
        <w:rPr>
          <w:rFonts w:eastAsia="宋体"/>
          <w:sz w:val="24"/>
          <w:szCs w:val="24"/>
        </w:rPr>
        <w:t>2.</w:t>
      </w:r>
      <w:r>
        <w:rPr>
          <w:rFonts w:hint="eastAsia" w:eastAsia="宋体"/>
          <w:sz w:val="24"/>
          <w:szCs w:val="24"/>
        </w:rPr>
        <w:t>2</w:t>
      </w:r>
      <w:r>
        <w:rPr>
          <w:rFonts w:eastAsia="宋体"/>
          <w:sz w:val="24"/>
          <w:szCs w:val="24"/>
        </w:rPr>
        <w:t>.3.1 连续时间敏感的Mamba2-UMamba双流时空演变架构</w:t>
      </w:r>
    </w:p>
    <w:p w14:paraId="6240C760">
      <w:pPr>
        <w:snapToGrid w:val="0"/>
        <w:spacing w:line="360" w:lineRule="auto"/>
        <w:ind w:firstLine="500"/>
        <w:rPr>
          <w:sz w:val="24"/>
          <w:szCs w:val="24"/>
        </w:rPr>
      </w:pPr>
      <w:r>
        <w:rPr>
          <w:color w:val="000000"/>
          <w:sz w:val="24"/>
          <w:szCs w:val="24"/>
        </w:rPr>
        <w:t>单一流架构无法同时兼顾超长序列长程时序依赖与</w:t>
      </w:r>
      <w:r>
        <w:rPr>
          <w:rFonts w:hint="eastAsia"/>
          <w:color w:val="000000"/>
          <w:sz w:val="24"/>
          <w:szCs w:val="24"/>
        </w:rPr>
        <w:t>局灶性病变</w:t>
      </w:r>
      <w:r>
        <w:rPr>
          <w:color w:val="000000"/>
          <w:sz w:val="24"/>
          <w:szCs w:val="24"/>
        </w:rPr>
        <w:t>细粒度特征提取，因此本研究设计双流解耦建模</w:t>
      </w:r>
      <w:r>
        <w:rPr>
          <w:rFonts w:hint="eastAsia"/>
          <w:color w:val="000000"/>
          <w:sz w:val="24"/>
          <w:szCs w:val="24"/>
        </w:rPr>
        <w:t>、</w:t>
      </w:r>
      <w:r>
        <w:rPr>
          <w:color w:val="000000"/>
          <w:sz w:val="24"/>
          <w:szCs w:val="24"/>
        </w:rPr>
        <w:t>跨尺度门控融合协同架构，通过</w:t>
      </w:r>
      <w:r>
        <w:rPr>
          <w:b/>
          <w:bCs/>
          <w:color w:val="000000"/>
          <w:sz w:val="24"/>
          <w:szCs w:val="24"/>
        </w:rPr>
        <w:t>宏观建模全局病程趋势、微观捕捉</w:t>
      </w:r>
      <w:r>
        <w:rPr>
          <w:rFonts w:hint="eastAsia"/>
          <w:b/>
          <w:bCs/>
          <w:color w:val="000000"/>
          <w:sz w:val="24"/>
          <w:szCs w:val="24"/>
        </w:rPr>
        <w:t>局灶性</w:t>
      </w:r>
      <w:r>
        <w:rPr>
          <w:b/>
          <w:bCs/>
          <w:color w:val="000000"/>
          <w:sz w:val="24"/>
          <w:szCs w:val="24"/>
        </w:rPr>
        <w:t>演变</w:t>
      </w:r>
      <w:r>
        <w:rPr>
          <w:color w:val="000000"/>
          <w:sz w:val="24"/>
          <w:szCs w:val="24"/>
        </w:rPr>
        <w:t>，最终经门控融合实现多尺度特征的协同优化。</w:t>
      </w:r>
    </w:p>
    <w:p w14:paraId="03411173">
      <w:pPr>
        <w:snapToGrid w:val="0"/>
        <w:spacing w:line="360" w:lineRule="auto"/>
        <w:ind w:firstLine="500"/>
        <w:rPr>
          <w:sz w:val="24"/>
          <w:szCs w:val="24"/>
        </w:rPr>
      </w:pPr>
      <w:r>
        <w:rPr>
          <w:color w:val="000000"/>
          <w:sz w:val="24"/>
          <w:szCs w:val="24"/>
        </w:rPr>
        <w:t>宏观时序流以带时间戳的全随访节点统一多模态表示序列</w:t>
      </w:r>
      <m:oMath>
        <m:r>
          <m:rPr/>
          <w:rPr>
            <w:rFonts w:ascii="Cambria Math" w:hAnsi="Cambria Math"/>
            <w:sz w:val="24"/>
            <w:szCs w:val="24"/>
          </w:rPr>
          <m:t>X =</m:t>
        </m:r>
        <m:d>
          <m:dPr>
            <m:begChr m:val="["/>
            <m:end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1</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rPr>
                  <m:t>, x</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rPr>
                  <m:t>, …, x</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ctrlPr>
              <w:rPr>
                <w:rFonts w:ascii="Cambria Math" w:hAnsi="Cambria Math"/>
                <w:sz w:val="24"/>
                <w:szCs w:val="24"/>
              </w:rPr>
            </m:ctrlPr>
          </m:e>
        </m:d>
      </m:oMath>
      <w:r>
        <w:rPr>
          <w:color w:val="000000"/>
          <w:sz w:val="24"/>
          <w:szCs w:val="24"/>
        </w:rPr>
        <w:t>（其中</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p>
          <m:sSupPr>
            <m:ctrlPr>
              <w:rPr>
                <w:rFonts w:ascii="Cambria Math" w:hAnsi="Cambria Math"/>
                <w:sz w:val="24"/>
              </w:rPr>
            </m:ctrlPr>
          </m:sSupPr>
          <m:e>
            <m:r>
              <m:rPr/>
              <w:rPr>
                <w:rFonts w:ascii="Cambria Math" w:hAnsi="Cambria Math"/>
                <w:sz w:val="24"/>
              </w:rPr>
              <m:t>R</m:t>
            </m:r>
            <m:ctrlPr>
              <w:rPr>
                <w:rFonts w:ascii="Cambria Math" w:hAnsi="Cambria Math"/>
                <w:sz w:val="24"/>
              </w:rPr>
            </m:ctrlPr>
          </m:e>
          <m:sup>
            <m:r>
              <m:rPr/>
              <w:rPr>
                <w:rFonts w:ascii="Cambria Math" w:hAnsi="Cambria Math"/>
                <w:sz w:val="24"/>
              </w:rPr>
              <m:t>d</m:t>
            </m:r>
            <m:ctrlPr>
              <w:rPr>
                <w:rFonts w:ascii="Cambria Math" w:hAnsi="Cambria Math"/>
                <w:sz w:val="24"/>
              </w:rPr>
            </m:ctrlPr>
          </m:sup>
        </m:sSup>
      </m:oMath>
      <w:r>
        <w:rPr>
          <w:color w:val="000000"/>
          <w:sz w:val="24"/>
          <w:szCs w:val="24"/>
        </w:rPr>
        <w:t>为第</w:t>
      </w:r>
      <w:r>
        <w:rPr>
          <w:rFonts w:cs="Cambria Math"/>
          <w:i/>
          <w:iCs/>
          <w:sz w:val="24"/>
          <w:szCs w:val="24"/>
        </w:rPr>
        <w:t>t</w:t>
      </w:r>
      <w:r>
        <w:rPr>
          <w:color w:val="000000"/>
          <w:sz w:val="24"/>
          <w:szCs w:val="24"/>
        </w:rPr>
        <w:t>个随访节点的</w:t>
      </w:r>
      <w:r>
        <w:rPr>
          <w:rFonts w:cs="Cambria Math"/>
          <w:i/>
          <w:iCs/>
          <w:sz w:val="24"/>
          <w:szCs w:val="24"/>
        </w:rPr>
        <w:t>d</w:t>
      </w:r>
      <w:r>
        <w:rPr>
          <w:color w:val="000000"/>
          <w:sz w:val="24"/>
          <w:szCs w:val="24"/>
        </w:rPr>
        <w:t>维统一多模态表征，</w:t>
      </w:r>
      <m:oMath>
        <m:r>
          <m:rPr/>
          <w:rPr>
            <w:rFonts w:ascii="Cambria Math" w:hAnsi="Cambria Math"/>
            <w:sz w:val="24"/>
            <w:szCs w:val="24"/>
          </w:rPr>
          <m:t>Δ</m:t>
        </m:r>
        <m:sSub>
          <m:sSubPr>
            <m:ctrlPr>
              <w:rPr>
                <w:rFonts w:ascii="Cambria Math" w:hAnsi="Cambria Math"/>
                <w:sz w:val="24"/>
                <w:szCs w:val="24"/>
              </w:rPr>
            </m:ctrlPr>
          </m:sSubPr>
          <m:e>
            <m:r>
              <m:rPr/>
              <w:rPr>
                <w:rFonts w:ascii="Cambria Math" w:hAnsi="Cambria Math"/>
                <w:sz w:val="24"/>
                <w:szCs w:val="24"/>
              </w:rPr>
              <m:t>t</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Sub>
      </m:oMath>
      <w:r>
        <w:rPr>
          <w:color w:val="000000"/>
          <w:sz w:val="24"/>
          <w:szCs w:val="24"/>
        </w:rPr>
        <w:t>为相邻随访节点的实际时间间隔）为输入，核心解决传统模型需固定时间步插值、长序列建模复杂度高、对临床不规则随访适配性差的痛点。首先通过动态参数化实现不规则随访间隔的自适应适配，使随访间隔与患者病程特征联动，无需插值或重采样即可适配不同随访频率</w:t>
      </w:r>
      <w:r>
        <w:rPr>
          <w:rFonts w:hint="eastAsia"/>
          <w:color w:val="000000"/>
          <w:sz w:val="24"/>
          <w:szCs w:val="24"/>
        </w:rPr>
        <w:t>，即</w:t>
      </w:r>
      <m:oMath>
        <m:r>
          <m:rPr/>
          <w:rPr>
            <w:rFonts w:ascii="Cambria Math" w:hAnsi="Cambria Math"/>
            <w:sz w:val="24"/>
            <w:szCs w:val="24"/>
          </w:rPr>
          <m:t>Δ</m:t>
        </m:r>
        <m:sSub>
          <m:sSubPr>
            <m:ctrlPr>
              <w:rPr>
                <w:rFonts w:ascii="Cambria Math" w:hAnsi="Cambria Math"/>
                <w:sz w:val="24"/>
                <w:szCs w:val="24"/>
              </w:rPr>
            </m:ctrlPr>
          </m:sSubPr>
          <m:e>
            <m:r>
              <m:rPr/>
              <w:rPr>
                <w:rFonts w:ascii="Cambria Math" w:hAnsi="Cambria Math"/>
                <w:sz w:val="24"/>
                <w:szCs w:val="24"/>
              </w:rPr>
              <m:t>t</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Sub>
        <m:r>
          <m:rPr/>
          <w:rPr>
            <w:rFonts w:ascii="Cambria Math" w:hAnsi="Cambria Math"/>
            <w:sz w:val="24"/>
            <w:szCs w:val="24"/>
          </w:rPr>
          <m:t>=softplus</m:t>
        </m:r>
        <m:d>
          <m:dPr>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w:rPr>
                    <w:rFonts w:ascii="Cambria Math" w:hAnsi="Cambria Math"/>
                    <w:sz w:val="24"/>
                    <w:szCs w:val="24"/>
                  </w:rPr>
                  <m:t>proj</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w:rPr>
                    <w:rFonts w:ascii="Cambria Math" w:hAnsi="Cambria Math"/>
                    <w:sz w:val="24"/>
                    <w:szCs w:val="24"/>
                  </w:rPr>
                  <m:t>bias</m:t>
                </m:r>
                <m:ctrlPr>
                  <w:rPr>
                    <w:rFonts w:ascii="Cambria Math" w:hAnsi="Cambria Math"/>
                    <w:sz w:val="24"/>
                    <w:szCs w:val="24"/>
                  </w:rPr>
                </m:ctrlPr>
              </m:sub>
            </m:sSub>
            <m:ctrlPr>
              <w:rPr>
                <w:rFonts w:ascii="Cambria Math" w:hAnsi="Cambria Math"/>
                <w:sz w:val="24"/>
                <w:szCs w:val="24"/>
              </w:rPr>
            </m:ctrlPr>
          </m:e>
        </m:d>
      </m:oMath>
      <w:r>
        <w:rPr>
          <w:rFonts w:hint="eastAsia"/>
          <w:sz w:val="24"/>
          <w:szCs w:val="24"/>
        </w:rPr>
        <w:t>.</w:t>
      </w:r>
    </w:p>
    <w:p w14:paraId="47485ADC">
      <w:pPr>
        <w:snapToGrid w:val="0"/>
        <w:spacing w:line="360" w:lineRule="auto"/>
        <w:ind w:firstLine="500"/>
        <w:rPr>
          <w:sz w:val="24"/>
          <w:szCs w:val="24"/>
        </w:rPr>
      </w:pPr>
      <w:r>
        <w:rPr>
          <w:color w:val="000000"/>
          <w:sz w:val="24"/>
          <w:szCs w:val="24"/>
        </w:rPr>
        <w:t>在此基础上，基于连续时间状态空间模型（SSM）离散化结合Mamba2选择性扫描机制建模，将不规则时间间隔显式嵌入状态转移矩阵，以线性复杂度实现3年以上超长序列建模，有效过滤冗余噪声、保留关键病程信息：</w:t>
      </w:r>
    </w:p>
    <w:p w14:paraId="76282C8C">
      <w:pPr>
        <w:pStyle w:val="27"/>
        <w:snapToGrid w:val="0"/>
        <w:spacing w:before="0" w:after="0"/>
        <w:rPr>
          <w:rFonts w:ascii="Times New Roman" w:hAnsi="Times New Roman" w:eastAsia="宋体"/>
        </w:rPr>
      </w:pPr>
      <m:oMath>
        <m:sSub>
          <m:sSubPr>
            <m:ctrlPr>
              <w:rPr>
                <w:rFonts w:eastAsia="宋体"/>
              </w:rPr>
            </m:ctrlPr>
          </m:sSubPr>
          <m:e>
            <m:r>
              <m:rPr/>
              <w:rPr>
                <w:rFonts w:eastAsia="宋体"/>
              </w:rPr>
              <m:t>A</m:t>
            </m:r>
            <m:ctrlPr>
              <w:rPr>
                <w:rFonts w:eastAsia="宋体"/>
              </w:rPr>
            </m:ctrlPr>
          </m:e>
          <m:sub>
            <m:r>
              <m:rPr/>
              <w:rPr>
                <w:rFonts w:eastAsia="宋体"/>
              </w:rPr>
              <m:t>t</m:t>
            </m:r>
            <m:ctrlPr>
              <w:rPr>
                <w:rFonts w:eastAsia="宋体"/>
              </w:rPr>
            </m:ctrlPr>
          </m:sub>
        </m:sSub>
        <m:r>
          <m:rPr/>
          <w:rPr>
            <w:rFonts w:eastAsia="宋体"/>
          </w:rPr>
          <m:t>=exp</m:t>
        </m:r>
        <m:d>
          <m:dPr>
            <m:ctrlPr>
              <w:rPr>
                <w:rFonts w:eastAsia="宋体"/>
              </w:rPr>
            </m:ctrlPr>
          </m:dPr>
          <m:e>
            <m:r>
              <m:rPr/>
              <w:rPr>
                <w:rFonts w:eastAsia="宋体"/>
              </w:rPr>
              <m:t>Δ</m:t>
            </m:r>
            <m:sSub>
              <m:sSubPr>
                <m:ctrlPr>
                  <w:rPr>
                    <w:rFonts w:eastAsia="宋体"/>
                  </w:rPr>
                </m:ctrlPr>
              </m:sSubPr>
              <m:e>
                <m:r>
                  <m:rPr/>
                  <w:rPr>
                    <w:rFonts w:eastAsia="宋体"/>
                  </w:rPr>
                  <m:t>t</m:t>
                </m:r>
                <m:ctrlPr>
                  <w:rPr>
                    <w:rFonts w:eastAsia="宋体"/>
                  </w:rPr>
                </m:ctrlPr>
              </m:e>
              <m:sub>
                <m:r>
                  <m:rPr/>
                  <w:rPr>
                    <w:rFonts w:eastAsia="宋体"/>
                  </w:rPr>
                  <m:t>t</m:t>
                </m:r>
                <m:ctrlPr>
                  <w:rPr>
                    <w:rFonts w:eastAsia="宋体"/>
                  </w:rPr>
                </m:ctrlPr>
              </m:sub>
            </m:sSub>
            <m:r>
              <m:rPr/>
              <w:rPr>
                <w:rFonts w:eastAsia="宋体"/>
              </w:rPr>
              <m:t>·A</m:t>
            </m:r>
            <m:ctrlPr>
              <w:rPr>
                <w:rFonts w:eastAsia="宋体"/>
              </w:rPr>
            </m:ctrlPr>
          </m:e>
        </m:d>
        <m:r>
          <m:rPr/>
          <w:rPr>
            <w:rFonts w:eastAsia="宋体"/>
          </w:rPr>
          <m:t>,</m:t>
        </m:r>
        <m:sSub>
          <m:sSubPr>
            <m:ctrlPr>
              <w:rPr>
                <w:rFonts w:eastAsia="宋体"/>
              </w:rPr>
            </m:ctrlPr>
          </m:sSubPr>
          <m:e>
            <m:r>
              <m:rPr/>
              <w:rPr>
                <w:rFonts w:eastAsia="宋体"/>
              </w:rPr>
              <m:t>B</m:t>
            </m:r>
            <m:ctrlPr>
              <w:rPr>
                <w:rFonts w:eastAsia="宋体"/>
              </w:rPr>
            </m:ctrlPr>
          </m:e>
          <m:sub>
            <m:r>
              <m:rPr/>
              <w:rPr>
                <w:rFonts w:eastAsia="宋体"/>
              </w:rPr>
              <m:t>t</m:t>
            </m:r>
            <m:ctrlPr>
              <w:rPr>
                <w:rFonts w:eastAsia="宋体"/>
              </w:rPr>
            </m:ctrlPr>
          </m:sub>
        </m:sSub>
        <m:r>
          <m:rPr/>
          <w:rPr>
            <w:rFonts w:eastAsia="宋体"/>
          </w:rPr>
          <m:t>=</m:t>
        </m:r>
        <m:sSup>
          <m:sSupPr>
            <m:ctrlPr>
              <w:rPr>
                <w:rFonts w:eastAsia="宋体"/>
              </w:rPr>
            </m:ctrlPr>
          </m:sSupPr>
          <m:e>
            <m:d>
              <m:dPr>
                <m:ctrlPr>
                  <w:rPr>
                    <w:rFonts w:eastAsia="宋体"/>
                  </w:rPr>
                </m:ctrlPr>
              </m:dPr>
              <m:e>
                <m:r>
                  <m:rPr/>
                  <w:rPr>
                    <w:rFonts w:eastAsia="宋体"/>
                  </w:rPr>
                  <m:t>Δ</m:t>
                </m:r>
                <m:sSub>
                  <m:sSubPr>
                    <m:ctrlPr>
                      <w:rPr>
                        <w:rFonts w:eastAsia="宋体"/>
                      </w:rPr>
                    </m:ctrlPr>
                  </m:sSubPr>
                  <m:e>
                    <m:r>
                      <m:rPr/>
                      <w:rPr>
                        <w:rFonts w:eastAsia="宋体"/>
                      </w:rPr>
                      <m:t>t</m:t>
                    </m:r>
                    <m:ctrlPr>
                      <w:rPr>
                        <w:rFonts w:eastAsia="宋体"/>
                      </w:rPr>
                    </m:ctrlPr>
                  </m:e>
                  <m:sub>
                    <m:r>
                      <m:rPr/>
                      <w:rPr>
                        <w:rFonts w:eastAsia="宋体"/>
                      </w:rPr>
                      <m:t>t</m:t>
                    </m:r>
                    <m:ctrlPr>
                      <w:rPr>
                        <w:rFonts w:eastAsia="宋体"/>
                      </w:rPr>
                    </m:ctrlPr>
                  </m:sub>
                </m:sSub>
                <m:r>
                  <m:rPr/>
                  <w:rPr>
                    <w:rFonts w:eastAsia="宋体"/>
                  </w:rPr>
                  <m:t>·A</m:t>
                </m:r>
                <m:ctrlPr>
                  <w:rPr>
                    <w:rFonts w:eastAsia="宋体"/>
                  </w:rPr>
                </m:ctrlPr>
              </m:e>
            </m:d>
            <m:ctrlPr>
              <w:rPr>
                <w:rFonts w:eastAsia="宋体"/>
              </w:rPr>
            </m:ctrlPr>
          </m:e>
          <m:sup>
            <m:r>
              <m:rPr/>
              <w:rPr>
                <w:rFonts w:eastAsia="宋体"/>
              </w:rPr>
              <m:t>−1</m:t>
            </m:r>
            <m:ctrlPr>
              <w:rPr>
                <w:rFonts w:eastAsia="宋体"/>
              </w:rPr>
            </m:ctrlPr>
          </m:sup>
        </m:sSup>
        <m:d>
          <m:dPr>
            <m:ctrlPr>
              <w:rPr>
                <w:rFonts w:eastAsia="宋体"/>
              </w:rPr>
            </m:ctrlPr>
          </m:dPr>
          <m:e>
            <m:r>
              <m:rPr/>
              <w:rPr>
                <w:rFonts w:eastAsia="宋体"/>
              </w:rPr>
              <m:t>exp</m:t>
            </m:r>
            <m:d>
              <m:dPr>
                <m:ctrlPr>
                  <w:rPr>
                    <w:rFonts w:eastAsia="宋体"/>
                  </w:rPr>
                </m:ctrlPr>
              </m:dPr>
              <m:e>
                <m:r>
                  <m:rPr/>
                  <w:rPr>
                    <w:rFonts w:eastAsia="宋体"/>
                  </w:rPr>
                  <m:t>Δ</m:t>
                </m:r>
                <m:sSub>
                  <m:sSubPr>
                    <m:ctrlPr>
                      <w:rPr>
                        <w:rFonts w:eastAsia="宋体"/>
                      </w:rPr>
                    </m:ctrlPr>
                  </m:sSubPr>
                  <m:e>
                    <m:r>
                      <m:rPr/>
                      <w:rPr>
                        <w:rFonts w:eastAsia="宋体"/>
                      </w:rPr>
                      <m:t>t</m:t>
                    </m:r>
                    <m:ctrlPr>
                      <w:rPr>
                        <w:rFonts w:eastAsia="宋体"/>
                      </w:rPr>
                    </m:ctrlPr>
                  </m:e>
                  <m:sub>
                    <m:r>
                      <m:rPr/>
                      <w:rPr>
                        <w:rFonts w:eastAsia="宋体"/>
                      </w:rPr>
                      <m:t>t</m:t>
                    </m:r>
                    <m:ctrlPr>
                      <w:rPr>
                        <w:rFonts w:eastAsia="宋体"/>
                      </w:rPr>
                    </m:ctrlPr>
                  </m:sub>
                </m:sSub>
                <m:r>
                  <m:rPr/>
                  <w:rPr>
                    <w:rFonts w:eastAsia="宋体"/>
                  </w:rPr>
                  <m:t>·A</m:t>
                </m:r>
                <m:ctrlPr>
                  <w:rPr>
                    <w:rFonts w:eastAsia="宋体"/>
                  </w:rPr>
                </m:ctrlPr>
              </m:e>
            </m:d>
            <m:r>
              <m:rPr/>
              <w:rPr>
                <w:rFonts w:eastAsia="宋体"/>
              </w:rPr>
              <m:t>− I</m:t>
            </m:r>
            <m:ctrlPr>
              <w:rPr>
                <w:rFonts w:eastAsia="宋体"/>
              </w:rPr>
            </m:ctrlPr>
          </m:e>
        </m:d>
        <m:r>
          <m:rPr/>
          <w:rPr>
            <w:rFonts w:eastAsia="宋体"/>
          </w:rPr>
          <m:t>·Δ</m:t>
        </m:r>
        <m:sSub>
          <m:sSubPr>
            <m:ctrlPr>
              <w:rPr>
                <w:rFonts w:eastAsia="宋体"/>
              </w:rPr>
            </m:ctrlPr>
          </m:sSubPr>
          <m:e>
            <m:r>
              <m:rPr/>
              <w:rPr>
                <w:rFonts w:eastAsia="宋体"/>
              </w:rPr>
              <m:t>t</m:t>
            </m:r>
            <m:ctrlPr>
              <w:rPr>
                <w:rFonts w:eastAsia="宋体"/>
              </w:rPr>
            </m:ctrlPr>
          </m:e>
          <m:sub>
            <m:r>
              <m:rPr/>
              <w:rPr>
                <w:rFonts w:eastAsia="宋体"/>
              </w:rPr>
              <m:t>t</m:t>
            </m:r>
            <m:ctrlPr>
              <w:rPr>
                <w:rFonts w:eastAsia="宋体"/>
              </w:rPr>
            </m:ctrlPr>
          </m:sub>
        </m:sSub>
        <m:r>
          <m:rPr/>
          <w:rPr>
            <w:rFonts w:eastAsia="宋体"/>
          </w:rPr>
          <m:t xml:space="preserve">·B, </m:t>
        </m:r>
        <m:sSub>
          <m:sSubPr>
            <m:ctrlPr>
              <w:rPr>
                <w:rFonts w:eastAsia="宋体"/>
              </w:rPr>
            </m:ctrlPr>
          </m:sSubPr>
          <m:e>
            <m:r>
              <m:rPr/>
              <w:rPr>
                <w:rFonts w:eastAsia="宋体"/>
              </w:rPr>
              <m:t>h</m:t>
            </m:r>
            <m:ctrlPr>
              <w:rPr>
                <w:rFonts w:eastAsia="宋体"/>
              </w:rPr>
            </m:ctrlPr>
          </m:e>
          <m:sub>
            <m:r>
              <m:rPr/>
              <w:rPr>
                <w:rFonts w:eastAsia="宋体"/>
              </w:rPr>
              <m:t>t</m:t>
            </m:r>
            <m:ctrlPr>
              <w:rPr>
                <w:rFonts w:eastAsia="宋体"/>
              </w:rPr>
            </m:ctrlPr>
          </m:sub>
        </m:sSub>
        <m:sSub>
          <m:sSubPr>
            <m:ctrlPr>
              <w:rPr>
                <w:rFonts w:eastAsia="宋体"/>
              </w:rPr>
            </m:ctrlPr>
          </m:sSubPr>
          <m:e>
            <m:r>
              <m:rPr/>
              <w:rPr>
                <w:rFonts w:eastAsia="宋体"/>
              </w:rPr>
              <m:t>= A</m:t>
            </m:r>
            <m:ctrlPr>
              <w:rPr>
                <w:rFonts w:eastAsia="宋体"/>
              </w:rPr>
            </m:ctrlPr>
          </m:e>
          <m:sub>
            <m:r>
              <m:rPr/>
              <w:rPr>
                <w:rFonts w:eastAsia="宋体"/>
              </w:rPr>
              <m:t>t</m:t>
            </m:r>
            <m:ctrlPr>
              <w:rPr>
                <w:rFonts w:eastAsia="宋体"/>
              </w:rPr>
            </m:ctrlPr>
          </m:sub>
        </m:sSub>
        <m:sSub>
          <m:sSubPr>
            <m:ctrlPr>
              <w:rPr>
                <w:rFonts w:eastAsia="宋体"/>
              </w:rPr>
            </m:ctrlPr>
          </m:sSubPr>
          <m:e>
            <m:r>
              <m:rPr/>
              <w:rPr>
                <w:rFonts w:eastAsia="宋体"/>
              </w:rPr>
              <m:t>h</m:t>
            </m:r>
            <m:ctrlPr>
              <w:rPr>
                <w:rFonts w:eastAsia="宋体"/>
              </w:rPr>
            </m:ctrlPr>
          </m:e>
          <m:sub>
            <m:r>
              <m:rPr/>
              <w:rPr>
                <w:rFonts w:eastAsia="宋体"/>
              </w:rPr>
              <m:t>t−1</m:t>
            </m:r>
            <m:ctrlPr>
              <w:rPr>
                <w:rFonts w:eastAsia="宋体"/>
              </w:rPr>
            </m:ctrlPr>
          </m:sub>
        </m:sSub>
        <m:sSub>
          <m:sSubPr>
            <m:ctrlPr>
              <w:rPr>
                <w:rFonts w:eastAsia="宋体"/>
              </w:rPr>
            </m:ctrlPr>
          </m:sSubPr>
          <m:e>
            <m:r>
              <m:rPr/>
              <w:rPr>
                <w:rFonts w:eastAsia="宋体"/>
              </w:rPr>
              <m:t>+ B</m:t>
            </m:r>
            <m:ctrlPr>
              <w:rPr>
                <w:rFonts w:eastAsia="宋体"/>
              </w:rPr>
            </m:ctrlPr>
          </m:e>
          <m:sub>
            <m:r>
              <m:rPr/>
              <w:rPr>
                <w:rFonts w:eastAsia="宋体"/>
              </w:rPr>
              <m:t>t</m:t>
            </m:r>
            <m:ctrlPr>
              <w:rPr>
                <w:rFonts w:eastAsia="宋体"/>
              </w:rPr>
            </m:ctrlPr>
          </m:sub>
        </m:sSub>
        <m:sSub>
          <m:sSubPr>
            <m:ctrlPr>
              <w:rPr>
                <w:rFonts w:eastAsia="宋体"/>
              </w:rPr>
            </m:ctrlPr>
          </m:sSubPr>
          <m:e>
            <m:r>
              <m:rPr/>
              <w:rPr>
                <w:rFonts w:eastAsia="宋体"/>
              </w:rPr>
              <m:t>x</m:t>
            </m:r>
            <m:ctrlPr>
              <w:rPr>
                <w:rFonts w:eastAsia="宋体"/>
              </w:rPr>
            </m:ctrlPr>
          </m:e>
          <m:sub>
            <m:r>
              <m:rPr/>
              <w:rPr>
                <w:rFonts w:eastAsia="宋体"/>
              </w:rPr>
              <m:t>t</m:t>
            </m:r>
            <m:ctrlPr>
              <w:rPr>
                <w:rFonts w:eastAsia="宋体"/>
              </w:rPr>
            </m:ctrlPr>
          </m:sub>
        </m:sSub>
      </m:oMath>
      <w:r>
        <w:rPr>
          <w:rFonts w:hint="eastAsia" w:ascii="Times New Roman" w:hAnsi="Times New Roman" w:eastAsia="宋体"/>
        </w:rPr>
        <w:t>.</w:t>
      </w:r>
    </w:p>
    <w:p w14:paraId="72EF8731">
      <w:pPr>
        <w:snapToGrid w:val="0"/>
        <w:spacing w:line="360" w:lineRule="auto"/>
        <w:ind w:firstLine="500"/>
        <w:rPr>
          <w:sz w:val="24"/>
          <w:szCs w:val="24"/>
        </w:rPr>
      </w:pPr>
      <w:r>
        <w:rPr>
          <w:color w:val="000000"/>
          <w:sz w:val="24"/>
          <w:szCs w:val="24"/>
        </w:rPr>
        <w:t>输出1-3年疾病进展宏观趋势与整体治疗响应规律的全局病程时序特</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macro</m:t>
            </m:r>
            <m:ctrlPr>
              <w:rPr>
                <w:rFonts w:ascii="Cambria Math" w:hAnsi="Cambria Math"/>
                <w:sz w:val="24"/>
              </w:rPr>
            </m:ctrlPr>
          </m:sub>
        </m:sSub>
        <m:r>
          <m:rPr/>
          <w:rPr>
            <w:rFonts w:ascii="Cambria Math" w:hAnsi="Cambria Math"/>
            <w:sz w:val="24"/>
          </w:rPr>
          <m:t>∈</m:t>
        </m:r>
        <m:sSup>
          <m:sSupPr>
            <m:ctrlPr>
              <w:rPr>
                <w:rFonts w:ascii="Cambria Math" w:hAnsi="Cambria Math"/>
                <w:sz w:val="24"/>
              </w:rPr>
            </m:ctrlPr>
          </m:sSupPr>
          <m:e>
            <m:r>
              <m:rPr/>
              <w:rPr>
                <w:rFonts w:ascii="Cambria Math" w:hAnsi="Cambria Math"/>
                <w:sz w:val="24"/>
              </w:rPr>
              <m:t>R</m:t>
            </m:r>
            <m:ctrlPr>
              <w:rPr>
                <w:rFonts w:ascii="Cambria Math" w:hAnsi="Cambria Math"/>
                <w:sz w:val="24"/>
              </w:rPr>
            </m:ctrlPr>
          </m:e>
          <m:sup>
            <m:r>
              <m:rPr/>
              <w:rPr>
                <w:rFonts w:ascii="Cambria Math" w:hAnsi="Cambria Math"/>
                <w:sz w:val="24"/>
              </w:rPr>
              <m:t>N</m:t>
            </m:r>
            <m:r>
              <m:rPr>
                <m:sty m:val="p"/>
              </m:rPr>
              <w:rPr>
                <w:rFonts w:ascii="Cambria Math" w:hAnsi="Cambria Math"/>
                <w:sz w:val="24"/>
              </w:rPr>
              <m:t>×</m:t>
            </m:r>
            <m:r>
              <m:rPr/>
              <w:rPr>
                <w:rFonts w:ascii="Cambria Math" w:hAnsi="Cambria Math"/>
                <w:sz w:val="24"/>
              </w:rPr>
              <m:t>n</m:t>
            </m:r>
            <m:ctrlPr>
              <w:rPr>
                <w:rFonts w:ascii="Cambria Math" w:hAnsi="Cambria Math"/>
                <w:sz w:val="24"/>
              </w:rPr>
            </m:ctrlPr>
          </m:sup>
        </m:sSup>
      </m:oMath>
      <w:r>
        <w:rPr>
          <w:color w:val="000000"/>
          <w:sz w:val="24"/>
          <w:szCs w:val="24"/>
        </w:rPr>
        <w:t>。微观病灶流以与宏观流时间戳严格对齐的影像高维空间特征为输入，解决长程预测易忽略关键</w:t>
      </w:r>
      <w:r>
        <w:rPr>
          <w:rFonts w:hint="eastAsia"/>
          <w:color w:val="000000"/>
          <w:sz w:val="24"/>
          <w:szCs w:val="24"/>
        </w:rPr>
        <w:t>局灶性微小病变</w:t>
      </w:r>
      <w:r>
        <w:rPr>
          <w:color w:val="000000"/>
          <w:sz w:val="24"/>
          <w:szCs w:val="24"/>
        </w:rPr>
        <w:t>突变的问题。本研究采用UMamba架构，融合U-Net多尺度</w:t>
      </w:r>
      <w:r>
        <w:rPr>
          <w:rFonts w:hint="eastAsia"/>
          <w:color w:val="000000"/>
          <w:sz w:val="24"/>
          <w:szCs w:val="24"/>
        </w:rPr>
        <w:t>局灶性病变</w:t>
      </w:r>
      <w:r>
        <w:rPr>
          <w:color w:val="000000"/>
          <w:sz w:val="24"/>
          <w:szCs w:val="24"/>
        </w:rPr>
        <w:t>特征提取与Mamba长程建模优势，通过滑窗扫描机制建模相邻随访节点同解剖位置的病灶形态变化，精准捕捉积液、新生血管、萎缩灶等微观特征的时序演变，输出可为疗效预测提供细粒度影像学依据的</w:t>
      </w:r>
      <w:r>
        <w:rPr>
          <w:rFonts w:hint="eastAsia"/>
          <w:color w:val="000000"/>
          <w:sz w:val="24"/>
          <w:szCs w:val="24"/>
        </w:rPr>
        <w:t>局灶性病变</w:t>
      </w:r>
      <w:r>
        <w:rPr>
          <w:color w:val="000000"/>
          <w:sz w:val="24"/>
          <w:szCs w:val="24"/>
        </w:rPr>
        <w:t>时空演变特征</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micro</m:t>
            </m:r>
            <m:ctrlPr>
              <w:rPr>
                <w:rFonts w:ascii="Cambria Math" w:hAnsi="Cambria Math"/>
                <w:sz w:val="24"/>
              </w:rPr>
            </m:ctrlPr>
          </m:sub>
        </m:sSub>
        <m:r>
          <m:rPr/>
          <w:rPr>
            <w:rFonts w:ascii="Cambria Math" w:hAnsi="Cambria Math"/>
            <w:sz w:val="24"/>
          </w:rPr>
          <m:t>∈</m:t>
        </m:r>
        <m:sSup>
          <m:sSupPr>
            <m:ctrlPr>
              <w:rPr>
                <w:rFonts w:ascii="Cambria Math" w:hAnsi="Cambria Math"/>
                <w:sz w:val="24"/>
              </w:rPr>
            </m:ctrlPr>
          </m:sSupPr>
          <m:e>
            <m:r>
              <m:rPr/>
              <w:rPr>
                <w:rFonts w:ascii="Cambria Math" w:hAnsi="Cambria Math"/>
                <w:sz w:val="24"/>
              </w:rPr>
              <m:t>R</m:t>
            </m:r>
            <m:ctrlPr>
              <w:rPr>
                <w:rFonts w:ascii="Cambria Math" w:hAnsi="Cambria Math"/>
                <w:sz w:val="24"/>
              </w:rPr>
            </m:ctrlPr>
          </m:e>
          <m:sup>
            <m:r>
              <m:rPr/>
              <w:rPr>
                <w:rFonts w:ascii="Cambria Math" w:hAnsi="Cambria Math"/>
                <w:sz w:val="24"/>
              </w:rPr>
              <m:t>N</m:t>
            </m:r>
            <m:r>
              <m:rPr>
                <m:sty m:val="p"/>
              </m:rPr>
              <w:rPr>
                <w:rFonts w:ascii="Cambria Math" w:hAnsi="Cambria Math"/>
                <w:sz w:val="24"/>
              </w:rPr>
              <m:t>×</m:t>
            </m:r>
            <m:r>
              <m:rPr/>
              <w:rPr>
                <w:rFonts w:ascii="Cambria Math" w:hAnsi="Cambria Math"/>
                <w:sz w:val="24"/>
              </w:rPr>
              <m:t>n</m:t>
            </m:r>
            <m:ctrlPr>
              <w:rPr>
                <w:rFonts w:ascii="Cambria Math" w:hAnsi="Cambria Math"/>
                <w:sz w:val="24"/>
              </w:rPr>
            </m:ctrlPr>
          </m:sup>
        </m:sSup>
      </m:oMath>
      <w:r>
        <w:rPr>
          <w:color w:val="000000"/>
          <w:sz w:val="24"/>
          <w:szCs w:val="24"/>
        </w:rPr>
        <w:t>。</w:t>
      </w:r>
    </w:p>
    <w:p w14:paraId="69986CA3">
      <w:pPr>
        <w:pStyle w:val="27"/>
        <w:snapToGrid w:val="0"/>
        <w:spacing w:before="0" w:after="0"/>
        <w:ind w:firstLine="500"/>
        <w:jc w:val="both"/>
        <w:rPr>
          <w:rFonts w:ascii="Times New Roman" w:hAnsi="Times New Roman" w:eastAsia="宋体" w:cs="Times New Roman"/>
        </w:rPr>
      </w:pPr>
      <w:r>
        <w:rPr>
          <w:rFonts w:ascii="Times New Roman" w:hAnsi="Times New Roman" w:eastAsia="宋体" w:cs="Times New Roman"/>
        </w:rPr>
        <w:t>为实现双流特征的协同建模，自适应适配不同疾病与病程阶段的特征权重，本研究设计跨尺度门控融合机制。先通过线性投影实现双流特征维度匹配，再基于可学习门控权重完成动态融合，门控权重</w:t>
      </w:r>
      <w:r>
        <w:rPr>
          <w:rFonts w:hint="eastAsia" w:ascii="Times New Roman" w:hAnsi="Times New Roman" w:eastAsia="宋体" w:cs="Times New Roman"/>
        </w:rPr>
        <w:t xml:space="preserve"> </w:t>
      </w:r>
      <m:oMath>
        <m:sSub>
          <m:sSubPr>
            <m:ctrlPr>
              <w:rPr>
                <w:rFonts w:eastAsia="宋体"/>
              </w:rPr>
            </m:ctrlPr>
          </m:sSubPr>
          <m:e>
            <m:r>
              <m:rPr/>
              <w:rPr>
                <w:rFonts w:eastAsia="宋体"/>
              </w:rPr>
              <m:t>g</m:t>
            </m:r>
            <m:ctrlPr>
              <w:rPr>
                <w:rFonts w:eastAsia="宋体"/>
              </w:rPr>
            </m:ctrlPr>
          </m:e>
          <m:sub>
            <m:r>
              <m:rPr/>
              <w:rPr>
                <w:rFonts w:eastAsia="宋体"/>
              </w:rPr>
              <m:t>t</m:t>
            </m:r>
            <m:ctrlPr>
              <w:rPr>
                <w:rFonts w:eastAsia="宋体"/>
              </w:rPr>
            </m:ctrlPr>
          </m:sub>
        </m:sSub>
        <m:r>
          <m:rPr/>
          <w:rPr>
            <w:rFonts w:eastAsia="宋体"/>
          </w:rPr>
          <m:t>=σ</m:t>
        </m:r>
        <m:d>
          <m:dPr>
            <m:ctrlPr>
              <w:rPr>
                <w:rFonts w:eastAsia="宋体"/>
              </w:rPr>
            </m:ctrlPr>
          </m:dPr>
          <m:e>
            <m:sSub>
              <m:sSubPr>
                <m:ctrlPr>
                  <w:rPr>
                    <w:rFonts w:eastAsia="宋体"/>
                  </w:rPr>
                </m:ctrlPr>
              </m:sSubPr>
              <m:e>
                <m:r>
                  <m:rPr/>
                  <w:rPr>
                    <w:rFonts w:eastAsia="宋体"/>
                  </w:rPr>
                  <m:t>W</m:t>
                </m:r>
                <m:ctrlPr>
                  <w:rPr>
                    <w:rFonts w:eastAsia="宋体"/>
                  </w:rPr>
                </m:ctrlPr>
              </m:e>
              <m:sub>
                <m:r>
                  <m:rPr/>
                  <w:rPr>
                    <w:rFonts w:eastAsia="宋体"/>
                  </w:rPr>
                  <m:t>g</m:t>
                </m:r>
                <m:ctrlPr>
                  <w:rPr>
                    <w:rFonts w:eastAsia="宋体"/>
                  </w:rPr>
                </m:ctrlPr>
              </m:sub>
            </m:sSub>
            <m:r>
              <m:rPr/>
              <w:rPr>
                <w:rFonts w:eastAsia="宋体"/>
              </w:rPr>
              <m:t>·</m:t>
            </m:r>
            <m:d>
              <m:dPr>
                <m:begChr m:val="["/>
                <m:endChr m:val="]"/>
                <m:ctrlPr>
                  <w:rPr>
                    <w:rFonts w:eastAsia="宋体"/>
                  </w:rPr>
                </m:ctrlPr>
              </m:dPr>
              <m:e>
                <m:sSub>
                  <m:sSubPr>
                    <m:ctrlPr>
                      <w:rPr>
                        <w:rFonts w:eastAsia="宋体"/>
                      </w:rPr>
                    </m:ctrlPr>
                  </m:sSubPr>
                  <m:e>
                    <m:r>
                      <m:rPr/>
                      <w:rPr>
                        <w:rFonts w:eastAsia="宋体"/>
                      </w:rPr>
                      <m:t>H</m:t>
                    </m:r>
                    <m:ctrlPr>
                      <w:rPr>
                        <w:rFonts w:eastAsia="宋体"/>
                      </w:rPr>
                    </m:ctrlPr>
                  </m:e>
                  <m:sub>
                    <m:r>
                      <m:rPr/>
                      <w:rPr>
                        <w:rFonts w:eastAsia="宋体"/>
                      </w:rPr>
                      <m:t>macro,t</m:t>
                    </m:r>
                    <m:ctrlPr>
                      <w:rPr>
                        <w:rFonts w:eastAsia="宋体"/>
                      </w:rPr>
                    </m:ctrlPr>
                  </m:sub>
                </m:sSub>
                <m:sSub>
                  <m:sSubPr>
                    <m:ctrlPr>
                      <w:rPr>
                        <w:rFonts w:eastAsia="宋体"/>
                      </w:rPr>
                    </m:ctrlPr>
                  </m:sSubPr>
                  <m:e>
                    <m:r>
                      <m:rPr/>
                      <w:rPr>
                        <w:rFonts w:eastAsia="宋体"/>
                      </w:rPr>
                      <m:t>; H</m:t>
                    </m:r>
                    <m:ctrlPr>
                      <w:rPr>
                        <w:rFonts w:eastAsia="宋体"/>
                      </w:rPr>
                    </m:ctrlPr>
                  </m:e>
                  <m:sub>
                    <m:r>
                      <m:rPr/>
                      <w:rPr>
                        <w:rFonts w:eastAsia="宋体"/>
                      </w:rPr>
                      <m:t>micro,t</m:t>
                    </m:r>
                    <m:ctrlPr>
                      <w:rPr>
                        <w:rFonts w:eastAsia="宋体"/>
                      </w:rPr>
                    </m:ctrlPr>
                  </m:sub>
                </m:sSub>
                <m:ctrlPr>
                  <w:rPr>
                    <w:rFonts w:eastAsia="宋体"/>
                  </w:rPr>
                </m:ctrlPr>
              </m:e>
            </m:d>
            <m:sSub>
              <m:sSubPr>
                <m:ctrlPr>
                  <w:rPr>
                    <w:rFonts w:eastAsia="宋体"/>
                  </w:rPr>
                </m:ctrlPr>
              </m:sSubPr>
              <m:e>
                <m:r>
                  <m:rPr/>
                  <w:rPr>
                    <w:rFonts w:eastAsia="宋体"/>
                  </w:rPr>
                  <m:t>+ b</m:t>
                </m:r>
                <m:ctrlPr>
                  <w:rPr>
                    <w:rFonts w:eastAsia="宋体"/>
                  </w:rPr>
                </m:ctrlPr>
              </m:e>
              <m:sub>
                <m:r>
                  <m:rPr/>
                  <w:rPr>
                    <w:rFonts w:eastAsia="宋体"/>
                  </w:rPr>
                  <m:t>g</m:t>
                </m:r>
                <m:ctrlPr>
                  <w:rPr>
                    <w:rFonts w:eastAsia="宋体"/>
                  </w:rPr>
                </m:ctrlPr>
              </m:sub>
            </m:sSub>
            <m:ctrlPr>
              <w:rPr>
                <w:rFonts w:eastAsia="宋体"/>
              </w:rPr>
            </m:ctrlPr>
          </m:e>
        </m:d>
      </m:oMath>
      <w:r>
        <w:rPr>
          <w:rFonts w:hint="eastAsia" w:ascii="Times New Roman" w:hAnsi="Times New Roman" w:eastAsia="宋体"/>
        </w:rPr>
        <w:t xml:space="preserve"> </w:t>
      </w:r>
      <w:r>
        <w:rPr>
          <w:rFonts w:ascii="Times New Roman" w:hAnsi="Times New Roman" w:eastAsia="宋体" w:cs="Times New Roman"/>
        </w:rPr>
        <w:t>由当前节点宏微观特征动态生成，可自适应调整双流特征贡献度，精准适配不同疾病、不同病程的病理特征</w:t>
      </w:r>
      <w:r>
        <w:rPr>
          <w:rFonts w:hint="eastAsia" w:ascii="Times New Roman" w:hAnsi="Times New Roman" w:eastAsia="宋体" w:cs="Times New Roman"/>
        </w:rPr>
        <w:t>，</w:t>
      </w:r>
      <w:r>
        <w:rPr>
          <w:rFonts w:ascii="Times New Roman" w:hAnsi="Times New Roman" w:eastAsia="宋体" w:cs="Times New Roman"/>
        </w:rPr>
        <w:t>最终输出的宏微观融合时空特征</w:t>
      </w:r>
      <m:oMath>
        <m:sSub>
          <m:sSubPr>
            <m:ctrlPr>
              <w:rPr>
                <w:rFonts w:eastAsia="宋体"/>
              </w:rPr>
            </m:ctrlPr>
          </m:sSubPr>
          <m:e>
            <m:r>
              <m:rPr/>
              <w:rPr>
                <w:rFonts w:eastAsia="宋体"/>
              </w:rPr>
              <m:t>H</m:t>
            </m:r>
            <m:ctrlPr>
              <w:rPr>
                <w:rFonts w:eastAsia="宋体"/>
              </w:rPr>
            </m:ctrlPr>
          </m:e>
          <m:sub>
            <m:r>
              <m:rPr/>
              <w:rPr>
                <w:rFonts w:eastAsia="宋体"/>
              </w:rPr>
              <m:t>fused</m:t>
            </m:r>
            <m:ctrlPr>
              <w:rPr>
                <w:rFonts w:eastAsia="宋体"/>
              </w:rPr>
            </m:ctrlPr>
          </m:sub>
        </m:sSub>
      </m:oMath>
      <w:r>
        <w:rPr>
          <w:rFonts w:hint="eastAsia" w:ascii="Times New Roman" w:hAnsi="Times New Roman" w:eastAsia="宋体"/>
        </w:rPr>
        <w:t>作为后续多任务推演的共享输入：</w:t>
      </w:r>
    </w:p>
    <w:p w14:paraId="7BBC34CF">
      <w:pPr>
        <w:pStyle w:val="27"/>
        <w:snapToGrid w:val="0"/>
        <w:spacing w:before="0" w:after="0"/>
        <w:ind w:firstLine="500"/>
        <w:rPr>
          <w:rFonts w:ascii="Times New Roman" w:hAnsi="Times New Roman" w:eastAsia="宋体"/>
        </w:rPr>
      </w:pPr>
      <m:oMath>
        <m:sSub>
          <m:sSubPr>
            <m:ctrlPr>
              <w:rPr>
                <w:rFonts w:eastAsia="宋体"/>
              </w:rPr>
            </m:ctrlPr>
          </m:sSubPr>
          <m:e>
            <m:r>
              <m:rPr/>
              <w:rPr>
                <w:rFonts w:eastAsia="宋体"/>
              </w:rPr>
              <m:t>H</m:t>
            </m:r>
            <m:ctrlPr>
              <w:rPr>
                <w:rFonts w:eastAsia="宋体"/>
              </w:rPr>
            </m:ctrlPr>
          </m:e>
          <m:sub>
            <m:r>
              <m:rPr/>
              <w:rPr>
                <w:rFonts w:eastAsia="宋体"/>
              </w:rPr>
              <m:t>fused</m:t>
            </m:r>
            <m:ctrlPr>
              <w:rPr>
                <w:rFonts w:eastAsia="宋体"/>
              </w:rPr>
            </m:ctrlPr>
          </m:sub>
        </m:sSub>
        <m:sSub>
          <m:sSubPr>
            <m:ctrlPr>
              <w:rPr>
                <w:rFonts w:eastAsia="宋体"/>
              </w:rPr>
            </m:ctrlPr>
          </m:sSubPr>
          <m:e>
            <m:r>
              <m:rPr/>
              <w:rPr>
                <w:rFonts w:eastAsia="宋体"/>
              </w:rPr>
              <m:t>= g</m:t>
            </m:r>
            <m:ctrlPr>
              <w:rPr>
                <w:rFonts w:eastAsia="宋体"/>
              </w:rPr>
            </m:ctrlPr>
          </m:e>
          <m:sub>
            <m:r>
              <m:rPr/>
              <w:rPr>
                <w:rFonts w:eastAsia="宋体"/>
              </w:rPr>
              <m:t>t</m:t>
            </m:r>
            <m:ctrlPr>
              <w:rPr>
                <w:rFonts w:eastAsia="宋体"/>
              </w:rPr>
            </m:ctrlPr>
          </m:sub>
        </m:sSub>
        <m:r>
          <m:rPr/>
          <w:rPr>
            <w:rFonts w:eastAsia="宋体"/>
          </w:rPr>
          <m:t>⊙</m:t>
        </m:r>
        <m:sSub>
          <m:sSubPr>
            <m:ctrlPr>
              <w:rPr>
                <w:rFonts w:eastAsia="宋体"/>
              </w:rPr>
            </m:ctrlPr>
          </m:sSubPr>
          <m:e>
            <m:r>
              <m:rPr/>
              <w:rPr>
                <w:rFonts w:eastAsia="宋体"/>
              </w:rPr>
              <m:t>H</m:t>
            </m:r>
            <m:ctrlPr>
              <w:rPr>
                <w:rFonts w:eastAsia="宋体"/>
              </w:rPr>
            </m:ctrlPr>
          </m:e>
          <m:sub>
            <m:r>
              <m:rPr/>
              <w:rPr>
                <w:rFonts w:eastAsia="宋体"/>
              </w:rPr>
              <m:t>macro</m:t>
            </m:r>
            <m:ctrlPr>
              <w:rPr>
                <w:rFonts w:eastAsia="宋体"/>
              </w:rPr>
            </m:ctrlPr>
          </m:sub>
        </m:sSub>
        <m:r>
          <m:rPr/>
          <w:rPr>
            <w:rFonts w:eastAsia="宋体"/>
          </w:rPr>
          <m:t>+</m:t>
        </m:r>
        <m:d>
          <m:dPr>
            <m:ctrlPr>
              <w:rPr>
                <w:rFonts w:eastAsia="宋体"/>
              </w:rPr>
            </m:ctrlPr>
          </m:dPr>
          <m:e>
            <m:sSub>
              <m:sSubPr>
                <m:ctrlPr>
                  <w:rPr>
                    <w:rFonts w:eastAsia="宋体"/>
                  </w:rPr>
                </m:ctrlPr>
              </m:sSubPr>
              <m:e>
                <m:r>
                  <m:rPr/>
                  <w:rPr>
                    <w:rFonts w:eastAsia="宋体"/>
                  </w:rPr>
                  <m:t>1 − g</m:t>
                </m:r>
                <m:ctrlPr>
                  <w:rPr>
                    <w:rFonts w:eastAsia="宋体"/>
                  </w:rPr>
                </m:ctrlPr>
              </m:e>
              <m:sub>
                <m:r>
                  <m:rPr/>
                  <w:rPr>
                    <w:rFonts w:eastAsia="宋体"/>
                  </w:rPr>
                  <m:t>t</m:t>
                </m:r>
                <m:ctrlPr>
                  <w:rPr>
                    <w:rFonts w:eastAsia="宋体"/>
                  </w:rPr>
                </m:ctrlPr>
              </m:sub>
            </m:sSub>
            <m:ctrlPr>
              <w:rPr>
                <w:rFonts w:eastAsia="宋体"/>
              </w:rPr>
            </m:ctrlPr>
          </m:e>
        </m:d>
        <m:r>
          <m:rPr/>
          <w:rPr>
            <w:rFonts w:eastAsia="宋体"/>
          </w:rPr>
          <m:t>⊙</m:t>
        </m:r>
        <m:sSub>
          <m:sSubPr>
            <m:ctrlPr>
              <w:rPr>
                <w:rFonts w:eastAsia="宋体"/>
              </w:rPr>
            </m:ctrlPr>
          </m:sSubPr>
          <m:e>
            <m:r>
              <m:rPr/>
              <w:rPr>
                <w:rFonts w:eastAsia="宋体"/>
              </w:rPr>
              <m:t>H</m:t>
            </m:r>
            <m:ctrlPr>
              <w:rPr>
                <w:rFonts w:eastAsia="宋体"/>
              </w:rPr>
            </m:ctrlPr>
          </m:e>
          <m:sub>
            <m:r>
              <m:rPr/>
              <w:rPr>
                <w:rFonts w:eastAsia="宋体"/>
              </w:rPr>
              <m:t>micro</m:t>
            </m:r>
            <m:ctrlPr>
              <w:rPr>
                <w:rFonts w:eastAsia="宋体"/>
              </w:rPr>
            </m:ctrlPr>
          </m:sub>
        </m:sSub>
      </m:oMath>
      <w:r>
        <w:rPr>
          <w:rFonts w:hint="eastAsia" w:ascii="Times New Roman" w:hAnsi="Times New Roman" w:eastAsia="宋体"/>
        </w:rPr>
        <w:t>.</w:t>
      </w:r>
    </w:p>
    <w:p w14:paraId="4D3F7051"/>
    <w:p w14:paraId="431E9E19">
      <w:pPr>
        <w:pStyle w:val="3"/>
        <w:snapToGrid w:val="0"/>
        <w:spacing w:before="0" w:after="0" w:line="360" w:lineRule="auto"/>
        <w:jc w:val="both"/>
        <w:rPr>
          <w:rFonts w:eastAsia="宋体"/>
          <w:sz w:val="24"/>
          <w:szCs w:val="24"/>
        </w:rPr>
      </w:pPr>
      <w:r>
        <w:rPr>
          <w:rFonts w:eastAsia="宋体"/>
          <w:sz w:val="24"/>
          <w:szCs w:val="24"/>
        </w:rPr>
        <w:t>2.</w:t>
      </w:r>
      <w:r>
        <w:rPr>
          <w:rFonts w:hint="eastAsia" w:eastAsia="宋体"/>
          <w:sz w:val="24"/>
          <w:szCs w:val="24"/>
        </w:rPr>
        <w:t>2</w:t>
      </w:r>
      <w:r>
        <w:rPr>
          <w:rFonts w:eastAsia="宋体"/>
          <w:sz w:val="24"/>
          <w:szCs w:val="24"/>
        </w:rPr>
        <w:t>.3.2 医疗大模型知识引导下的多任务状态协同推演</w:t>
      </w:r>
    </w:p>
    <w:p w14:paraId="0B5D144E">
      <w:pPr>
        <w:snapToGrid w:val="0"/>
        <w:spacing w:line="360" w:lineRule="auto"/>
        <w:ind w:firstLine="500"/>
        <w:rPr>
          <w:sz w:val="24"/>
          <w:szCs w:val="24"/>
        </w:rPr>
      </w:pPr>
      <w:r>
        <w:rPr>
          <w:color w:val="000000"/>
          <w:sz w:val="24"/>
          <w:szCs w:val="24"/>
        </w:rPr>
        <w:t>为解决小样本长时序数据易过拟合、长程预测易出现医学逻辑失真的问题，本研究以眼科视觉语言大模型为医学知识锚点，采用</w:t>
      </w:r>
      <w:r>
        <w:rPr>
          <w:b/>
          <w:bCs/>
          <w:color w:val="000000"/>
          <w:sz w:val="24"/>
          <w:szCs w:val="24"/>
        </w:rPr>
        <w:t>冻结主干</w:t>
      </w:r>
      <w:r>
        <w:rPr>
          <w:rFonts w:hint="eastAsia"/>
          <w:b/>
          <w:bCs/>
          <w:color w:val="000000"/>
          <w:sz w:val="24"/>
          <w:szCs w:val="24"/>
        </w:rPr>
        <w:t>、</w:t>
      </w:r>
      <w:r>
        <w:rPr>
          <w:b/>
          <w:bCs/>
          <w:color w:val="000000"/>
          <w:sz w:val="24"/>
          <w:szCs w:val="24"/>
        </w:rPr>
        <w:t>DoRA参数高效微调</w:t>
      </w:r>
      <w:r>
        <w:rPr>
          <w:color w:val="000000"/>
          <w:sz w:val="24"/>
          <w:szCs w:val="24"/>
        </w:rPr>
        <w:t>策略，将眼科专业医学知识注入前述宏微观融合时空特征空间，避免全量微调破坏大模型的泛化能力与知识储备，实现时序特征的知识增强，最终构建多任务协同推演的共享潜在状态空间</w:t>
      </w:r>
      <w:r>
        <w:rPr>
          <w:rFonts w:cs="Cambria Math"/>
          <w:i/>
          <w:iCs/>
          <w:sz w:val="24"/>
          <w:szCs w:val="24"/>
        </w:rPr>
        <w:t>H</w:t>
      </w:r>
      <w:r>
        <w:rPr>
          <w:color w:val="000000"/>
          <w:sz w:val="24"/>
          <w:szCs w:val="24"/>
        </w:rPr>
        <w:t>。</w:t>
      </w:r>
    </w:p>
    <w:p w14:paraId="512B90A0">
      <w:pPr>
        <w:snapToGrid w:val="0"/>
        <w:spacing w:line="360" w:lineRule="auto"/>
        <w:ind w:firstLine="500"/>
        <w:rPr>
          <w:sz w:val="24"/>
          <w:szCs w:val="24"/>
        </w:rPr>
      </w:pPr>
      <w:r>
        <w:rPr>
          <w:color w:val="000000"/>
          <w:sz w:val="24"/>
          <w:szCs w:val="24"/>
        </w:rPr>
        <w:t>基于共享潜在状态空间，本研究设计</w:t>
      </w:r>
      <w:r>
        <w:rPr>
          <w:b/>
          <w:bCs/>
          <w:color w:val="000000"/>
          <w:sz w:val="24"/>
          <w:szCs w:val="24"/>
        </w:rPr>
        <w:t>共享特征基座</w:t>
      </w:r>
      <w:r>
        <w:rPr>
          <w:rFonts w:hint="eastAsia"/>
          <w:b/>
          <w:bCs/>
          <w:color w:val="000000"/>
          <w:sz w:val="24"/>
          <w:szCs w:val="24"/>
        </w:rPr>
        <w:t>、</w:t>
      </w:r>
      <w:r>
        <w:rPr>
          <w:b/>
          <w:bCs/>
          <w:color w:val="000000"/>
          <w:sz w:val="24"/>
          <w:szCs w:val="24"/>
        </w:rPr>
        <w:t>解耦任务头</w:t>
      </w:r>
      <w:r>
        <w:rPr>
          <w:color w:val="000000"/>
          <w:sz w:val="24"/>
          <w:szCs w:val="24"/>
        </w:rPr>
        <w:t>架构，避免多任务间参数干扰与负迁移，同步实现</w:t>
      </w:r>
      <w:r>
        <w:rPr>
          <w:rFonts w:hint="eastAsia"/>
          <w:color w:val="000000"/>
          <w:sz w:val="24"/>
          <w:szCs w:val="24"/>
        </w:rPr>
        <w:t>四</w:t>
      </w:r>
      <w:r>
        <w:rPr>
          <w:color w:val="000000"/>
          <w:sz w:val="24"/>
          <w:szCs w:val="24"/>
        </w:rPr>
        <w:t>项核心任务的并发预测。其中，</w:t>
      </w:r>
      <w:r>
        <w:rPr>
          <w:b/>
          <w:bCs/>
          <w:color w:val="000000"/>
          <w:sz w:val="24"/>
          <w:szCs w:val="24"/>
        </w:rPr>
        <w:t>视力值预测任务</w:t>
      </w:r>
      <w:r>
        <w:rPr>
          <w:color w:val="000000"/>
          <w:sz w:val="24"/>
          <w:szCs w:val="24"/>
        </w:rPr>
        <w:t>聚焦1-3年最佳矫正视力（BCVA）长期变化的回归预测，采用MAE损失与分位数损失的组合损失函数，提升离群值鲁棒性并输出预测置信区间；</w:t>
      </w:r>
      <w:r>
        <w:rPr>
          <w:b/>
          <w:bCs/>
          <w:color w:val="000000"/>
          <w:sz w:val="24"/>
          <w:szCs w:val="24"/>
        </w:rPr>
        <w:t>眼底解剖结构图像生成任务</w:t>
      </w:r>
      <w:r>
        <w:rPr>
          <w:color w:val="000000"/>
          <w:sz w:val="24"/>
          <w:szCs w:val="24"/>
        </w:rPr>
        <w:t>旨在生成未来随访节点的眼底解剖结构影像、预判病灶形态演变，采用MSE损失与感知损失的组合损失函数，保障生成影像的解剖真实性与病理一致性；</w:t>
      </w:r>
      <w:r>
        <w:rPr>
          <w:b/>
          <w:bCs/>
          <w:color w:val="000000"/>
          <w:sz w:val="24"/>
          <w:szCs w:val="24"/>
        </w:rPr>
        <w:t>治疗反应分类任务</w:t>
      </w:r>
      <w:r>
        <w:rPr>
          <w:color w:val="000000"/>
          <w:sz w:val="24"/>
          <w:szCs w:val="24"/>
        </w:rPr>
        <w:t>将治疗反应划分为稳定/提升/恶化三类，采用加权交叉熵损失解决临床样本不均衡问题；</w:t>
      </w:r>
      <w:r>
        <w:rPr>
          <w:b/>
          <w:bCs/>
          <w:color w:val="000000"/>
          <w:sz w:val="24"/>
          <w:szCs w:val="24"/>
        </w:rPr>
        <w:t>疾病类型分类任务</w:t>
      </w:r>
      <w:r>
        <w:rPr>
          <w:color w:val="000000"/>
          <w:sz w:val="24"/>
          <w:szCs w:val="24"/>
        </w:rPr>
        <w:t>实现DME/AMD/DR的精准分型，为后续智能体分诊提供依据，采用交叉熵损失优化分类准确率。各任务头仅共享底层特征基座，参数完全解耦，通过动态权重调整优化总损失，避免任务间梯度冲突，多任务总损失函数为：</w:t>
      </w:r>
    </w:p>
    <w:p w14:paraId="38576FED">
      <w:pPr>
        <w:pStyle w:val="27"/>
        <w:snapToGrid w:val="0"/>
        <w:spacing w:before="0" w:after="0"/>
        <w:rPr>
          <w:rFonts w:ascii="Times New Roman" w:hAnsi="Times New Roman" w:eastAsia="宋体"/>
        </w:rPr>
      </w:pPr>
      <m:oMath>
        <m:r>
          <m:rPr>
            <m:scr m:val="script"/>
          </m:rPr>
          <w:rPr>
            <w:rFonts w:eastAsia="宋体"/>
          </w:rPr>
          <m:t>ℒ</m:t>
        </m:r>
        <m:r>
          <m:rPr/>
          <w:rPr>
            <w:rFonts w:eastAsia="宋体"/>
          </w:rPr>
          <m:t>=</m:t>
        </m:r>
        <m:nary>
          <m:naryPr>
            <m:chr m:val="∑"/>
            <m:limLoc m:val="undOvr"/>
            <m:ctrlPr>
              <w:rPr>
                <w:rFonts w:eastAsia="宋体"/>
                <w:i/>
              </w:rPr>
            </m:ctrlPr>
          </m:naryPr>
          <m:sub>
            <m:r>
              <m:rPr/>
              <w:rPr>
                <w:rFonts w:eastAsia="宋体"/>
              </w:rPr>
              <m:t>i=1</m:t>
            </m:r>
            <m:ctrlPr>
              <w:rPr>
                <w:rFonts w:eastAsia="宋体"/>
                <w:i/>
              </w:rPr>
            </m:ctrlPr>
          </m:sub>
          <m:sup>
            <m:r>
              <m:rPr/>
              <w:rPr>
                <w:rFonts w:eastAsia="宋体"/>
              </w:rPr>
              <m:t>4</m:t>
            </m:r>
            <m:ctrlPr>
              <w:rPr>
                <w:rFonts w:eastAsia="宋体"/>
                <w:i/>
              </w:rPr>
            </m:ctrlPr>
          </m:sup>
          <m:e>
            <m:sSub>
              <m:sSubPr>
                <m:ctrlPr>
                  <w:rPr>
                    <w:rFonts w:eastAsia="宋体"/>
                  </w:rPr>
                </m:ctrlPr>
              </m:sSubPr>
              <m:e>
                <m:r>
                  <m:rPr/>
                  <w:rPr>
                    <w:rFonts w:eastAsia="宋体"/>
                  </w:rPr>
                  <m:t>λ</m:t>
                </m:r>
                <m:ctrlPr>
                  <w:rPr>
                    <w:rFonts w:eastAsia="宋体"/>
                  </w:rPr>
                </m:ctrlPr>
              </m:e>
              <m:sub>
                <m:r>
                  <m:rPr/>
                  <w:rPr>
                    <w:rFonts w:eastAsia="宋体"/>
                  </w:rPr>
                  <m:t>i</m:t>
                </m:r>
                <m:ctrlPr>
                  <w:rPr>
                    <w:rFonts w:eastAsia="宋体"/>
                  </w:rPr>
                </m:ctrlPr>
              </m:sub>
            </m:sSub>
            <m:ctrlPr>
              <w:rPr>
                <w:rFonts w:eastAsia="宋体"/>
                <w:i/>
              </w:rPr>
            </m:ctrlPr>
          </m:e>
        </m:nary>
        <m:r>
          <m:rPr/>
          <w:rPr>
            <w:rFonts w:eastAsia="宋体"/>
          </w:rPr>
          <m:t>(t)⋅</m:t>
        </m:r>
        <m:sSub>
          <m:sSubPr>
            <m:ctrlPr>
              <w:rPr>
                <w:rFonts w:eastAsia="宋体"/>
              </w:rPr>
            </m:ctrlPr>
          </m:sSubPr>
          <m:e>
            <m:r>
              <m:rPr>
                <m:scr m:val="script"/>
              </m:rPr>
              <w:rPr>
                <w:rFonts w:eastAsia="宋体"/>
              </w:rPr>
              <m:t>ℒ</m:t>
            </m:r>
            <m:ctrlPr>
              <w:rPr>
                <w:rFonts w:eastAsia="宋体"/>
              </w:rPr>
            </m:ctrlPr>
          </m:e>
          <m:sub>
            <m:sSub>
              <m:sSubPr>
                <m:ctrlPr>
                  <w:rPr>
                    <w:rFonts w:eastAsia="宋体"/>
                  </w:rPr>
                </m:ctrlPr>
              </m:sSubPr>
              <m:e>
                <m:r>
                  <m:rPr/>
                  <w:rPr>
                    <w:rFonts w:eastAsia="宋体"/>
                  </w:rPr>
                  <m:t>task</m:t>
                </m:r>
                <m:ctrlPr>
                  <w:rPr>
                    <w:rFonts w:eastAsia="宋体"/>
                  </w:rPr>
                </m:ctrlPr>
              </m:e>
              <m:sub>
                <m:r>
                  <m:rPr/>
                  <w:rPr>
                    <w:rFonts w:eastAsia="宋体"/>
                  </w:rPr>
                  <m:t>i</m:t>
                </m:r>
                <m:ctrlPr>
                  <w:rPr>
                    <w:rFonts w:eastAsia="宋体"/>
                  </w:rPr>
                </m:ctrlPr>
              </m:sub>
            </m:sSub>
            <m:ctrlPr>
              <w:rPr>
                <w:rFonts w:eastAsia="宋体"/>
              </w:rPr>
            </m:ctrlPr>
          </m:sub>
        </m:sSub>
      </m:oMath>
      <w:r>
        <w:rPr>
          <w:rFonts w:hint="eastAsia" w:ascii="Times New Roman" w:hAnsi="Times New Roman" w:eastAsia="宋体"/>
        </w:rPr>
        <w:t>,</w:t>
      </w:r>
    </w:p>
    <w:p w14:paraId="133A0430">
      <w:pPr>
        <w:snapToGrid w:val="0"/>
        <w:spacing w:line="360" w:lineRule="auto"/>
        <w:rPr>
          <w:sz w:val="24"/>
          <w:szCs w:val="24"/>
        </w:rPr>
      </w:pPr>
      <w:r>
        <w:rPr>
          <w:color w:val="000000"/>
          <w:sz w:val="24"/>
          <w:szCs w:val="24"/>
        </w:rPr>
        <w:t>其中，</w:t>
      </w:r>
      <m:oMath>
        <m:sSub>
          <m:sSubPr>
            <m:ctrlPr>
              <w:rPr>
                <w:rFonts w:ascii="Cambria Math" w:hAnsi="Cambria Math"/>
                <w:sz w:val="24"/>
                <w:szCs w:val="24"/>
              </w:rPr>
            </m:ctrlPr>
          </m:sSubPr>
          <m:e>
            <m:r>
              <m:rPr/>
              <w:rPr>
                <w:rFonts w:ascii="Cambria Math" w:hAnsi="Cambria Math"/>
                <w:sz w:val="24"/>
                <w:szCs w:val="24"/>
              </w:rPr>
              <m:t>λ</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sz w:val="24"/>
                <w:szCs w:val="24"/>
              </w:rPr>
              <m:t>t</m:t>
            </m:r>
            <m:ctrlPr>
              <w:rPr>
                <w:rFonts w:ascii="Cambria Math" w:hAnsi="Cambria Math"/>
                <w:sz w:val="24"/>
                <w:szCs w:val="24"/>
              </w:rPr>
            </m:ctrlPr>
          </m:e>
        </m:d>
      </m:oMath>
      <w:r>
        <w:rPr>
          <w:color w:val="000000"/>
          <w:sz w:val="24"/>
          <w:szCs w:val="24"/>
        </w:rPr>
        <w:t>为随训练进程与疾病类型动态调整的任务权重，可适配不同任务的收敛节奏与临床优先级。本章节构建的长时序预测模型将作为智能体架构的核心疗效预测模块。</w:t>
      </w:r>
    </w:p>
    <w:p w14:paraId="4B0C6A8A">
      <w:pPr>
        <w:snapToGrid w:val="0"/>
        <w:spacing w:line="360" w:lineRule="auto"/>
        <w:ind w:firstLine="420"/>
        <w:rPr>
          <w:sz w:val="24"/>
          <w:szCs w:val="24"/>
        </w:rPr>
      </w:pPr>
    </w:p>
    <w:p w14:paraId="7F8225B7">
      <w:pPr>
        <w:snapToGrid w:val="0"/>
        <w:spacing w:line="360" w:lineRule="auto"/>
        <w:outlineLvl w:val="0"/>
        <w:rPr>
          <w:b/>
          <w:sz w:val="24"/>
          <w:szCs w:val="24"/>
        </w:rPr>
      </w:pPr>
      <w:r>
        <w:rPr>
          <w:b/>
          <w:sz w:val="24"/>
          <w:szCs w:val="24"/>
        </w:rPr>
        <w:t>2.</w:t>
      </w:r>
      <w:r>
        <w:rPr>
          <w:rFonts w:hint="eastAsia"/>
          <w:b/>
          <w:sz w:val="24"/>
          <w:szCs w:val="24"/>
        </w:rPr>
        <w:t>2</w:t>
      </w:r>
      <w:r>
        <w:rPr>
          <w:b/>
          <w:sz w:val="24"/>
          <w:szCs w:val="24"/>
        </w:rPr>
        <w:t>.</w:t>
      </w:r>
      <w:r>
        <w:rPr>
          <w:rFonts w:hint="eastAsia"/>
          <w:b/>
          <w:sz w:val="24"/>
          <w:szCs w:val="24"/>
        </w:rPr>
        <w:t>4 基于大语言模型的多疾病多任务疗效预测智能体构建</w:t>
      </w:r>
    </w:p>
    <w:p w14:paraId="592D1484">
      <w:pPr>
        <w:snapToGrid w:val="0"/>
        <w:spacing w:line="360" w:lineRule="auto"/>
        <w:rPr>
          <w:b/>
          <w:sz w:val="24"/>
          <w:szCs w:val="24"/>
        </w:rPr>
      </w:pPr>
      <w:r>
        <w:rPr>
          <w:rFonts w:hint="eastAsia" w:cs="宋体"/>
          <w:b/>
          <w:sz w:val="24"/>
          <w:szCs w:val="24"/>
        </w:rPr>
        <w:t xml:space="preserve">2.2.4.1 </w:t>
      </w:r>
      <w:r>
        <w:rPr>
          <w:rFonts w:hint="eastAsia"/>
          <w:b/>
          <w:sz w:val="24"/>
          <w:szCs w:val="24"/>
        </w:rPr>
        <w:t>基于大语言模型的多任务协作智能体</w:t>
      </w:r>
    </w:p>
    <w:p w14:paraId="7E7DCB52">
      <w:pPr>
        <w:snapToGrid w:val="0"/>
        <w:spacing w:line="360" w:lineRule="auto"/>
        <w:jc w:val="center"/>
        <w:rPr>
          <w:sz w:val="24"/>
          <w:szCs w:val="24"/>
        </w:rPr>
      </w:pPr>
      <w:r>
        <w:rPr>
          <w:rFonts w:hint="eastAsia"/>
          <w:sz w:val="24"/>
          <w:szCs w:val="24"/>
        </w:rPr>
        <w:drawing>
          <wp:inline distT="0" distB="0" distL="114300" distR="114300">
            <wp:extent cx="5051425" cy="2475865"/>
            <wp:effectExtent l="0" t="0" r="3175" b="635"/>
            <wp:docPr id="2" name="图片 2" descr="新建 PPTX 演示文稿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建 PPTX 演示文稿_01"/>
                    <pic:cNvPicPr>
                      <a:picLocks noChangeAspect="1"/>
                    </pic:cNvPicPr>
                  </pic:nvPicPr>
                  <pic:blipFill>
                    <a:blip r:embed="rId10"/>
                    <a:srcRect l="4291" t="2389" r="6140" b="5426"/>
                    <a:stretch>
                      <a:fillRect/>
                    </a:stretch>
                  </pic:blipFill>
                  <pic:spPr>
                    <a:xfrm>
                      <a:off x="0" y="0"/>
                      <a:ext cx="5051425" cy="2475865"/>
                    </a:xfrm>
                    <a:prstGeom prst="rect">
                      <a:avLst/>
                    </a:prstGeom>
                  </pic:spPr>
                </pic:pic>
              </a:graphicData>
            </a:graphic>
          </wp:inline>
        </w:drawing>
      </w:r>
    </w:p>
    <w:p w14:paraId="74BEA8CF">
      <w:pPr>
        <w:snapToGrid w:val="0"/>
        <w:spacing w:line="360" w:lineRule="auto"/>
        <w:jc w:val="center"/>
        <w:outlineLvl w:val="0"/>
        <w:rPr>
          <w:rFonts w:cs="宋体"/>
          <w:sz w:val="24"/>
          <w:szCs w:val="24"/>
        </w:rPr>
      </w:pPr>
      <w:r>
        <w:rPr>
          <w:rFonts w:hint="eastAsia" w:cs="宋体"/>
          <w:sz w:val="24"/>
          <w:szCs w:val="24"/>
        </w:rPr>
        <w:t>图6 基于大语言模型的多任务协作智能体</w:t>
      </w:r>
    </w:p>
    <w:p w14:paraId="47A7339D">
      <w:pPr>
        <w:snapToGrid w:val="0"/>
        <w:spacing w:line="360" w:lineRule="auto"/>
        <w:jc w:val="center"/>
        <w:outlineLvl w:val="0"/>
        <w:rPr>
          <w:rFonts w:cs="宋体"/>
          <w:sz w:val="24"/>
          <w:szCs w:val="24"/>
        </w:rPr>
      </w:pPr>
    </w:p>
    <w:p w14:paraId="0B7C4E4D">
      <w:pPr>
        <w:snapToGrid w:val="0"/>
        <w:spacing w:line="360" w:lineRule="auto"/>
        <w:ind w:firstLine="420"/>
        <w:rPr>
          <w:sz w:val="24"/>
          <w:szCs w:val="24"/>
        </w:rPr>
      </w:pPr>
      <w:r>
        <w:rPr>
          <w:rFonts w:hint="eastAsia"/>
          <w:sz w:val="24"/>
          <w:szCs w:val="24"/>
        </w:rPr>
        <w:t>面对疗效预测智能体在多任务协同方面的临床挑战，本项目突破传统端到端静态预测范式，构建了以大语言模型（LLM）为调度中枢的多任务协作智能体。该系统将复杂的临床评估解耦为</w:t>
      </w:r>
      <w:r>
        <w:rPr>
          <w:rFonts w:hint="eastAsia"/>
          <w:b/>
          <w:sz w:val="24"/>
          <w:szCs w:val="24"/>
        </w:rPr>
        <w:t>数据补全模块、</w:t>
      </w:r>
      <w:r>
        <w:rPr>
          <w:rFonts w:hint="eastAsia"/>
          <w:b/>
          <w:bCs/>
          <w:sz w:val="24"/>
          <w:szCs w:val="24"/>
        </w:rPr>
        <w:t>数据融合模块、</w:t>
      </w:r>
      <w:r>
        <w:rPr>
          <w:rFonts w:hint="eastAsia"/>
          <w:b/>
          <w:sz w:val="24"/>
          <w:szCs w:val="24"/>
        </w:rPr>
        <w:t>疗效预测模块和归因可视化模块</w:t>
      </w:r>
      <w:r>
        <w:rPr>
          <w:rFonts w:hint="eastAsia"/>
          <w:sz w:val="24"/>
          <w:szCs w:val="24"/>
        </w:rPr>
        <w:t>四大独立功能模块。如图6所示。</w:t>
      </w:r>
    </w:p>
    <w:p w14:paraId="59BCBC9E">
      <w:pPr>
        <w:snapToGrid w:val="0"/>
        <w:spacing w:line="360" w:lineRule="auto"/>
        <w:ind w:firstLine="420"/>
        <w:rPr>
          <w:sz w:val="24"/>
          <w:szCs w:val="24"/>
        </w:rPr>
      </w:pPr>
      <w:r>
        <w:rPr>
          <w:rFonts w:hint="eastAsia"/>
          <w:b/>
          <w:sz w:val="24"/>
          <w:szCs w:val="24"/>
        </w:rPr>
        <w:t>数据补全模块</w:t>
      </w:r>
      <w:r>
        <w:rPr>
          <w:rFonts w:hint="eastAsia"/>
          <w:sz w:val="24"/>
          <w:szCs w:val="24"/>
        </w:rPr>
        <w:t>基于所提出的潜在扩散模态缺失补全算法，实现了多模态图像、文本、生理指标数据输入的自动化缺失补全处理，确保在临床数据不完整的情况下依然具备鲁棒的分析能力。</w:t>
      </w:r>
      <w:r>
        <w:rPr>
          <w:rFonts w:hint="eastAsia"/>
          <w:b/>
          <w:bCs/>
          <w:sz w:val="24"/>
          <w:szCs w:val="24"/>
        </w:rPr>
        <w:t>数据融合模块</w:t>
      </w:r>
      <w:r>
        <w:rPr>
          <w:rFonts w:hint="eastAsia"/>
          <w:sz w:val="24"/>
          <w:szCs w:val="24"/>
        </w:rPr>
        <w:t>基于提出的稀疏混合专家多模态融合算法，实现多模态图像、文本、生理指标的深度语义对齐。将异构输入转化为统一的高维特征表征，为疗效推演奠定数据基座。</w:t>
      </w:r>
      <w:r>
        <w:rPr>
          <w:rFonts w:hint="eastAsia"/>
          <w:b/>
          <w:sz w:val="24"/>
          <w:szCs w:val="24"/>
        </w:rPr>
        <w:t>疗效预测模块</w:t>
      </w:r>
      <w:r>
        <w:rPr>
          <w:rFonts w:hint="eastAsia"/>
          <w:sz w:val="24"/>
          <w:szCs w:val="24"/>
        </w:rPr>
        <w:t>基于提出的多时序多模态融合的疗效预测大模型，能够跨越时间维度捕捉病变演变规律，生成预后图像、视力值、视力变化情况、疾病分类、并发症预测等疗效评估结果。最后，</w:t>
      </w:r>
      <w:r>
        <w:rPr>
          <w:rFonts w:hint="eastAsia"/>
          <w:b/>
          <w:sz w:val="24"/>
          <w:szCs w:val="24"/>
        </w:rPr>
        <w:t>归因可视化模块</w:t>
      </w:r>
      <w:r>
        <w:rPr>
          <w:rFonts w:hint="eastAsia"/>
          <w:bCs/>
          <w:sz w:val="24"/>
          <w:szCs w:val="24"/>
        </w:rPr>
        <w:t>通过</w:t>
      </w:r>
      <w:r>
        <w:rPr>
          <w:rFonts w:hint="eastAsia"/>
          <w:sz w:val="24"/>
          <w:szCs w:val="24"/>
        </w:rPr>
        <w:t>协同 Grad-CAM 像素级热力图与多模态特征归因图，直观展示影响模型决策的关键病灶区域，并量化不同临床维度对预测结果的贡献度。</w:t>
      </w:r>
    </w:p>
    <w:p w14:paraId="0511260B">
      <w:pPr>
        <w:snapToGrid w:val="0"/>
        <w:spacing w:line="360" w:lineRule="auto"/>
        <w:ind w:firstLine="420"/>
        <w:rPr>
          <w:sz w:val="24"/>
          <w:szCs w:val="24"/>
        </w:rPr>
      </w:pPr>
      <w:r>
        <w:rPr>
          <w:rFonts w:hint="eastAsia"/>
          <w:sz w:val="24"/>
          <w:szCs w:val="24"/>
        </w:rPr>
        <w:t>基于上述模块化设计，大语言模型充当医学大脑，依据内化医学逻辑动态按需调用各底层模块。这种全新协作范式，从根本上剥离了传统多任务学习中普遍存在的参数共享干扰与梯度冲突，彻底解决了眼科复杂病程中多任务高效协同的技术瓶颈。</w:t>
      </w:r>
    </w:p>
    <w:p w14:paraId="5C0DE024">
      <w:pPr>
        <w:snapToGrid w:val="0"/>
        <w:spacing w:line="360" w:lineRule="auto"/>
        <w:rPr>
          <w:rFonts w:cs="宋体"/>
          <w:b/>
          <w:sz w:val="24"/>
          <w:szCs w:val="24"/>
        </w:rPr>
      </w:pPr>
    </w:p>
    <w:p w14:paraId="6DFDB7AF">
      <w:pPr>
        <w:snapToGrid w:val="0"/>
        <w:spacing w:line="360" w:lineRule="auto"/>
        <w:rPr>
          <w:b/>
          <w:sz w:val="24"/>
          <w:szCs w:val="24"/>
        </w:rPr>
      </w:pPr>
      <w:r>
        <w:rPr>
          <w:rFonts w:hint="eastAsia" w:cs="宋体"/>
          <w:b/>
          <w:sz w:val="24"/>
          <w:szCs w:val="24"/>
        </w:rPr>
        <w:t xml:space="preserve">2.2.4.2 </w:t>
      </w:r>
      <w:r>
        <w:rPr>
          <w:rFonts w:hint="eastAsia"/>
          <w:b/>
          <w:sz w:val="24"/>
          <w:szCs w:val="24"/>
        </w:rPr>
        <w:t>“多阶段推理”实现多疾病分诊</w:t>
      </w:r>
    </w:p>
    <w:p w14:paraId="4575F5A7">
      <w:pPr>
        <w:snapToGrid w:val="0"/>
        <w:spacing w:line="360" w:lineRule="auto"/>
        <w:jc w:val="center"/>
        <w:outlineLvl w:val="0"/>
        <w:rPr>
          <w:sz w:val="24"/>
        </w:rPr>
      </w:pPr>
      <w:r>
        <w:rPr>
          <w:rFonts w:hint="eastAsia"/>
          <w:sz w:val="24"/>
        </w:rPr>
        <w:drawing>
          <wp:inline distT="0" distB="0" distL="114300" distR="114300">
            <wp:extent cx="5022215" cy="2679700"/>
            <wp:effectExtent l="0" t="0" r="6985" b="0"/>
            <wp:docPr id="27" name="图片 27" descr="面上项目-插图-20260316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面上项目-插图-20260316_06"/>
                    <pic:cNvPicPr>
                      <a:picLocks noChangeAspect="1"/>
                    </pic:cNvPicPr>
                  </pic:nvPicPr>
                  <pic:blipFill>
                    <a:blip r:embed="rId11"/>
                    <a:srcRect l="6697" r="4030"/>
                    <a:stretch>
                      <a:fillRect/>
                    </a:stretch>
                  </pic:blipFill>
                  <pic:spPr>
                    <a:xfrm>
                      <a:off x="0" y="0"/>
                      <a:ext cx="5022215" cy="2679700"/>
                    </a:xfrm>
                    <a:prstGeom prst="rect">
                      <a:avLst/>
                    </a:prstGeom>
                  </pic:spPr>
                </pic:pic>
              </a:graphicData>
            </a:graphic>
          </wp:inline>
        </w:drawing>
      </w:r>
    </w:p>
    <w:p w14:paraId="56B0C771">
      <w:pPr>
        <w:snapToGrid w:val="0"/>
        <w:spacing w:line="360" w:lineRule="auto"/>
        <w:jc w:val="center"/>
        <w:outlineLvl w:val="0"/>
        <w:rPr>
          <w:sz w:val="24"/>
          <w:szCs w:val="24"/>
        </w:rPr>
      </w:pPr>
      <w:r>
        <w:rPr>
          <w:rFonts w:hint="eastAsia"/>
          <w:sz w:val="24"/>
          <w:szCs w:val="24"/>
        </w:rPr>
        <w:t>图7 基于“多阶段推理”的多种致盲性眼底疾病疗效预测智能体分诊流程图</w:t>
      </w:r>
    </w:p>
    <w:p w14:paraId="51466B3C">
      <w:pPr>
        <w:snapToGrid w:val="0"/>
        <w:spacing w:line="360" w:lineRule="auto"/>
        <w:jc w:val="center"/>
        <w:outlineLvl w:val="0"/>
        <w:rPr>
          <w:sz w:val="24"/>
          <w:szCs w:val="24"/>
        </w:rPr>
      </w:pPr>
    </w:p>
    <w:p w14:paraId="69043C01">
      <w:pPr>
        <w:snapToGrid w:val="0"/>
        <w:spacing w:line="360" w:lineRule="auto"/>
        <w:ind w:firstLine="420"/>
        <w:outlineLvl w:val="0"/>
        <w:rPr>
          <w:bCs/>
          <w:sz w:val="24"/>
          <w:szCs w:val="24"/>
        </w:rPr>
      </w:pPr>
      <w:r>
        <w:rPr>
          <w:rFonts w:hint="eastAsia"/>
          <w:bCs/>
          <w:sz w:val="24"/>
          <w:szCs w:val="24"/>
        </w:rPr>
        <w:t>针对泛眼底多病种（DME、AMD、DR）的病理异质性，传统单一架构模型易因参数纠缠引发负迁移与表征干扰。本项目拟基于推理行动范式，构建思考-动作-反馈协同闭环，实现疾病感知的动态路由，如图7中所示。以下以糖尿病性黄斑水肿（DME）预后评估为例，阐述系统运行逻辑：</w:t>
      </w:r>
    </w:p>
    <w:p w14:paraId="429F6C9C">
      <w:pPr>
        <w:snapToGrid w:val="0"/>
        <w:spacing w:line="360" w:lineRule="auto"/>
        <w:ind w:firstLine="480"/>
        <w:outlineLvl w:val="0"/>
        <w:rPr>
          <w:bCs/>
          <w:sz w:val="24"/>
          <w:szCs w:val="24"/>
        </w:rPr>
      </w:pPr>
      <w:r>
        <w:rPr>
          <w:rFonts w:hint="eastAsia"/>
          <w:bCs/>
          <w:sz w:val="24"/>
          <w:szCs w:val="24"/>
        </w:rPr>
        <w:t>首先，大语言模型中枢自适应识别模态缺失，调用数据补全模块执行自动化补全以筑牢输入基座；随后，智能体调度数据融合模块，将异构影像特征与临床指标映射至统一语义空间表征；接着，唤醒疗效预测模块开展跨时序深度融合推理，执行高精度疗效推演；进而，系统自动转入证据提取阶段，协同归因可视化模块，通过 Grad-CAM 定位像素级病灶区域并利用 SHAP 量化临床特征权重；最终，大语言模型中枢将匹配对应疾病的解释路径，整合并发输出的多维证据，生成具有病种针对性的临床报告。报告不仅包含通用预测数值，更重点解读了该病种特有的关键预后指标，实现了一病一策的个性化精准辅助决策。</w:t>
      </w:r>
    </w:p>
    <w:p w14:paraId="17263DC1">
      <w:pPr>
        <w:snapToGrid w:val="0"/>
        <w:spacing w:line="360" w:lineRule="auto"/>
        <w:outlineLvl w:val="0"/>
        <w:rPr>
          <w:sz w:val="24"/>
          <w:szCs w:val="24"/>
        </w:rPr>
      </w:pPr>
    </w:p>
    <w:p w14:paraId="236C56F9">
      <w:pPr>
        <w:snapToGrid w:val="0"/>
        <w:spacing w:line="360" w:lineRule="auto"/>
        <w:outlineLvl w:val="0"/>
        <w:rPr>
          <w:b/>
          <w:sz w:val="24"/>
          <w:szCs w:val="24"/>
        </w:rPr>
      </w:pPr>
      <w:r>
        <w:rPr>
          <w:b/>
          <w:sz w:val="24"/>
          <w:szCs w:val="24"/>
        </w:rPr>
        <w:t>2.</w:t>
      </w:r>
      <w:r>
        <w:rPr>
          <w:rFonts w:hint="eastAsia"/>
          <w:b/>
          <w:sz w:val="24"/>
          <w:szCs w:val="24"/>
        </w:rPr>
        <w:t>2</w:t>
      </w:r>
      <w:r>
        <w:rPr>
          <w:b/>
          <w:sz w:val="24"/>
          <w:szCs w:val="24"/>
        </w:rPr>
        <w:t>.</w:t>
      </w:r>
      <w:r>
        <w:rPr>
          <w:rFonts w:hint="eastAsia"/>
          <w:b/>
          <w:sz w:val="24"/>
          <w:szCs w:val="24"/>
        </w:rPr>
        <w:t xml:space="preserve">5 </w:t>
      </w:r>
      <w:r>
        <w:rPr>
          <w:b/>
          <w:sz w:val="24"/>
          <w:szCs w:val="24"/>
        </w:rPr>
        <w:t>临床有效性验证</w:t>
      </w:r>
      <w:r>
        <w:rPr>
          <w:rFonts w:hint="eastAsia"/>
          <w:b/>
          <w:sz w:val="24"/>
          <w:szCs w:val="24"/>
        </w:rPr>
        <w:t>与智能体决策评价</w:t>
      </w:r>
    </w:p>
    <w:p w14:paraId="7FC402B1">
      <w:pPr>
        <w:snapToGrid w:val="0"/>
        <w:spacing w:line="360" w:lineRule="auto"/>
        <w:ind w:firstLine="420"/>
        <w:outlineLvl w:val="0"/>
        <w:rPr>
          <w:bCs/>
          <w:sz w:val="24"/>
          <w:szCs w:val="24"/>
        </w:rPr>
      </w:pPr>
      <w:r>
        <w:rPr>
          <w:rFonts w:hint="eastAsia"/>
          <w:bCs/>
          <w:sz w:val="24"/>
          <w:szCs w:val="24"/>
        </w:rPr>
        <w:t>为验证所构建的致盲性眼底疾病疗效预测智能体的有效性和决策水平，其临床有效性验证与智能体决策评价总体框架如图8所示。</w:t>
      </w:r>
    </w:p>
    <w:p w14:paraId="5669ABEE">
      <w:pPr>
        <w:snapToGrid w:val="0"/>
        <w:spacing w:line="360" w:lineRule="auto"/>
        <w:jc w:val="center"/>
        <w:outlineLvl w:val="0"/>
        <w:rPr>
          <w:sz w:val="24"/>
        </w:rPr>
      </w:pPr>
      <w:r>
        <w:rPr>
          <w:rFonts w:hint="eastAsia"/>
          <w:sz w:val="24"/>
        </w:rPr>
        <w:drawing>
          <wp:inline distT="0" distB="0" distL="114300" distR="114300">
            <wp:extent cx="5300345" cy="2253615"/>
            <wp:effectExtent l="0" t="0" r="8255" b="6985"/>
            <wp:docPr id="28" name="图片 28" descr="面上项目-插图-20260316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面上项目-插图-20260316_07"/>
                    <pic:cNvPicPr>
                      <a:picLocks noChangeAspect="1"/>
                    </pic:cNvPicPr>
                  </pic:nvPicPr>
                  <pic:blipFill>
                    <a:blip r:embed="rId12"/>
                    <a:srcRect l="1043" t="7466" b="4181"/>
                    <a:stretch>
                      <a:fillRect/>
                    </a:stretch>
                  </pic:blipFill>
                  <pic:spPr>
                    <a:xfrm>
                      <a:off x="0" y="0"/>
                      <a:ext cx="5300345" cy="2253615"/>
                    </a:xfrm>
                    <a:prstGeom prst="rect">
                      <a:avLst/>
                    </a:prstGeom>
                  </pic:spPr>
                </pic:pic>
              </a:graphicData>
            </a:graphic>
          </wp:inline>
        </w:drawing>
      </w:r>
    </w:p>
    <w:p w14:paraId="3BE589F2">
      <w:pPr>
        <w:snapToGrid w:val="0"/>
        <w:spacing w:line="360" w:lineRule="auto"/>
        <w:jc w:val="center"/>
        <w:outlineLvl w:val="0"/>
        <w:rPr>
          <w:sz w:val="24"/>
          <w:szCs w:val="24"/>
        </w:rPr>
      </w:pPr>
      <w:r>
        <w:rPr>
          <w:rFonts w:hint="eastAsia"/>
          <w:sz w:val="24"/>
          <w:szCs w:val="24"/>
        </w:rPr>
        <w:t>图8 智能体临床有效性验证与智能体决策评价方案流程图</w:t>
      </w:r>
    </w:p>
    <w:p w14:paraId="662D7C87">
      <w:pPr>
        <w:snapToGrid w:val="0"/>
        <w:spacing w:line="360" w:lineRule="auto"/>
        <w:jc w:val="center"/>
        <w:outlineLvl w:val="0"/>
        <w:rPr>
          <w:sz w:val="24"/>
          <w:szCs w:val="24"/>
        </w:rPr>
      </w:pPr>
    </w:p>
    <w:p w14:paraId="52D7C8E9">
      <w:pPr>
        <w:snapToGrid w:val="0"/>
        <w:spacing w:line="360" w:lineRule="auto"/>
        <w:ind w:left="840" w:hanging="840"/>
        <w:rPr>
          <w:b/>
          <w:sz w:val="24"/>
          <w:szCs w:val="24"/>
        </w:rPr>
      </w:pPr>
      <w:r>
        <w:rPr>
          <w:b/>
          <w:sz w:val="24"/>
          <w:szCs w:val="24"/>
        </w:rPr>
        <w:t>2.</w:t>
      </w:r>
      <w:r>
        <w:rPr>
          <w:rFonts w:hint="eastAsia"/>
          <w:b/>
          <w:sz w:val="24"/>
          <w:szCs w:val="24"/>
        </w:rPr>
        <w:t>2</w:t>
      </w:r>
      <w:r>
        <w:rPr>
          <w:b/>
          <w:sz w:val="24"/>
          <w:szCs w:val="24"/>
        </w:rPr>
        <w:t>.</w:t>
      </w:r>
      <w:r>
        <w:rPr>
          <w:rFonts w:hint="eastAsia"/>
          <w:b/>
          <w:sz w:val="24"/>
          <w:szCs w:val="24"/>
        </w:rPr>
        <w:t>5.1 基于临床的模态缺失补全算法性能评估</w:t>
      </w:r>
    </w:p>
    <w:p w14:paraId="1BD47CA1">
      <w:pPr>
        <w:snapToGrid w:val="0"/>
        <w:spacing w:line="360" w:lineRule="auto"/>
        <w:ind w:firstLine="420"/>
        <w:rPr>
          <w:sz w:val="24"/>
          <w:szCs w:val="24"/>
        </w:rPr>
      </w:pPr>
      <w:r>
        <w:rPr>
          <w:rFonts w:hint="eastAsia"/>
          <w:sz w:val="24"/>
          <w:szCs w:val="24"/>
        </w:rPr>
        <w:t>客观评估：利用平均绝对误差（MAE）、峰值信噪比（PSNR）及结构相似性指数（SSIM）量化算法补全图像与原始图像的解剖一致性。</w:t>
      </w:r>
    </w:p>
    <w:p w14:paraId="7EFFBFF5">
      <w:pPr>
        <w:snapToGrid w:val="0"/>
        <w:spacing w:line="360" w:lineRule="auto"/>
        <w:ind w:firstLine="420"/>
        <w:rPr>
          <w:sz w:val="24"/>
          <w:szCs w:val="24"/>
        </w:rPr>
      </w:pPr>
      <w:r>
        <w:rPr>
          <w:rFonts w:hint="eastAsia"/>
          <w:sz w:val="24"/>
          <w:szCs w:val="24"/>
        </w:rPr>
        <w:t>主观评估：采用专家双盲测试，由3位眼科专家对20组真实与补全对照图进行临床诊断。通过比较两组图诊断结论的一致性，验证算法对临床决策关键特征的还原能力。</w:t>
      </w:r>
    </w:p>
    <w:p w14:paraId="6D953868">
      <w:pPr>
        <w:snapToGrid w:val="0"/>
        <w:spacing w:line="360" w:lineRule="auto"/>
        <w:ind w:firstLine="420"/>
        <w:rPr>
          <w:sz w:val="24"/>
          <w:szCs w:val="24"/>
        </w:rPr>
      </w:pPr>
    </w:p>
    <w:p w14:paraId="79CE8EBD">
      <w:pPr>
        <w:snapToGrid w:val="0"/>
        <w:spacing w:line="360" w:lineRule="auto"/>
        <w:rPr>
          <w:b/>
          <w:sz w:val="24"/>
          <w:szCs w:val="24"/>
        </w:rPr>
      </w:pPr>
      <w:r>
        <w:rPr>
          <w:b/>
          <w:sz w:val="24"/>
          <w:szCs w:val="24"/>
        </w:rPr>
        <w:t>2.</w:t>
      </w:r>
      <w:r>
        <w:rPr>
          <w:rFonts w:hint="eastAsia"/>
          <w:b/>
          <w:sz w:val="24"/>
          <w:szCs w:val="24"/>
        </w:rPr>
        <w:t>2</w:t>
      </w:r>
      <w:r>
        <w:rPr>
          <w:b/>
          <w:sz w:val="24"/>
          <w:szCs w:val="24"/>
        </w:rPr>
        <w:t>.</w:t>
      </w:r>
      <w:r>
        <w:rPr>
          <w:rFonts w:hint="eastAsia"/>
          <w:b/>
          <w:sz w:val="24"/>
          <w:szCs w:val="24"/>
        </w:rPr>
        <w:t>5.2 基于临床的多时序多模态融合疗效预测大模型性能评估</w:t>
      </w:r>
    </w:p>
    <w:p w14:paraId="2FACA7B9">
      <w:pPr>
        <w:snapToGrid w:val="0"/>
        <w:spacing w:line="360" w:lineRule="auto"/>
        <w:rPr>
          <w:b/>
          <w:sz w:val="24"/>
          <w:szCs w:val="24"/>
        </w:rPr>
      </w:pPr>
      <w:r>
        <w:rPr>
          <w:rFonts w:hint="eastAsia"/>
          <w:b/>
          <w:sz w:val="24"/>
          <w:szCs w:val="24"/>
        </w:rPr>
        <w:t>（1）疗效预测生成图像评估</w:t>
      </w:r>
    </w:p>
    <w:p w14:paraId="14678072">
      <w:pPr>
        <w:snapToGrid w:val="0"/>
        <w:spacing w:line="360" w:lineRule="auto"/>
        <w:ind w:firstLine="420"/>
        <w:rPr>
          <w:sz w:val="24"/>
          <w:szCs w:val="24"/>
        </w:rPr>
      </w:pPr>
      <w:r>
        <w:rPr>
          <w:rFonts w:hint="eastAsia"/>
          <w:sz w:val="24"/>
          <w:szCs w:val="24"/>
        </w:rPr>
        <w:t>客观评估：利用平均绝对误差（MAE）、峰值信噪比（PSNR）及结构相似性指数（SSIM）量化算法预测疗效图像与真实疗效图像的解剖一致性。</w:t>
      </w:r>
    </w:p>
    <w:p w14:paraId="657959DE">
      <w:pPr>
        <w:snapToGrid w:val="0"/>
        <w:spacing w:line="360" w:lineRule="auto"/>
        <w:ind w:firstLine="420"/>
        <w:rPr>
          <w:sz w:val="24"/>
          <w:szCs w:val="24"/>
        </w:rPr>
      </w:pPr>
      <w:r>
        <w:rPr>
          <w:rFonts w:hint="eastAsia"/>
          <w:sz w:val="24"/>
          <w:szCs w:val="24"/>
        </w:rPr>
        <w:t>主观评估：为3位眼科专家提供20组图片。每组包含同一病人的真实疗效图和算法预测疗效图，让专家对图像做出治疗后的疾病严重程度评价。真实疗效图与算法生成疗效图的疾病严重程度高度一致表明疗效预测大模型的有效性。</w:t>
      </w:r>
    </w:p>
    <w:p w14:paraId="194E1F87">
      <w:pPr>
        <w:snapToGrid w:val="0"/>
        <w:spacing w:line="360" w:lineRule="auto"/>
        <w:rPr>
          <w:b/>
          <w:sz w:val="24"/>
          <w:szCs w:val="24"/>
        </w:rPr>
      </w:pPr>
      <w:r>
        <w:rPr>
          <w:rFonts w:hint="eastAsia"/>
          <w:b/>
          <w:sz w:val="24"/>
          <w:szCs w:val="24"/>
        </w:rPr>
        <w:t>（2）疾病分类和严重并发症预测能力</w:t>
      </w:r>
    </w:p>
    <w:p w14:paraId="788F13A3">
      <w:pPr>
        <w:snapToGrid w:val="0"/>
        <w:spacing w:line="360" w:lineRule="auto"/>
        <w:ind w:firstLine="420"/>
        <w:rPr>
          <w:sz w:val="24"/>
          <w:szCs w:val="24"/>
        </w:rPr>
      </w:pPr>
      <w:r>
        <w:rPr>
          <w:rFonts w:hint="eastAsia"/>
          <w:sz w:val="24"/>
          <w:szCs w:val="24"/>
        </w:rPr>
        <w:t>客观评估：在内、外部数据集上构建多时间点混淆矩阵，计算Accuracy、Sensitivity、Specificity等指标，并绘制ROC曲线，通过AUC值评估模型分类的鲁棒性。</w:t>
      </w:r>
    </w:p>
    <w:p w14:paraId="0C5850A0">
      <w:pPr>
        <w:snapToGrid w:val="0"/>
        <w:spacing w:line="360" w:lineRule="auto"/>
        <w:rPr>
          <w:b/>
          <w:sz w:val="24"/>
          <w:szCs w:val="24"/>
        </w:rPr>
      </w:pPr>
      <w:r>
        <w:rPr>
          <w:rFonts w:hint="eastAsia"/>
          <w:b/>
          <w:sz w:val="24"/>
          <w:szCs w:val="24"/>
        </w:rPr>
        <w:t>（3）视力值和视力变化情况预测能力</w:t>
      </w:r>
    </w:p>
    <w:p w14:paraId="253FFB28">
      <w:pPr>
        <w:snapToGrid w:val="0"/>
        <w:spacing w:line="360" w:lineRule="auto"/>
        <w:ind w:firstLine="420"/>
        <w:rPr>
          <w:sz w:val="24"/>
          <w:szCs w:val="24"/>
        </w:rPr>
      </w:pPr>
      <w:r>
        <w:rPr>
          <w:rFonts w:hint="eastAsia"/>
          <w:sz w:val="24"/>
          <w:szCs w:val="24"/>
        </w:rPr>
        <w:t>客观评估：采用MAE指标量化BCVA绝对数值的预测偏差（评估拟合精度）；同步通过混淆矩阵评估视力变化趋势（如视力提升、稳定、下降）的分类准确率，全方位论证模型对视功能演变轨迹的刻画能力。</w:t>
      </w:r>
    </w:p>
    <w:p w14:paraId="3CFADD3D">
      <w:pPr>
        <w:snapToGrid w:val="0"/>
        <w:spacing w:line="360" w:lineRule="auto"/>
        <w:ind w:firstLine="420"/>
        <w:rPr>
          <w:sz w:val="24"/>
          <w:szCs w:val="24"/>
        </w:rPr>
      </w:pPr>
      <w:r>
        <w:rPr>
          <w:rFonts w:hint="eastAsia"/>
          <w:sz w:val="24"/>
          <w:szCs w:val="24"/>
        </w:rPr>
        <w:t>人机对比：组织高、中、低年资三级医生群体（共15人）进行独立预测。对比模型与不同临床经验医生的混淆矩阵，验证模型在真实临床环境下的实用性。</w:t>
      </w:r>
    </w:p>
    <w:p w14:paraId="4C8515F9">
      <w:pPr>
        <w:snapToGrid w:val="0"/>
        <w:spacing w:line="360" w:lineRule="auto"/>
        <w:ind w:firstLine="420"/>
        <w:rPr>
          <w:sz w:val="24"/>
          <w:szCs w:val="24"/>
        </w:rPr>
      </w:pPr>
    </w:p>
    <w:p w14:paraId="3B34AE26">
      <w:pPr>
        <w:snapToGrid w:val="0"/>
        <w:spacing w:line="360" w:lineRule="auto"/>
        <w:rPr>
          <w:b/>
          <w:sz w:val="24"/>
          <w:szCs w:val="24"/>
        </w:rPr>
      </w:pPr>
      <w:r>
        <w:rPr>
          <w:b/>
          <w:sz w:val="24"/>
          <w:szCs w:val="24"/>
        </w:rPr>
        <w:t>2.</w:t>
      </w:r>
      <w:r>
        <w:rPr>
          <w:rFonts w:hint="eastAsia"/>
          <w:b/>
          <w:sz w:val="24"/>
          <w:szCs w:val="24"/>
        </w:rPr>
        <w:t>2</w:t>
      </w:r>
      <w:r>
        <w:rPr>
          <w:b/>
          <w:sz w:val="24"/>
          <w:szCs w:val="24"/>
        </w:rPr>
        <w:t>.</w:t>
      </w:r>
      <w:r>
        <w:rPr>
          <w:rFonts w:hint="eastAsia"/>
          <w:b/>
          <w:sz w:val="24"/>
          <w:szCs w:val="24"/>
        </w:rPr>
        <w:t>5.3 基于临床的智能体报告质量评估</w:t>
      </w:r>
    </w:p>
    <w:p w14:paraId="5EFBC544">
      <w:pPr>
        <w:snapToGrid w:val="0"/>
        <w:spacing w:line="360" w:lineRule="auto"/>
        <w:ind w:firstLine="420"/>
        <w:rPr>
          <w:sz w:val="24"/>
          <w:szCs w:val="24"/>
        </w:rPr>
      </w:pPr>
      <w:r>
        <w:rPr>
          <w:rFonts w:hint="eastAsia"/>
          <w:sz w:val="24"/>
          <w:szCs w:val="24"/>
        </w:rPr>
        <w:t>采用专家双盲审查机制，邀请3-5名资深专家基于Likert五分量表进行多维加权评价。语义专业性(20%)：术语使用的临床规范化程度；证据充分性(30%)：对IRF等核心影像特征与临床指标的提取准确度；决策支持价值(30%)：预后建议对临床干预的实际指导意义；可读性与冗余度(20%)：报告逻辑的简洁性与信息密度。</w:t>
      </w:r>
    </w:p>
    <w:p w14:paraId="67E0CFB1">
      <w:pPr>
        <w:snapToGrid w:val="0"/>
        <w:spacing w:line="360" w:lineRule="auto"/>
        <w:jc w:val="center"/>
        <w:rPr>
          <w:rFonts w:cs="宋体"/>
          <w:sz w:val="24"/>
          <w:szCs w:val="24"/>
        </w:rPr>
      </w:pPr>
      <w:r>
        <w:rPr>
          <w:rFonts w:hint="eastAsia" w:cs="宋体"/>
          <w:sz w:val="24"/>
          <w:szCs w:val="24"/>
        </w:rPr>
        <w:drawing>
          <wp:inline distT="0" distB="0" distL="114300" distR="114300">
            <wp:extent cx="5247640" cy="2694305"/>
            <wp:effectExtent l="0" t="0" r="10160" b="10795"/>
            <wp:docPr id="13" name="图片 13" descr="图1_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1_01(2)"/>
                    <pic:cNvPicPr>
                      <a:picLocks noChangeAspect="1"/>
                    </pic:cNvPicPr>
                  </pic:nvPicPr>
                  <pic:blipFill>
                    <a:blip r:embed="rId13"/>
                    <a:srcRect l="5334" r="1873"/>
                    <a:stretch>
                      <a:fillRect/>
                    </a:stretch>
                  </pic:blipFill>
                  <pic:spPr>
                    <a:xfrm>
                      <a:off x="0" y="0"/>
                      <a:ext cx="5247640" cy="2694305"/>
                    </a:xfrm>
                    <a:prstGeom prst="rect">
                      <a:avLst/>
                    </a:prstGeom>
                  </pic:spPr>
                </pic:pic>
              </a:graphicData>
            </a:graphic>
          </wp:inline>
        </w:drawing>
      </w:r>
    </w:p>
    <w:p w14:paraId="146C657A">
      <w:pPr>
        <w:snapToGrid w:val="0"/>
        <w:spacing w:line="360" w:lineRule="auto"/>
        <w:jc w:val="center"/>
        <w:rPr>
          <w:rFonts w:cs="宋体"/>
          <w:sz w:val="24"/>
          <w:szCs w:val="24"/>
        </w:rPr>
      </w:pPr>
      <w:r>
        <w:rPr>
          <w:rFonts w:hint="eastAsia" w:cs="宋体"/>
          <w:sz w:val="24"/>
          <w:szCs w:val="24"/>
        </w:rPr>
        <w:t>图9 本项目特色与关键创新点</w:t>
      </w:r>
    </w:p>
    <w:p w14:paraId="03C0DE83">
      <w:pPr>
        <w:snapToGrid w:val="0"/>
        <w:spacing w:line="360" w:lineRule="auto"/>
        <w:ind w:firstLine="420"/>
        <w:rPr>
          <w:sz w:val="24"/>
          <w:szCs w:val="24"/>
        </w:rPr>
      </w:pPr>
    </w:p>
    <w:p w14:paraId="2F799AA6">
      <w:pPr>
        <w:snapToGrid w:val="0"/>
        <w:spacing w:line="360" w:lineRule="auto"/>
        <w:rPr>
          <w:b/>
          <w:bCs/>
          <w:sz w:val="28"/>
          <w:szCs w:val="28"/>
        </w:rPr>
      </w:pPr>
      <w:r>
        <w:rPr>
          <w:rFonts w:hint="eastAsia"/>
          <w:b/>
          <w:bCs/>
          <w:sz w:val="28"/>
          <w:szCs w:val="28"/>
        </w:rPr>
        <w:t>2.3 年度研究计划与预期研究成果</w:t>
      </w:r>
    </w:p>
    <w:p w14:paraId="4FFAF3A5">
      <w:pPr>
        <w:snapToGrid w:val="0"/>
        <w:spacing w:line="360" w:lineRule="auto"/>
        <w:jc w:val="left"/>
        <w:rPr>
          <w:b/>
          <w:bCs/>
          <w:sz w:val="24"/>
          <w:szCs w:val="24"/>
        </w:rPr>
      </w:pPr>
      <w:r>
        <w:rPr>
          <w:rFonts w:hint="eastAsia"/>
          <w:b/>
          <w:bCs/>
          <w:sz w:val="24"/>
          <w:szCs w:val="24"/>
        </w:rPr>
        <w:t>2.3.1 年度研究计划</w:t>
      </w:r>
    </w:p>
    <w:p w14:paraId="7D7FBF40">
      <w:pPr>
        <w:snapToGrid w:val="0"/>
        <w:spacing w:line="360" w:lineRule="auto"/>
        <w:ind w:firstLine="420"/>
        <w:jc w:val="left"/>
        <w:rPr>
          <w:sz w:val="24"/>
          <w:szCs w:val="24"/>
        </w:rPr>
      </w:pPr>
      <w:r>
        <w:rPr>
          <w:rFonts w:hint="eastAsia"/>
          <w:b/>
          <w:bCs/>
          <w:sz w:val="24"/>
          <w:szCs w:val="24"/>
        </w:rPr>
        <w:t xml:space="preserve">2027.01-2027.12 </w:t>
      </w:r>
      <w:r>
        <w:rPr>
          <w:rFonts w:hint="eastAsia"/>
          <w:sz w:val="24"/>
          <w:szCs w:val="24"/>
        </w:rPr>
        <w:t>（1）开展致盲性眼底疾病多时序多模态数据集构建工作，整合糖尿病性黄斑水肿（DME）、年龄相关性黄斑变性（AMD）与糖尿病视网膜病变（DR）的数据信息，建立标准化数据管理与质量控制流程；（2）研究多模态医疗数据的预处理与表征方法，设计数据清洗、标注一致性校验及模态标准化策略；（3）开展多模态数据对齐与融合方法研究，探索适用于医疗场景的多模态对齐机制，解决模态缺失与模态不一致问题；（4）发表相关研究论文2-3篇。</w:t>
      </w:r>
    </w:p>
    <w:p w14:paraId="5F989E2F">
      <w:pPr>
        <w:snapToGrid w:val="0"/>
        <w:spacing w:line="360" w:lineRule="auto"/>
        <w:ind w:firstLine="420"/>
        <w:jc w:val="left"/>
        <w:rPr>
          <w:sz w:val="24"/>
          <w:szCs w:val="24"/>
        </w:rPr>
      </w:pPr>
      <w:r>
        <w:rPr>
          <w:rFonts w:hint="eastAsia"/>
          <w:b/>
          <w:bCs/>
          <w:sz w:val="24"/>
          <w:szCs w:val="24"/>
        </w:rPr>
        <w:t>2028.01-2028.12</w:t>
      </w:r>
      <w:r>
        <w:rPr>
          <w:rFonts w:hint="eastAsia"/>
          <w:sz w:val="24"/>
          <w:szCs w:val="24"/>
        </w:rPr>
        <w:t xml:space="preserve"> （1）研究多时序特征提取模块，设计适用于眼底疾病疗效预测的时序特征建模方法，挖掘疾病发展过程中的动态变化规律；（2）研究跨模态融合算法，构建不同医疗数据的协同融合机制，实现多模态信息的深度整合；（3）建立多模态多时序疗效预测模型，并在实验数据集上进行系统验证；（4）发表相关研究论文2-3篇，申请发明专利1-2项。</w:t>
      </w:r>
    </w:p>
    <w:p w14:paraId="157DB19D">
      <w:pPr>
        <w:snapToGrid w:val="0"/>
        <w:spacing w:line="360" w:lineRule="auto"/>
        <w:ind w:firstLine="420"/>
        <w:jc w:val="left"/>
        <w:rPr>
          <w:sz w:val="24"/>
          <w:szCs w:val="24"/>
        </w:rPr>
      </w:pPr>
      <w:r>
        <w:rPr>
          <w:rFonts w:hint="eastAsia"/>
          <w:b/>
          <w:bCs/>
          <w:sz w:val="24"/>
          <w:szCs w:val="24"/>
        </w:rPr>
        <w:t>2029.01-2029.12</w:t>
      </w:r>
      <w:r>
        <w:rPr>
          <w:rFonts w:hint="eastAsia"/>
          <w:sz w:val="24"/>
          <w:szCs w:val="24"/>
        </w:rPr>
        <w:t xml:space="preserve"> （1）开展基于大模型的疗效预测智能体架构设计，构建面向致盲性眼底疾病疗效预测的智能体系统框架；（2）开发疗效预测智能体原型系统，集成数据预处理模块、模型推理模块和结果管理模块，实现多模态医疗数据的批量导入、自动分析与预测结果输出；（3）研究智能体的临床可解释机制，设计基于热力图与特征归因图的可解释分析方法，提高疗效预测结果的可解释性与临床可信度；（4）发表相关研究论文2-3篇，申请发明专利1-2项。</w:t>
      </w:r>
    </w:p>
    <w:p w14:paraId="596D81C7">
      <w:pPr>
        <w:snapToGrid w:val="0"/>
        <w:spacing w:line="360" w:lineRule="auto"/>
        <w:ind w:firstLine="420"/>
        <w:jc w:val="left"/>
        <w:rPr>
          <w:sz w:val="24"/>
          <w:szCs w:val="24"/>
        </w:rPr>
      </w:pPr>
      <w:r>
        <w:rPr>
          <w:rFonts w:hint="eastAsia"/>
          <w:b/>
          <w:bCs/>
          <w:sz w:val="24"/>
          <w:szCs w:val="24"/>
        </w:rPr>
        <w:t xml:space="preserve">2030.01-2030.12 </w:t>
      </w:r>
      <w:r>
        <w:rPr>
          <w:rFonts w:hint="eastAsia"/>
          <w:sz w:val="24"/>
          <w:szCs w:val="24"/>
        </w:rPr>
        <w:t>（1）开展多中心临床验证与专家评估，系统评估模型在真实临床环境中的预测能力与可解释性；（2）对研究成果进行系统总结并优化系统交互设计，构建完善的多模态疗效预测技术体系；（3）整理研究成果与代码资源，撰写项目结题报告；（4）发表相关研究论文2-3篇，申请发明专利1项。</w:t>
      </w:r>
    </w:p>
    <w:p w14:paraId="33D38EA6">
      <w:pPr>
        <w:snapToGrid w:val="0"/>
        <w:spacing w:line="360" w:lineRule="auto"/>
        <w:ind w:firstLine="420"/>
        <w:jc w:val="left"/>
        <w:rPr>
          <w:sz w:val="24"/>
          <w:szCs w:val="24"/>
        </w:rPr>
      </w:pPr>
    </w:p>
    <w:p w14:paraId="252ED112">
      <w:pPr>
        <w:snapToGrid w:val="0"/>
        <w:spacing w:line="360" w:lineRule="auto"/>
        <w:jc w:val="left"/>
        <w:rPr>
          <w:b/>
          <w:bCs/>
          <w:sz w:val="24"/>
          <w:szCs w:val="24"/>
        </w:rPr>
      </w:pPr>
      <w:r>
        <w:rPr>
          <w:rFonts w:hint="eastAsia"/>
          <w:b/>
          <w:bCs/>
          <w:sz w:val="24"/>
          <w:szCs w:val="24"/>
        </w:rPr>
        <w:t>2.3.2 预期研究结果</w:t>
      </w:r>
    </w:p>
    <w:p w14:paraId="3F69DD5F">
      <w:pPr>
        <w:snapToGrid w:val="0"/>
        <w:spacing w:line="360" w:lineRule="auto"/>
        <w:ind w:firstLine="420"/>
        <w:jc w:val="left"/>
        <w:rPr>
          <w:rFonts w:cs="宋体"/>
          <w:sz w:val="24"/>
          <w:szCs w:val="24"/>
        </w:rPr>
      </w:pPr>
      <w:r>
        <w:rPr>
          <w:rFonts w:hint="eastAsia"/>
          <w:sz w:val="24"/>
          <w:szCs w:val="24"/>
        </w:rPr>
        <w:t>（1）提出面向致盲性眼底疾病疗效预测的多模态协同融合方法，实现多源医疗数据的有效对齐与深度融合，提升多模态医疗数据的表征能力。（2）构建基于多时序多模态数据的疗效预测模型，突破现有方法在长期疗效预测方面的局限，实现疾病发展趋势的精准预测。（3）研发基于多模态大模型的疗效预测智能体原型系统，实现数据处理、疗效预测、结果解释与临床决策支持的智能化集成，并在真实临床数据中验证其有效性。（4）培养硕士研究生8人。</w:t>
      </w:r>
    </w:p>
    <w:permEnd w:id="2"/>
    <w:p w14:paraId="360620E5">
      <w:pPr>
        <w:snapToGrid w:val="0"/>
        <w:spacing w:line="440" w:lineRule="exact"/>
        <w:ind w:firstLine="562" w:firstLineChars="200"/>
        <w:rPr>
          <w:rFonts w:ascii="楷体" w:hAnsi="楷体" w:eastAsia="楷体"/>
          <w:color w:val="0070C0"/>
          <w:sz w:val="28"/>
          <w:szCs w:val="28"/>
        </w:rPr>
      </w:pPr>
      <w:r>
        <w:rPr>
          <w:rFonts w:hint="eastAsia" w:ascii="楷体" w:hAnsi="楷体" w:eastAsia="楷体" w:cs="楷体_GB2312"/>
          <w:b/>
          <w:bCs/>
          <w:color w:val="0070C0"/>
          <w:sz w:val="28"/>
          <w:szCs w:val="28"/>
        </w:rPr>
        <w:t>（三）研究基础</w:t>
      </w:r>
      <w:r>
        <w:rPr>
          <w:rFonts w:hint="eastAsia" w:ascii="楷体" w:hAnsi="楷体" w:eastAsia="楷体" w:cs="楷体_GB2312"/>
          <w:color w:val="0070C0"/>
          <w:sz w:val="28"/>
          <w:szCs w:val="28"/>
        </w:rPr>
        <w:t>：</w:t>
      </w:r>
    </w:p>
    <w:p w14:paraId="4B1DD242">
      <w:pPr>
        <w:snapToGrid w:val="0"/>
        <w:spacing w:line="440" w:lineRule="exact"/>
        <w:ind w:firstLine="560" w:firstLineChars="200"/>
        <w:rPr>
          <w:rFonts w:ascii="楷体" w:hAnsi="楷体" w:eastAsia="楷体" w:cs="楷体_GB2312"/>
          <w:color w:val="0070C0"/>
          <w:sz w:val="28"/>
          <w:szCs w:val="28"/>
        </w:rPr>
      </w:pPr>
      <w:r>
        <w:rPr>
          <w:rFonts w:ascii="楷体" w:hAnsi="楷体" w:eastAsia="楷体"/>
          <w:color w:val="0070C0"/>
          <w:sz w:val="28"/>
          <w:szCs w:val="28"/>
        </w:rPr>
        <w:t>1</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研究基础与可行性分析</w:t>
      </w:r>
      <w:r>
        <w:rPr>
          <w:rFonts w:hint="eastAsia" w:ascii="楷体" w:hAnsi="楷体" w:eastAsia="楷体" w:cs="楷体_GB2312"/>
          <w:color w:val="0070C0"/>
          <w:sz w:val="28"/>
          <w:szCs w:val="28"/>
        </w:rPr>
        <w:t>（与本项目相关的研究工作积累和已取得的研究工作成绩，研究风险的应对措施等）；</w:t>
      </w:r>
    </w:p>
    <w:p w14:paraId="34A98835">
      <w:pPr>
        <w:snapToGrid w:val="0"/>
        <w:spacing w:line="360" w:lineRule="auto"/>
        <w:rPr>
          <w:rFonts w:cs="楷体_GB2312"/>
          <w:b/>
          <w:bCs/>
          <w:sz w:val="28"/>
          <w:szCs w:val="28"/>
        </w:rPr>
      </w:pPr>
      <w:permStart w:id="3" w:edGrp="everyone"/>
      <w:r>
        <w:rPr>
          <w:rFonts w:hint="eastAsia" w:cs="楷体_GB2312"/>
          <w:b/>
          <w:bCs/>
          <w:sz w:val="28"/>
          <w:szCs w:val="28"/>
        </w:rPr>
        <w:t>3.1 研究基础和可行性分析</w:t>
      </w:r>
    </w:p>
    <w:p w14:paraId="348ADD5E">
      <w:pPr>
        <w:snapToGrid w:val="0"/>
        <w:spacing w:line="360" w:lineRule="auto"/>
        <w:rPr>
          <w:rFonts w:cs="楷体_GB2312"/>
          <w:b/>
          <w:bCs/>
          <w:sz w:val="24"/>
          <w:szCs w:val="24"/>
        </w:rPr>
      </w:pPr>
      <w:r>
        <w:rPr>
          <w:rFonts w:hint="eastAsia" w:cs="楷体_GB2312"/>
          <w:b/>
          <w:bCs/>
          <w:sz w:val="24"/>
          <w:szCs w:val="24"/>
        </w:rPr>
        <w:t>3.1.1 研究基础</w:t>
      </w:r>
    </w:p>
    <w:p w14:paraId="13D67B2F">
      <w:pPr>
        <w:snapToGrid w:val="0"/>
        <w:spacing w:line="360" w:lineRule="auto"/>
        <w:ind w:firstLine="420"/>
        <w:rPr>
          <w:sz w:val="24"/>
          <w:szCs w:val="24"/>
        </w:rPr>
      </w:pPr>
      <w:r>
        <w:rPr>
          <w:rFonts w:hint="eastAsia"/>
          <w:sz w:val="24"/>
          <w:szCs w:val="24"/>
        </w:rPr>
        <w:t>项目申请人温阳博士是深圳大学电子与信息工程学院特聘副研究员，硕士研究生导师，获聘鹏城孔雀C档特聘岗。主要研究方向为计算机视觉和医学图像分析与应用等。2021年于上海交通大学计算机科学与技术专业获得工学博士学位。2019年于澳大利亚悉尼大学进行访问学习。2022年4月加入广东省多媒体工程实验室。主作为主持人申请获批国家级、省级、市级和深圳大学高层次人才启动科研项目共5项。长期从事医学图像分析与应用、智慧医疗以及AIGC等方向的研究。目前已发表学术论文40余篇，授权专利8项。其中代表性工作成果发表在</w:t>
      </w:r>
      <w:r>
        <w:rPr>
          <w:rFonts w:hint="eastAsia"/>
          <w:b/>
          <w:bCs/>
          <w:i/>
          <w:iCs/>
          <w:sz w:val="24"/>
          <w:szCs w:val="24"/>
        </w:rPr>
        <w:t>Nature Medicine、Nature Communications、npj Digital Medicine、IEEE TIP/TMM/TCSVT/PR</w:t>
      </w:r>
      <w:r>
        <w:rPr>
          <w:rFonts w:hint="eastAsia"/>
          <w:sz w:val="24"/>
          <w:szCs w:val="24"/>
        </w:rPr>
        <w:t>等顶级国际期刊及会议上。担任领域内多个国际期刊及会议审稿人，包括</w:t>
      </w:r>
      <w:r>
        <w:rPr>
          <w:rFonts w:hint="eastAsia"/>
          <w:b/>
          <w:bCs/>
          <w:i/>
          <w:iCs/>
          <w:sz w:val="24"/>
          <w:szCs w:val="24"/>
        </w:rPr>
        <w:t>IEEE TIP、IEEE TCSVT、IEEE TII、SPIC</w:t>
      </w:r>
      <w:r>
        <w:rPr>
          <w:rFonts w:hint="eastAsia"/>
          <w:sz w:val="24"/>
          <w:szCs w:val="24"/>
        </w:rPr>
        <w:t>等。</w:t>
      </w:r>
    </w:p>
    <w:p w14:paraId="27210A2A">
      <w:pPr>
        <w:snapToGrid w:val="0"/>
        <w:spacing w:line="360" w:lineRule="auto"/>
        <w:ind w:firstLine="420"/>
        <w:jc w:val="left"/>
        <w:rPr>
          <w:sz w:val="24"/>
          <w:szCs w:val="24"/>
        </w:rPr>
      </w:pPr>
    </w:p>
    <w:p w14:paraId="0B402F05">
      <w:pPr>
        <w:snapToGrid w:val="0"/>
        <w:spacing w:line="360" w:lineRule="auto"/>
        <w:rPr>
          <w:sz w:val="24"/>
          <w:szCs w:val="24"/>
        </w:rPr>
      </w:pPr>
      <w:r>
        <w:rPr>
          <w:rFonts w:hint="eastAsia" w:cs="楷体_GB2312"/>
          <w:b/>
          <w:bCs/>
          <w:sz w:val="24"/>
          <w:szCs w:val="24"/>
        </w:rPr>
        <w:t>申请人与本课题相关的工作积累和研究成果体现在以下几方面:</w:t>
      </w:r>
    </w:p>
    <w:p w14:paraId="30C48B89">
      <w:pPr>
        <w:snapToGrid w:val="0"/>
        <w:spacing w:line="360" w:lineRule="auto"/>
        <w:ind w:firstLine="420"/>
        <w:rPr>
          <w:rFonts w:cs="宋体"/>
          <w:sz w:val="24"/>
          <w:szCs w:val="24"/>
        </w:rPr>
      </w:pPr>
      <w:r>
        <w:rPr>
          <w:rFonts w:hint="eastAsia"/>
          <w:b/>
          <w:bCs/>
          <w:sz w:val="24"/>
          <w:szCs w:val="24"/>
        </w:rPr>
        <w:t>（1）</w:t>
      </w:r>
      <w:r>
        <w:rPr>
          <w:b/>
          <w:bCs/>
          <w:sz w:val="24"/>
          <w:szCs w:val="24"/>
        </w:rPr>
        <w:t>研究数据基础</w:t>
      </w:r>
      <w:r>
        <w:rPr>
          <w:rFonts w:hint="eastAsia"/>
          <w:b/>
          <w:bCs/>
          <w:sz w:val="24"/>
          <w:szCs w:val="24"/>
        </w:rPr>
        <w:t>：</w:t>
      </w:r>
      <w:r>
        <w:rPr>
          <w:rFonts w:hint="eastAsia" w:cs="宋体"/>
          <w:sz w:val="24"/>
          <w:szCs w:val="24"/>
        </w:rPr>
        <w:t>申请团队在致盲性眼底疾病研究领域开展了长期、系统性的研究工作，并与上海市第六人民医院、北京大学深圳医院、北京协和医院等国内多家知名三甲医院建立了稳定深入的临床科研合作关系。依托上述平台，团队已积累涵盖年龄相关性黄斑变性（AMD）、糖尿病性黄斑水肿（DME）及糖尿病视网膜病变（DR）等多种致盲性眼底疾病的大规模多模态临床数据，包括眼底影像、OCT/OCTA影像及相关临床指标等，为本项目开展多模态数据融合与疗效预测研究及后续临床验证提供了坚实的数据基础与真实的临床验证环境。同时，团队在眼底疾病人工智能分析及多模态建模方向已取得多项突破性成果，多篇相关研究论文已投稿或正式接收发表，为本项目的顺利推进奠定了良好的研究基础。</w:t>
      </w:r>
    </w:p>
    <w:p w14:paraId="63F59089">
      <w:pPr>
        <w:snapToGrid w:val="0"/>
        <w:spacing w:line="360" w:lineRule="auto"/>
        <w:ind w:firstLine="420"/>
        <w:rPr>
          <w:rFonts w:cs="宋体"/>
          <w:sz w:val="24"/>
          <w:szCs w:val="24"/>
        </w:rPr>
      </w:pPr>
      <w:r>
        <w:rPr>
          <w:rFonts w:hint="eastAsia" w:cs="宋体"/>
          <w:b/>
          <w:bCs/>
          <w:sz w:val="24"/>
          <w:szCs w:val="24"/>
        </w:rPr>
        <w:t>（2）多模态融合领域：</w:t>
      </w:r>
      <w:r>
        <w:rPr>
          <w:rFonts w:hint="eastAsia" w:cs="宋体"/>
          <w:sz w:val="24"/>
          <w:szCs w:val="24"/>
        </w:rPr>
        <w:t>申请人在多模态医学影像分析与融合方面开展了系统性研究。针对眼底疾病疗效预测中不同影像模态信息难以有效协同利用的问题，提出多模态多任务协同学习框架</w:t>
      </w:r>
      <w:r>
        <w:rPr>
          <w:rFonts w:hint="eastAsia" w:cs="宋体"/>
          <w:b/>
          <w:bCs/>
          <w:sz w:val="24"/>
          <w:szCs w:val="24"/>
        </w:rPr>
        <w:t>M2Net</w:t>
      </w:r>
      <w:r>
        <w:rPr>
          <w:rFonts w:hint="eastAsia" w:cs="宋体"/>
          <w:sz w:val="24"/>
          <w:szCs w:val="24"/>
        </w:rPr>
        <w:t>（</w:t>
      </w:r>
      <w:r>
        <w:rPr>
          <w:rFonts w:hint="eastAsia" w:cs="宋体"/>
          <w:i/>
          <w:iCs/>
          <w:sz w:val="24"/>
          <w:szCs w:val="24"/>
        </w:rPr>
        <w:t>TMI 2026, Minor revision，独立一作</w:t>
      </w:r>
      <w:r>
        <w:rPr>
          <w:rFonts w:hint="eastAsia" w:cs="宋体"/>
          <w:sz w:val="24"/>
          <w:szCs w:val="24"/>
        </w:rPr>
        <w:t>），通过联合建模眼底彩照与OCT影像，实现疗效预测与治疗后影像生成的协同学习，显著提升了抗VEGF治疗疗效预测的准确性和模型解释能力，为本项目多模态疗效预测模型设计提供了重要方法基础。在多模态医学影像深层特征融合方面，申请人提出</w:t>
      </w:r>
      <w:r>
        <w:rPr>
          <w:rFonts w:hint="eastAsia" w:cs="宋体"/>
          <w:b/>
          <w:bCs/>
          <w:sz w:val="24"/>
          <w:szCs w:val="24"/>
        </w:rPr>
        <w:t>LPDM-Net</w:t>
      </w:r>
      <w:r>
        <w:rPr>
          <w:rFonts w:hint="eastAsia" w:cs="宋体"/>
          <w:sz w:val="24"/>
          <w:szCs w:val="24"/>
        </w:rPr>
        <w:t>（</w:t>
      </w:r>
      <w:r>
        <w:rPr>
          <w:rFonts w:hint="eastAsia" w:cs="宋体"/>
          <w:i/>
          <w:iCs/>
          <w:sz w:val="24"/>
          <w:szCs w:val="24"/>
        </w:rPr>
        <w:t>TII 2025, under review</w:t>
      </w:r>
      <w:r>
        <w:rPr>
          <w:rFonts w:hint="eastAsia" w:cs="宋体"/>
          <w:sz w:val="24"/>
          <w:szCs w:val="24"/>
        </w:rPr>
        <w:t>）跨模态特征融合模型，通过结构感知特征交互与深层语义对齐机制，实现不同模态影像信息的有效互补，为多模态数据融合建模提供了关键技术支撑。针对多模态数据间关联建模不足与融合机制不完善的问题，申请人提出</w:t>
      </w:r>
      <w:r>
        <w:rPr>
          <w:rFonts w:hint="eastAsia" w:cs="宋体"/>
          <w:b/>
          <w:bCs/>
          <w:sz w:val="24"/>
          <w:szCs w:val="24"/>
        </w:rPr>
        <w:t>IMDNet</w:t>
      </w:r>
      <w:r>
        <w:rPr>
          <w:rFonts w:hint="eastAsia" w:cs="宋体"/>
          <w:sz w:val="24"/>
          <w:szCs w:val="24"/>
        </w:rPr>
        <w:t>（</w:t>
      </w:r>
      <w:r>
        <w:rPr>
          <w:rFonts w:hint="eastAsia" w:cs="宋体"/>
          <w:i/>
          <w:iCs/>
          <w:sz w:val="24"/>
          <w:szCs w:val="24"/>
        </w:rPr>
        <w:t>TMM 2025，独立通讯</w:t>
      </w:r>
      <w:r>
        <w:rPr>
          <w:rFonts w:hint="eastAsia" w:cs="宋体"/>
          <w:sz w:val="24"/>
          <w:szCs w:val="24"/>
        </w:rPr>
        <w:t>）多模态融合网络，通过构建中心图结构与属性嵌入机制实现跨模态特征精准关联与自适应融合，为本项目多模态异构数据对齐与鲁棒融合提供了有效方法基础与结构设计支撑。</w:t>
      </w:r>
    </w:p>
    <w:p w14:paraId="7D6AE1A6">
      <w:pPr>
        <w:snapToGrid w:val="0"/>
        <w:spacing w:line="360" w:lineRule="auto"/>
        <w:ind w:firstLine="420"/>
        <w:rPr>
          <w:rFonts w:cs="宋体"/>
          <w:sz w:val="24"/>
          <w:szCs w:val="24"/>
        </w:rPr>
      </w:pPr>
      <w:r>
        <w:rPr>
          <w:rFonts w:cs="宋体"/>
          <w:sz w:val="24"/>
          <w:szCs w:val="24"/>
        </w:rPr>
        <w:t>此外，围绕眼底多模态数据质量与结构信息提取问题，申请人开展了一系列基础研究</w:t>
      </w:r>
      <w:r>
        <w:rPr>
          <w:rFonts w:hint="eastAsia" w:cs="宋体"/>
          <w:sz w:val="24"/>
          <w:szCs w:val="24"/>
        </w:rPr>
        <w:t>工作并被顺利接收，</w:t>
      </w:r>
      <w:r>
        <w:rPr>
          <w:rFonts w:cs="宋体"/>
          <w:sz w:val="24"/>
          <w:szCs w:val="24"/>
        </w:rPr>
        <w:t>针对低质量眼底影像中结构信息退化问题，提出结构感知Transformer增强网络</w:t>
      </w:r>
      <w:r>
        <w:rPr>
          <w:rFonts w:cs="宋体"/>
          <w:b/>
          <w:bCs/>
          <w:sz w:val="24"/>
          <w:szCs w:val="24"/>
        </w:rPr>
        <w:t>SAT-Net</w:t>
      </w:r>
      <w:r>
        <w:rPr>
          <w:rFonts w:cs="宋体"/>
          <w:sz w:val="24"/>
          <w:szCs w:val="24"/>
        </w:rPr>
        <w:t>（</w:t>
      </w:r>
      <w:r>
        <w:rPr>
          <w:rFonts w:cs="宋体"/>
          <w:i/>
          <w:iCs/>
          <w:sz w:val="24"/>
          <w:szCs w:val="24"/>
        </w:rPr>
        <w:t>TMM 2025</w:t>
      </w:r>
      <w:r>
        <w:rPr>
          <w:rFonts w:hint="eastAsia" w:cs="宋体"/>
          <w:i/>
          <w:iCs/>
          <w:sz w:val="24"/>
          <w:szCs w:val="24"/>
        </w:rPr>
        <w:t>，独立一作</w:t>
      </w:r>
      <w:r>
        <w:rPr>
          <w:rFonts w:cs="宋体"/>
          <w:sz w:val="24"/>
          <w:szCs w:val="24"/>
        </w:rPr>
        <w:t>），实现结构细节的有效恢复，为多模态数据质量提升提供基础支撑</w:t>
      </w:r>
      <w:r>
        <w:rPr>
          <w:rFonts w:hint="eastAsia" w:cs="宋体"/>
          <w:sz w:val="24"/>
          <w:szCs w:val="24"/>
        </w:rPr>
        <w:t>。</w:t>
      </w:r>
      <w:r>
        <w:rPr>
          <w:rFonts w:cs="宋体"/>
          <w:sz w:val="24"/>
          <w:szCs w:val="24"/>
        </w:rPr>
        <w:t>针对OCTA影像伪影干扰与质量评估割裂的问题，提出多任务学习框架</w:t>
      </w:r>
      <w:r>
        <w:rPr>
          <w:rFonts w:cs="宋体"/>
          <w:b/>
          <w:bCs/>
          <w:sz w:val="24"/>
          <w:szCs w:val="24"/>
        </w:rPr>
        <w:t>CCM-Net</w:t>
      </w:r>
      <w:r>
        <w:rPr>
          <w:rFonts w:cs="宋体"/>
          <w:sz w:val="24"/>
          <w:szCs w:val="24"/>
        </w:rPr>
        <w:t>（</w:t>
      </w:r>
      <w:r>
        <w:rPr>
          <w:rFonts w:cs="宋体"/>
          <w:i/>
          <w:iCs/>
          <w:sz w:val="24"/>
          <w:szCs w:val="24"/>
        </w:rPr>
        <w:t>ACM</w:t>
      </w:r>
      <w:r>
        <w:rPr>
          <w:rFonts w:hint="eastAsia" w:cs="宋体"/>
          <w:i/>
          <w:iCs/>
          <w:sz w:val="24"/>
          <w:szCs w:val="24"/>
        </w:rPr>
        <w:t xml:space="preserve"> </w:t>
      </w:r>
      <w:r>
        <w:rPr>
          <w:rFonts w:cs="宋体"/>
          <w:i/>
          <w:iCs/>
          <w:sz w:val="24"/>
          <w:szCs w:val="24"/>
        </w:rPr>
        <w:t>TOMM 2025</w:t>
      </w:r>
      <w:r>
        <w:rPr>
          <w:rFonts w:hint="eastAsia" w:cs="宋体"/>
          <w:i/>
          <w:iCs/>
          <w:sz w:val="24"/>
          <w:szCs w:val="24"/>
        </w:rPr>
        <w:t>，独立一作</w:t>
      </w:r>
      <w:r>
        <w:rPr>
          <w:rFonts w:cs="宋体"/>
          <w:sz w:val="24"/>
          <w:szCs w:val="24"/>
        </w:rPr>
        <w:t>），实现伪影分割与质量分类的协同优化，为多模态数据筛选与可靠性评估提供关键技术支撑</w:t>
      </w:r>
      <w:r>
        <w:rPr>
          <w:rFonts w:hint="eastAsia" w:cs="宋体"/>
          <w:sz w:val="24"/>
          <w:szCs w:val="24"/>
        </w:rPr>
        <w:t>。针对视网膜血管结构复杂、多尺度特征难以表征的问题，</w:t>
      </w:r>
      <w:r>
        <w:rPr>
          <w:rFonts w:cs="宋体"/>
          <w:sz w:val="24"/>
          <w:szCs w:val="24"/>
        </w:rPr>
        <w:t>提出</w:t>
      </w:r>
      <w:r>
        <w:rPr>
          <w:rFonts w:cs="宋体"/>
          <w:b/>
          <w:bCs/>
          <w:sz w:val="24"/>
          <w:szCs w:val="24"/>
        </w:rPr>
        <w:t>频域增强轻量化卷积网络</w:t>
      </w:r>
      <w:r>
        <w:rPr>
          <w:rFonts w:cs="宋体"/>
          <w:sz w:val="24"/>
          <w:szCs w:val="24"/>
        </w:rPr>
        <w:t>（</w:t>
      </w:r>
      <w:r>
        <w:rPr>
          <w:rFonts w:cs="宋体"/>
          <w:i/>
          <w:iCs/>
          <w:sz w:val="24"/>
          <w:szCs w:val="24"/>
        </w:rPr>
        <w:t>ACM</w:t>
      </w:r>
      <w:r>
        <w:rPr>
          <w:rFonts w:hint="eastAsia" w:cs="宋体"/>
          <w:i/>
          <w:iCs/>
          <w:sz w:val="24"/>
          <w:szCs w:val="24"/>
        </w:rPr>
        <w:t xml:space="preserve"> </w:t>
      </w:r>
      <w:r>
        <w:rPr>
          <w:rFonts w:cs="宋体"/>
          <w:i/>
          <w:iCs/>
          <w:sz w:val="24"/>
          <w:szCs w:val="24"/>
        </w:rPr>
        <w:t>TOMM 2025</w:t>
      </w:r>
      <w:r>
        <w:rPr>
          <w:rFonts w:hint="eastAsia" w:cs="宋体"/>
          <w:i/>
          <w:iCs/>
          <w:sz w:val="24"/>
          <w:szCs w:val="24"/>
        </w:rPr>
        <w:t>，独立一作</w:t>
      </w:r>
      <w:r>
        <w:rPr>
          <w:rFonts w:cs="宋体"/>
          <w:sz w:val="24"/>
          <w:szCs w:val="24"/>
        </w:rPr>
        <w:t>），实现高精度结构分割，为本项目多模态结构特征提取与数据构建奠定重要方法基础。针对眼底影像采集中运动模糊导致结构信息退化的问题，提出基于</w:t>
      </w:r>
      <w:r>
        <w:rPr>
          <w:rFonts w:cs="宋体"/>
          <w:b/>
          <w:bCs/>
          <w:sz w:val="24"/>
          <w:szCs w:val="24"/>
        </w:rPr>
        <w:t>多对抗优化与结构感知约束的无监督去模糊方法</w:t>
      </w:r>
      <w:r>
        <w:rPr>
          <w:rFonts w:hint="eastAsia" w:cs="宋体"/>
          <w:sz w:val="24"/>
          <w:szCs w:val="24"/>
        </w:rPr>
        <w:t>（</w:t>
      </w:r>
      <w:r>
        <w:rPr>
          <w:rFonts w:hint="eastAsia" w:cs="宋体"/>
          <w:i/>
          <w:iCs/>
          <w:sz w:val="24"/>
          <w:szCs w:val="24"/>
        </w:rPr>
        <w:t>TIP 2021，独立一作</w:t>
      </w:r>
      <w:r>
        <w:rPr>
          <w:rFonts w:hint="eastAsia" w:cs="宋体"/>
          <w:sz w:val="24"/>
          <w:szCs w:val="24"/>
        </w:rPr>
        <w:t>）</w:t>
      </w:r>
      <w:r>
        <w:rPr>
          <w:rFonts w:cs="宋体"/>
          <w:sz w:val="24"/>
          <w:szCs w:val="24"/>
        </w:rPr>
        <w:t>，实现无配对条件下的高质量结构恢复，为本项目多模态数据质量提升与可靠特征提取提供基础支撑。针对眼底影像结构复杂、细粒度特征难以有效建模的问题，提出融合Transformer与多尺度差异建模的级联网络</w:t>
      </w:r>
      <w:r>
        <w:rPr>
          <w:rFonts w:hint="eastAsia" w:cs="宋体"/>
          <w:b/>
          <w:bCs/>
          <w:sz w:val="24"/>
          <w:szCs w:val="24"/>
        </w:rPr>
        <w:t>TACLNet</w:t>
      </w:r>
      <w:r>
        <w:rPr>
          <w:rFonts w:hint="eastAsia" w:cs="宋体"/>
          <w:sz w:val="24"/>
          <w:szCs w:val="24"/>
        </w:rPr>
        <w:t>（</w:t>
      </w:r>
      <w:r>
        <w:rPr>
          <w:rFonts w:hint="eastAsia" w:cs="宋体"/>
          <w:i/>
          <w:iCs/>
          <w:sz w:val="24"/>
          <w:szCs w:val="24"/>
        </w:rPr>
        <w:t>JCST 2024，共同一作</w:t>
      </w:r>
      <w:r>
        <w:rPr>
          <w:rFonts w:hint="eastAsia" w:cs="宋体"/>
          <w:sz w:val="24"/>
          <w:szCs w:val="24"/>
        </w:rPr>
        <w:t>）</w:t>
      </w:r>
      <w:r>
        <w:rPr>
          <w:rFonts w:cs="宋体"/>
          <w:sz w:val="24"/>
          <w:szCs w:val="24"/>
        </w:rPr>
        <w:t>，实现全局与局部结构信息的协同提取，为本项目多模态结构表征与精准对齐提供关键技术支撑。</w:t>
      </w:r>
      <w:r>
        <w:rPr>
          <w:rFonts w:ascii="宋体" w:hAnsi="宋体" w:cs="宋体"/>
          <w:sz w:val="24"/>
          <w:szCs w:val="24"/>
        </w:rPr>
        <w:t>针对医学影像多源特征表达不足与融合效率不高的问题，提出层级特征交互与语义增强的深度融合方法</w:t>
      </w:r>
      <w:r>
        <w:rPr>
          <w:b/>
          <w:bCs/>
          <w:sz w:val="24"/>
          <w:szCs w:val="24"/>
        </w:rPr>
        <w:t>DB-HDFFN</w:t>
      </w:r>
      <w:r>
        <w:rPr>
          <w:rFonts w:hint="eastAsia" w:cs="宋体"/>
          <w:sz w:val="24"/>
          <w:szCs w:val="24"/>
        </w:rPr>
        <w:t>（</w:t>
      </w:r>
      <w:r>
        <w:rPr>
          <w:rFonts w:hint="eastAsia" w:cs="宋体"/>
          <w:i/>
          <w:iCs/>
          <w:sz w:val="24"/>
          <w:szCs w:val="24"/>
        </w:rPr>
        <w:t>BSCP 2026，独立一作</w:t>
      </w:r>
      <w:r>
        <w:rPr>
          <w:rFonts w:hint="eastAsia" w:cs="宋体"/>
          <w:sz w:val="24"/>
          <w:szCs w:val="24"/>
        </w:rPr>
        <w:t>）</w:t>
      </w:r>
      <w:r>
        <w:rPr>
          <w:rFonts w:ascii="宋体" w:hAnsi="宋体" w:cs="宋体"/>
          <w:sz w:val="24"/>
          <w:szCs w:val="24"/>
        </w:rPr>
        <w:t>，实现多尺度信息的有效整合，为本项目多模态异构数据统一建模与融合学习奠定方法基础。</w:t>
      </w:r>
    </w:p>
    <w:p w14:paraId="6A6B77F6">
      <w:pPr>
        <w:snapToGrid w:val="0"/>
        <w:spacing w:line="360" w:lineRule="auto"/>
        <w:ind w:firstLine="420"/>
        <w:rPr>
          <w:rFonts w:cs="宋体"/>
          <w:sz w:val="24"/>
          <w:szCs w:val="24"/>
        </w:rPr>
      </w:pPr>
      <w:r>
        <w:rPr>
          <w:rFonts w:hint="eastAsia" w:cs="宋体"/>
          <w:sz w:val="24"/>
          <w:szCs w:val="24"/>
        </w:rPr>
        <w:t>综上，申请人在多模态医学影像融合、多任务联合建模以及眼底影像数据质量提升等方面积累了系统性的研究基础，上述工作为本项目中</w:t>
      </w:r>
      <w:r>
        <w:rPr>
          <w:rFonts w:hint="eastAsia" w:cs="宋体"/>
          <w:b/>
          <w:bCs/>
          <w:sz w:val="24"/>
          <w:szCs w:val="24"/>
        </w:rPr>
        <w:t>多模态眼底数据融合、跨模态特征对齐及疗效预测模型构建</w:t>
      </w:r>
      <w:r>
        <w:rPr>
          <w:rFonts w:hint="eastAsia" w:cs="宋体"/>
          <w:sz w:val="24"/>
          <w:szCs w:val="24"/>
        </w:rPr>
        <w:t>提供了重要的理论方法和技术储备（图10）。</w:t>
      </w:r>
    </w:p>
    <w:p w14:paraId="73DE0DF7">
      <w:pPr>
        <w:snapToGrid w:val="0"/>
        <w:spacing w:line="360" w:lineRule="auto"/>
        <w:jc w:val="left"/>
        <w:rPr>
          <w:rFonts w:cs="宋体"/>
          <w:sz w:val="24"/>
          <w:szCs w:val="24"/>
        </w:rPr>
      </w:pPr>
      <w:r>
        <w:rPr>
          <w:rFonts w:hint="eastAsia" w:cs="宋体"/>
          <w:sz w:val="24"/>
          <w:szCs w:val="24"/>
        </w:rPr>
        <w:drawing>
          <wp:inline distT="0" distB="0" distL="114300" distR="114300">
            <wp:extent cx="5372100" cy="1441450"/>
            <wp:effectExtent l="0" t="0" r="0" b="6350"/>
            <wp:docPr id="31" name="图片 31"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片10"/>
                    <pic:cNvPicPr>
                      <a:picLocks noChangeAspect="1"/>
                    </pic:cNvPicPr>
                  </pic:nvPicPr>
                  <pic:blipFill>
                    <a:blip r:embed="rId14"/>
                    <a:stretch>
                      <a:fillRect/>
                    </a:stretch>
                  </pic:blipFill>
                  <pic:spPr>
                    <a:xfrm>
                      <a:off x="0" y="0"/>
                      <a:ext cx="5372100" cy="1441450"/>
                    </a:xfrm>
                    <a:prstGeom prst="rect">
                      <a:avLst/>
                    </a:prstGeom>
                  </pic:spPr>
                </pic:pic>
              </a:graphicData>
            </a:graphic>
          </wp:inline>
        </w:drawing>
      </w:r>
    </w:p>
    <w:p w14:paraId="40F6D595">
      <w:pPr>
        <w:snapToGrid w:val="0"/>
        <w:spacing w:line="360" w:lineRule="auto"/>
        <w:jc w:val="center"/>
        <w:rPr>
          <w:sz w:val="24"/>
          <w:szCs w:val="24"/>
        </w:rPr>
      </w:pPr>
      <w:r>
        <w:rPr>
          <w:rFonts w:hint="eastAsia"/>
          <w:sz w:val="24"/>
          <w:szCs w:val="24"/>
        </w:rPr>
        <w:t>图 10 多模态融合领域研究基础</w:t>
      </w:r>
    </w:p>
    <w:p w14:paraId="76C13E6F">
      <w:pPr>
        <w:snapToGrid w:val="0"/>
        <w:spacing w:line="360" w:lineRule="auto"/>
        <w:jc w:val="center"/>
        <w:rPr>
          <w:sz w:val="24"/>
          <w:szCs w:val="24"/>
        </w:rPr>
      </w:pPr>
    </w:p>
    <w:p w14:paraId="3E00BFA2">
      <w:pPr>
        <w:numPr>
          <w:ilvl w:val="0"/>
          <w:numId w:val="2"/>
        </w:numPr>
        <w:snapToGrid w:val="0"/>
        <w:spacing w:line="360" w:lineRule="auto"/>
        <w:ind w:firstLine="420"/>
        <w:rPr>
          <w:rFonts w:cs="宋体"/>
          <w:sz w:val="24"/>
          <w:szCs w:val="24"/>
        </w:rPr>
      </w:pPr>
      <w:r>
        <w:rPr>
          <w:rFonts w:hint="eastAsia" w:cs="宋体"/>
          <w:b/>
          <w:bCs/>
          <w:sz w:val="24"/>
          <w:szCs w:val="24"/>
        </w:rPr>
        <w:t>疗效预测领域：</w:t>
      </w:r>
      <w:r>
        <w:rPr>
          <w:rFonts w:cs="宋体"/>
          <w:sz w:val="24"/>
          <w:szCs w:val="24"/>
        </w:rPr>
        <w:t>在眼底疾病疗效预测与临床决策支持领域，申请人开展了一系列研究工作。针对糖尿病视网膜病变早期筛查与疾病进展预测问题，提出深度学习系统</w:t>
      </w:r>
      <w:r>
        <w:rPr>
          <w:rFonts w:cs="宋体"/>
          <w:b/>
          <w:bCs/>
          <w:sz w:val="24"/>
          <w:szCs w:val="24"/>
        </w:rPr>
        <w:t>DeepDR</w:t>
      </w:r>
      <w:r>
        <w:rPr>
          <w:rFonts w:hint="eastAsia" w:cs="宋体"/>
          <w:sz w:val="24"/>
          <w:szCs w:val="24"/>
        </w:rPr>
        <w:t>（</w:t>
      </w:r>
      <w:r>
        <w:rPr>
          <w:rFonts w:hint="eastAsia" w:cs="宋体"/>
          <w:i/>
          <w:iCs/>
          <w:sz w:val="24"/>
          <w:szCs w:val="24"/>
        </w:rPr>
        <w:t>Nature Communications 2021</w:t>
      </w:r>
      <w:r>
        <w:rPr>
          <w:rFonts w:hint="eastAsia" w:cs="宋体"/>
          <w:sz w:val="24"/>
          <w:szCs w:val="24"/>
        </w:rPr>
        <w:t>）</w:t>
      </w:r>
      <w:r>
        <w:rPr>
          <w:rFonts w:cs="宋体"/>
          <w:sz w:val="24"/>
          <w:szCs w:val="24"/>
        </w:rPr>
        <w:t>，构建包含图像质量评估、病灶检测与疾病分级的多任务学习框架，实现对视网膜病变从早期到晚期的自动化识别与风险评估，为大规模眼底疾病筛查与智能辅助诊疗提供了重要技术支撑。</w:t>
      </w:r>
    </w:p>
    <w:p w14:paraId="16477596">
      <w:pPr>
        <w:snapToGrid w:val="0"/>
        <w:spacing w:line="360" w:lineRule="auto"/>
        <w:jc w:val="center"/>
        <w:rPr>
          <w:rFonts w:cs="宋体"/>
          <w:sz w:val="24"/>
          <w:szCs w:val="24"/>
        </w:rPr>
      </w:pPr>
      <w:r>
        <w:rPr>
          <w:rFonts w:hint="eastAsia" w:cs="宋体"/>
          <w:sz w:val="24"/>
          <w:szCs w:val="24"/>
        </w:rPr>
        <w:drawing>
          <wp:inline distT="0" distB="0" distL="114300" distR="114300">
            <wp:extent cx="4111625" cy="2903220"/>
            <wp:effectExtent l="0" t="0" r="0" b="5080"/>
            <wp:docPr id="32" name="图片 32"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11"/>
                    <pic:cNvPicPr>
                      <a:picLocks noChangeAspect="1"/>
                    </pic:cNvPicPr>
                  </pic:nvPicPr>
                  <pic:blipFill>
                    <a:blip r:embed="rId15"/>
                    <a:stretch>
                      <a:fillRect/>
                    </a:stretch>
                  </pic:blipFill>
                  <pic:spPr>
                    <a:xfrm>
                      <a:off x="0" y="0"/>
                      <a:ext cx="4111625" cy="2903220"/>
                    </a:xfrm>
                    <a:prstGeom prst="rect">
                      <a:avLst/>
                    </a:prstGeom>
                  </pic:spPr>
                </pic:pic>
              </a:graphicData>
            </a:graphic>
          </wp:inline>
        </w:drawing>
      </w:r>
    </w:p>
    <w:p w14:paraId="03F74BAD">
      <w:pPr>
        <w:snapToGrid w:val="0"/>
        <w:spacing w:line="360" w:lineRule="auto"/>
        <w:jc w:val="center"/>
        <w:rPr>
          <w:sz w:val="24"/>
          <w:szCs w:val="24"/>
        </w:rPr>
      </w:pPr>
      <w:r>
        <w:rPr>
          <w:rFonts w:hint="eastAsia"/>
          <w:sz w:val="24"/>
          <w:szCs w:val="24"/>
        </w:rPr>
        <w:t>图 11 疗效预测领域研究基础</w:t>
      </w:r>
    </w:p>
    <w:p w14:paraId="65CF9FC7">
      <w:pPr>
        <w:snapToGrid w:val="0"/>
        <w:spacing w:line="360" w:lineRule="auto"/>
        <w:jc w:val="center"/>
        <w:rPr>
          <w:sz w:val="24"/>
          <w:szCs w:val="24"/>
        </w:rPr>
      </w:pPr>
    </w:p>
    <w:p w14:paraId="625CAE83">
      <w:pPr>
        <w:snapToGrid w:val="0"/>
        <w:spacing w:line="360" w:lineRule="auto"/>
        <w:ind w:firstLine="420"/>
        <w:rPr>
          <w:rFonts w:cs="宋体"/>
          <w:sz w:val="24"/>
          <w:szCs w:val="24"/>
        </w:rPr>
      </w:pPr>
      <w:r>
        <w:rPr>
          <w:rFonts w:cs="宋体"/>
          <w:sz w:val="24"/>
          <w:szCs w:val="24"/>
        </w:rPr>
        <w:t>在眼底疾病疗效预测方面，申请人联合多家医院开展前瞻性多中心研究，提出基于深度学习的</w:t>
      </w:r>
      <w:r>
        <w:rPr>
          <w:rFonts w:cs="宋体"/>
          <w:b/>
          <w:bCs/>
          <w:sz w:val="24"/>
          <w:szCs w:val="24"/>
        </w:rPr>
        <w:t>KongMing</w:t>
      </w:r>
      <w:r>
        <w:rPr>
          <w:rFonts w:cs="宋体"/>
          <w:sz w:val="24"/>
          <w:szCs w:val="24"/>
        </w:rPr>
        <w:t>模型</w:t>
      </w:r>
      <w:r>
        <w:rPr>
          <w:rFonts w:hint="eastAsia" w:cs="宋体"/>
          <w:sz w:val="24"/>
          <w:szCs w:val="24"/>
        </w:rPr>
        <w:t>（</w:t>
      </w:r>
      <w:r>
        <w:rPr>
          <w:rFonts w:hint="eastAsia" w:cs="宋体"/>
          <w:i/>
          <w:iCs/>
          <w:sz w:val="24"/>
          <w:szCs w:val="24"/>
        </w:rPr>
        <w:t xml:space="preserve">The </w:t>
      </w:r>
      <w:r>
        <w:rPr>
          <w:rFonts w:hint="eastAsia"/>
          <w:i/>
          <w:iCs/>
          <w:sz w:val="24"/>
          <w:szCs w:val="24"/>
        </w:rPr>
        <w:t>Lancet Digit Health 2026，</w:t>
      </w:r>
      <w:r>
        <w:rPr>
          <w:rFonts w:hint="eastAsia" w:cs="宋体"/>
          <w:i/>
          <w:iCs/>
          <w:sz w:val="24"/>
          <w:szCs w:val="24"/>
        </w:rPr>
        <w:t>共同一作</w:t>
      </w:r>
      <w:r>
        <w:rPr>
          <w:rFonts w:hint="eastAsia" w:cs="宋体"/>
          <w:sz w:val="24"/>
          <w:szCs w:val="24"/>
        </w:rPr>
        <w:t>）</w:t>
      </w:r>
      <w:r>
        <w:rPr>
          <w:rFonts w:cs="宋体"/>
          <w:sz w:val="24"/>
          <w:szCs w:val="24"/>
        </w:rPr>
        <w:t>，构建病灶感知的Transformer多任务预测框架，实现抗VEGF治疗后视觉功能变化预测、视力值回归预测以及治疗后 OCT 影像生成等多维度疗效评估，在多中心数据验证中取得 AUC 超过 0.94 的优异性能，为个体化治疗决策提供了重要依据。</w:t>
      </w:r>
    </w:p>
    <w:p w14:paraId="279EFC0E">
      <w:pPr>
        <w:snapToGrid w:val="0"/>
        <w:spacing w:line="360" w:lineRule="auto"/>
        <w:ind w:firstLine="420"/>
        <w:rPr>
          <w:sz w:val="24"/>
          <w:szCs w:val="24"/>
        </w:rPr>
      </w:pPr>
      <w:r>
        <w:rPr>
          <w:rFonts w:cs="宋体"/>
          <w:sz w:val="24"/>
          <w:szCs w:val="24"/>
        </w:rPr>
        <w:t>在眼病发生风险预测与干预效果评估方面，申请人针对儿童近视发病风险难以提前识别及干预疗效评估不足的问题，构建了基于深度学习的近视发病预测与干预效果评估模型</w:t>
      </w:r>
      <w:r>
        <w:rPr>
          <w:rFonts w:hint="eastAsia" w:cs="宋体"/>
          <w:sz w:val="24"/>
          <w:szCs w:val="24"/>
        </w:rPr>
        <w:t>（</w:t>
      </w:r>
      <w:r>
        <w:rPr>
          <w:rFonts w:hint="eastAsia" w:cs="宋体"/>
          <w:i/>
          <w:iCs/>
          <w:sz w:val="24"/>
          <w:szCs w:val="24"/>
        </w:rPr>
        <w:t>npj Digital Medicine 2024，共同一作</w:t>
      </w:r>
      <w:r>
        <w:rPr>
          <w:rFonts w:hint="eastAsia" w:cs="宋体"/>
          <w:sz w:val="24"/>
          <w:szCs w:val="24"/>
        </w:rPr>
        <w:t>）</w:t>
      </w:r>
      <w:r>
        <w:rPr>
          <w:rFonts w:cs="宋体"/>
          <w:sz w:val="24"/>
          <w:szCs w:val="24"/>
        </w:rPr>
        <w:t>，实现对</w:t>
      </w:r>
      <w:r>
        <w:rPr>
          <w:rFonts w:hint="eastAsia" w:cs="宋体"/>
          <w:sz w:val="24"/>
          <w:szCs w:val="24"/>
        </w:rPr>
        <w:t>青少年</w:t>
      </w:r>
      <w:r>
        <w:rPr>
          <w:rFonts w:cs="宋体"/>
          <w:sz w:val="24"/>
          <w:szCs w:val="24"/>
        </w:rPr>
        <w:t>近视发生风险的早期预测及干预疗效的定量评估。该研究为开展眼底疾病疗效预测与个体化治疗效果评估提供了重要方法基础</w:t>
      </w:r>
      <w:r>
        <w:rPr>
          <w:rFonts w:hint="eastAsia" w:cs="宋体"/>
          <w:sz w:val="24"/>
          <w:szCs w:val="24"/>
        </w:rPr>
        <w:t>（图11）</w:t>
      </w:r>
      <w:r>
        <w:rPr>
          <w:rFonts w:cs="宋体"/>
          <w:sz w:val="24"/>
          <w:szCs w:val="24"/>
        </w:rPr>
        <w:t>。</w:t>
      </w:r>
    </w:p>
    <w:p w14:paraId="06290925">
      <w:pPr>
        <w:snapToGrid w:val="0"/>
        <w:spacing w:line="360" w:lineRule="auto"/>
        <w:ind w:firstLine="420"/>
        <w:rPr>
          <w:rFonts w:cs="宋体"/>
          <w:sz w:val="24"/>
          <w:szCs w:val="24"/>
        </w:rPr>
      </w:pPr>
      <w:r>
        <w:rPr>
          <w:rFonts w:hint="eastAsia" w:cs="宋体"/>
          <w:b/>
          <w:bCs/>
          <w:sz w:val="24"/>
          <w:szCs w:val="24"/>
        </w:rPr>
        <w:t>（4）医学大模型领域：</w:t>
      </w:r>
      <w:r>
        <w:rPr>
          <w:rFonts w:cs="宋体"/>
          <w:sz w:val="24"/>
          <w:szCs w:val="24"/>
        </w:rPr>
        <w:t>在医学大模型领域，申请人围绕眼科多模态智能分析开展了系统研究。针对传统医学人工智能模型在多模态数据利用不足、跨任务泛化能力有限等问题，申请人</w:t>
      </w:r>
      <w:r>
        <w:rPr>
          <w:rFonts w:hint="eastAsia" w:cs="宋体"/>
          <w:sz w:val="24"/>
          <w:szCs w:val="24"/>
        </w:rPr>
        <w:t>参与</w:t>
      </w:r>
      <w:r>
        <w:rPr>
          <w:rFonts w:cs="宋体"/>
          <w:sz w:val="24"/>
          <w:szCs w:val="24"/>
        </w:rPr>
        <w:t>开展了以</w:t>
      </w:r>
      <w:r>
        <w:rPr>
          <w:rFonts w:hint="eastAsia"/>
          <w:b/>
          <w:bCs/>
          <w:sz w:val="24"/>
          <w:szCs w:val="24"/>
        </w:rPr>
        <w:t>EyeFM</w:t>
      </w:r>
      <w:r>
        <w:rPr>
          <w:rFonts w:hint="eastAsia"/>
          <w:sz w:val="24"/>
          <w:szCs w:val="24"/>
        </w:rPr>
        <w:t>（</w:t>
      </w:r>
      <w:r>
        <w:rPr>
          <w:rFonts w:hint="eastAsia"/>
          <w:i/>
          <w:iCs/>
          <w:sz w:val="24"/>
          <w:szCs w:val="24"/>
        </w:rPr>
        <w:t>Nature Medicine 2025</w:t>
      </w:r>
      <w:r>
        <w:rPr>
          <w:rFonts w:hint="eastAsia"/>
          <w:sz w:val="24"/>
          <w:szCs w:val="24"/>
        </w:rPr>
        <w:t>）</w:t>
      </w:r>
      <w:r>
        <w:rPr>
          <w:rFonts w:cs="宋体"/>
          <w:sz w:val="24"/>
          <w:szCs w:val="24"/>
        </w:rPr>
        <w:t>为代表的医学基础模型研究，构建面向眼科领域的大规模预训练模型框架。该研究通过整合眼底影像等多模态数据，利用自监督学习与大规模预训练策略，学习通用的眼科视觉表征，实现对多种眼科任务的统一建模与迁移应用能力。相关研究为多模态医学数据的统一表示学习与跨任务知识共享提供了重要方法支撑，为本项目开展多模态信息融合、疾病疗效预测模型构建及智能体研发奠定了良好的技术基础。针对医学图像生成中病理特征刻画不足与解剖结构对齐不精确的问题，申请人</w:t>
      </w:r>
      <w:r>
        <w:rPr>
          <w:rFonts w:hint="eastAsia" w:cs="宋体"/>
          <w:sz w:val="24"/>
          <w:szCs w:val="24"/>
        </w:rPr>
        <w:t>正在</w:t>
      </w:r>
      <w:r>
        <w:rPr>
          <w:rFonts w:cs="宋体"/>
          <w:sz w:val="24"/>
          <w:szCs w:val="24"/>
        </w:rPr>
        <w:t>开展医学图像生成大模型研究，实现高保真医学影像生成，有效缓解高质量标注数据匮乏及罕见病样本稀缺问题，为本项目后续大模型开发提供了重要的数据增强基础与表征能力支撑。</w:t>
      </w:r>
      <w:r>
        <w:rPr>
          <w:rFonts w:hint="eastAsia" w:cs="宋体"/>
          <w:sz w:val="24"/>
          <w:szCs w:val="24"/>
        </w:rPr>
        <w:t>此外，2025年获批的深圳市医学研究专项揭榜挂帅项目“人工智能赋能的复杂疾病系统解析及干预策略研究”，也为本项目的顺利实施提供了坚实的数据基础与关键技术支撑（图12）。</w:t>
      </w:r>
    </w:p>
    <w:p w14:paraId="488CF405">
      <w:pPr>
        <w:snapToGrid w:val="0"/>
        <w:spacing w:line="360" w:lineRule="auto"/>
        <w:jc w:val="center"/>
        <w:rPr>
          <w:rFonts w:cs="宋体"/>
          <w:sz w:val="24"/>
          <w:szCs w:val="24"/>
        </w:rPr>
      </w:pPr>
      <w:r>
        <w:rPr>
          <w:rFonts w:hint="eastAsia" w:cs="宋体"/>
          <w:sz w:val="24"/>
          <w:szCs w:val="24"/>
        </w:rPr>
        <w:drawing>
          <wp:inline distT="0" distB="0" distL="114300" distR="114300">
            <wp:extent cx="2859405" cy="2832100"/>
            <wp:effectExtent l="0" t="0" r="10795" b="0"/>
            <wp:docPr id="33" name="图片 33"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2"/>
                    <pic:cNvPicPr>
                      <a:picLocks noChangeAspect="1"/>
                    </pic:cNvPicPr>
                  </pic:nvPicPr>
                  <pic:blipFill>
                    <a:blip r:embed="rId16"/>
                    <a:stretch>
                      <a:fillRect/>
                    </a:stretch>
                  </pic:blipFill>
                  <pic:spPr>
                    <a:xfrm>
                      <a:off x="0" y="0"/>
                      <a:ext cx="2859405" cy="2832100"/>
                    </a:xfrm>
                    <a:prstGeom prst="rect">
                      <a:avLst/>
                    </a:prstGeom>
                  </pic:spPr>
                </pic:pic>
              </a:graphicData>
            </a:graphic>
          </wp:inline>
        </w:drawing>
      </w:r>
    </w:p>
    <w:p w14:paraId="60EFCE27">
      <w:pPr>
        <w:snapToGrid w:val="0"/>
        <w:spacing w:line="360" w:lineRule="auto"/>
        <w:jc w:val="center"/>
        <w:rPr>
          <w:sz w:val="24"/>
          <w:szCs w:val="24"/>
        </w:rPr>
      </w:pPr>
      <w:r>
        <w:rPr>
          <w:rFonts w:hint="eastAsia"/>
          <w:sz w:val="24"/>
          <w:szCs w:val="24"/>
        </w:rPr>
        <w:t>图 12 医学大模型领域研究基础</w:t>
      </w:r>
    </w:p>
    <w:p w14:paraId="758FE492">
      <w:pPr>
        <w:snapToGrid w:val="0"/>
        <w:spacing w:line="360" w:lineRule="auto"/>
        <w:jc w:val="center"/>
        <w:rPr>
          <w:sz w:val="24"/>
          <w:szCs w:val="24"/>
        </w:rPr>
      </w:pPr>
    </w:p>
    <w:p w14:paraId="02762971">
      <w:pPr>
        <w:snapToGrid w:val="0"/>
        <w:spacing w:line="360" w:lineRule="auto"/>
        <w:ind w:firstLine="420"/>
        <w:rPr>
          <w:rFonts w:cs="宋体"/>
          <w:sz w:val="24"/>
          <w:szCs w:val="24"/>
        </w:rPr>
      </w:pPr>
      <w:r>
        <w:rPr>
          <w:rFonts w:hint="eastAsia" w:cs="宋体"/>
          <w:b/>
          <w:bCs/>
          <w:sz w:val="24"/>
          <w:szCs w:val="24"/>
        </w:rPr>
        <w:t>（5）临床验证基础：</w:t>
      </w:r>
      <w:r>
        <w:rPr>
          <w:rFonts w:hint="eastAsia"/>
          <w:sz w:val="24"/>
          <w:szCs w:val="24"/>
        </w:rPr>
        <w:t>在致盲性眼底疾病的临床应用与验证方面，申请人与上海市第六人民医院、北京大学深圳医院及北京协和医院等多家知名医疗机构建立了长期稳定的合作关系，并围绕AMD、DR、DME等致盲性眼底疾病开展了大量临床数据分析、算法验证及实际应用研究。相关研究成果在真实临床环境中进行了系统验证，在提升疾病筛查效率、优化医疗资源配置及降低医生诊疗负担等方面取得了良好效果，体现了人工智能技术在医疗领域的重要应用价值。同时，围绕相关技术成果，团队已开展多项成果转化工作并申请了一系列发明专利，为本项目后续开展临床验证与推广应用奠定了坚实基础。</w:t>
      </w:r>
    </w:p>
    <w:p w14:paraId="0234647B">
      <w:pPr>
        <w:snapToGrid w:val="0"/>
        <w:spacing w:line="440" w:lineRule="exact"/>
        <w:ind w:firstLine="482" w:firstLineChars="200"/>
        <w:rPr>
          <w:rFonts w:cs="楷体_GB2312"/>
          <w:b/>
          <w:bCs/>
          <w:sz w:val="24"/>
          <w:szCs w:val="24"/>
        </w:rPr>
      </w:pPr>
      <w:r>
        <w:rPr>
          <w:rFonts w:hint="eastAsia" w:cs="楷体_GB2312"/>
          <w:b/>
          <w:bCs/>
          <w:sz w:val="24"/>
          <w:szCs w:val="24"/>
        </w:rPr>
        <w:t>3.1.2 可行性分析</w:t>
      </w:r>
    </w:p>
    <w:p w14:paraId="1B2AC5E9">
      <w:pPr>
        <w:snapToGrid w:val="0"/>
        <w:spacing w:line="440" w:lineRule="exact"/>
        <w:ind w:firstLine="482" w:firstLineChars="200"/>
        <w:rPr>
          <w:rFonts w:cs="楷体_GB2312"/>
          <w:b/>
          <w:bCs/>
          <w:sz w:val="24"/>
          <w:szCs w:val="24"/>
        </w:rPr>
      </w:pPr>
      <w:r>
        <w:rPr>
          <w:rFonts w:hint="eastAsia" w:cs="楷体_GB2312"/>
          <w:b/>
          <w:bCs/>
          <w:sz w:val="24"/>
          <w:szCs w:val="24"/>
        </w:rPr>
        <w:t>3.1.2.1 研究目标及研究内容具备良好的可行性</w:t>
      </w:r>
    </w:p>
    <w:p w14:paraId="1E8C368B">
      <w:pPr>
        <w:snapToGrid w:val="0"/>
        <w:spacing w:line="440" w:lineRule="exact"/>
        <w:ind w:firstLine="480" w:firstLineChars="200"/>
        <w:rPr>
          <w:rFonts w:cs="楷体_GB2312"/>
          <w:sz w:val="24"/>
          <w:szCs w:val="24"/>
        </w:rPr>
      </w:pPr>
      <w:r>
        <w:rPr>
          <w:rFonts w:hint="eastAsia" w:cs="楷体_GB2312"/>
          <w:sz w:val="24"/>
          <w:szCs w:val="24"/>
        </w:rPr>
        <w:t>本项目以致盲性眼底疾病疗效预测为核心，围绕多模态数据融合与智能决策支持展开研究，目标明确、路径清晰，整体可行性良好。数据层面，依托北京协和医院、上海市第六人民医院及北京大学深圳医院等合作单位，已积累覆盖AMD、DME和DR等多种疾病的大规模多时序多模态临床数据，为模型构建与验证提供坚实支撑。技术层面，项目所涉及的多模态缺失补全、跨模态语义对齐、稀疏混合专家融合及Mamba2-UMamba长时序预测等关键技术，均建立在深度学习与医学多模态大模型现有研究成果之上，具备明确的技术实现路径。验证层面，通过模块化智能体架构与多层级临床验证体系，可系统评估模型的性能表现与临床应用价值。综上，本项目在数据基础、技术路线与验证条件等方面均有充分保障，研究内容具备良好的可行性。</w:t>
      </w:r>
    </w:p>
    <w:p w14:paraId="1A5533F3">
      <w:pPr>
        <w:snapToGrid w:val="0"/>
        <w:spacing w:line="440" w:lineRule="exact"/>
        <w:ind w:firstLine="482" w:firstLineChars="200"/>
        <w:rPr>
          <w:rFonts w:cs="楷体_GB2312"/>
          <w:b/>
          <w:bCs/>
          <w:sz w:val="24"/>
          <w:szCs w:val="24"/>
        </w:rPr>
      </w:pPr>
      <w:r>
        <w:rPr>
          <w:rFonts w:hint="eastAsia" w:cs="楷体_GB2312"/>
          <w:b/>
          <w:bCs/>
          <w:sz w:val="24"/>
          <w:szCs w:val="24"/>
        </w:rPr>
        <w:t>3.1.2.2 研究方法和技术路线切实可行</w:t>
      </w:r>
    </w:p>
    <w:p w14:paraId="67657F55">
      <w:pPr>
        <w:snapToGrid w:val="0"/>
        <w:spacing w:line="440" w:lineRule="exact"/>
        <w:ind w:firstLine="480" w:firstLineChars="200"/>
        <w:rPr>
          <w:rFonts w:cs="楷体_GB2312"/>
          <w:sz w:val="24"/>
          <w:szCs w:val="24"/>
        </w:rPr>
      </w:pPr>
      <w:r>
        <w:rPr>
          <w:rFonts w:hint="eastAsia" w:cs="楷体_GB2312"/>
          <w:sz w:val="24"/>
          <w:szCs w:val="24"/>
        </w:rPr>
        <w:t>本项目围绕致盲性眼底疾病长期疗效预测的关键问题，构建多模态数据补全与融合、长时序动态建模、多疾病多任务智能体与临床验证评估一体化技术路线，形成从数据构建、模型设计到临床验证的完整研究闭环。所采用方法均基于成熟的深度学习、多模态融合及医学大模型技术，并结合临床真实场景进行针对性优化，技术路径清晰、实现步骤明确，能够有效支撑研究目标的达成。</w:t>
      </w:r>
    </w:p>
    <w:p w14:paraId="6F6A2104">
      <w:pPr>
        <w:snapToGrid w:val="0"/>
        <w:spacing w:line="440" w:lineRule="exact"/>
        <w:ind w:firstLine="482" w:firstLineChars="200"/>
        <w:rPr>
          <w:rFonts w:cs="楷体_GB2312"/>
          <w:b/>
          <w:bCs/>
          <w:sz w:val="24"/>
          <w:szCs w:val="24"/>
        </w:rPr>
      </w:pPr>
      <w:r>
        <w:rPr>
          <w:rFonts w:hint="eastAsia" w:cs="楷体_GB2312"/>
          <w:b/>
          <w:bCs/>
          <w:sz w:val="24"/>
          <w:szCs w:val="24"/>
        </w:rPr>
        <w:t>（1）致盲性眼底疾病多时序多模态数据集构建与预处理切实可行</w:t>
      </w:r>
    </w:p>
    <w:p w14:paraId="4F810227">
      <w:pPr>
        <w:snapToGrid w:val="0"/>
        <w:spacing w:line="440" w:lineRule="exact"/>
        <w:ind w:firstLine="480" w:firstLineChars="200"/>
        <w:rPr>
          <w:rFonts w:cs="楷体_GB2312"/>
          <w:sz w:val="24"/>
          <w:szCs w:val="24"/>
        </w:rPr>
      </w:pPr>
      <w:r>
        <w:rPr>
          <w:rFonts w:hint="eastAsia" w:cs="楷体_GB2312"/>
          <w:sz w:val="24"/>
          <w:szCs w:val="24"/>
        </w:rPr>
        <w:t>本项目依托北京协和医院、上海市第六人民医院及北京大学深圳医院等多家三甲医院的长期合作基础，已积累涵盖AMD、DME 与DR等致盲性眼底疾病的大规模多中心多模态临床数据，包括彩照、OCT、FFA等影像数据及相关临床指标。通过统一的数据标准化流程、质量控制机制及多模态对齐策略，可实现不同来源数据的规范化整合与高质量预处理，为后续多模态建模与疗效预测提供可靠的数据基础。相关数据采集和处理流程已在前期研究中得到验证，因此本部分研究内容具有良好的实施基础。</w:t>
      </w:r>
    </w:p>
    <w:p w14:paraId="5DCCCEB0">
      <w:pPr>
        <w:snapToGrid w:val="0"/>
        <w:spacing w:line="440" w:lineRule="exact"/>
        <w:ind w:firstLine="482" w:firstLineChars="200"/>
        <w:rPr>
          <w:rFonts w:cs="楷体_GB2312"/>
          <w:b/>
          <w:bCs/>
          <w:sz w:val="24"/>
          <w:szCs w:val="24"/>
        </w:rPr>
      </w:pPr>
      <w:r>
        <w:rPr>
          <w:rFonts w:hint="eastAsia" w:cs="楷体_GB2312"/>
          <w:b/>
          <w:bCs/>
          <w:sz w:val="24"/>
          <w:szCs w:val="24"/>
        </w:rPr>
        <w:t>（2）基于潜在生成与稀疏专家机制的多模态缺失补全与特征融合切实可行</w:t>
      </w:r>
    </w:p>
    <w:p w14:paraId="78D838B4">
      <w:pPr>
        <w:snapToGrid w:val="0"/>
        <w:spacing w:line="440" w:lineRule="exact"/>
        <w:ind w:firstLine="480" w:firstLineChars="200"/>
        <w:rPr>
          <w:rFonts w:cs="楷体_GB2312"/>
          <w:sz w:val="24"/>
          <w:szCs w:val="24"/>
        </w:rPr>
      </w:pPr>
      <w:r>
        <w:rPr>
          <w:rFonts w:hint="eastAsia" w:cs="楷体_GB2312"/>
          <w:sz w:val="24"/>
          <w:szCs w:val="24"/>
        </w:rPr>
        <w:t>针对临床随访中普遍存在的模态缺失与数据异构问题，本项目构建跨模态语义对齐模型，结合潜在生成模型与稀疏混合专家机制，实现多模态数据的高效补全与特征融合。所采用技术均源于当前成熟的生成式模型、对比学习及稀疏专家体系，能够在统一潜在空间中建立模态间语义关联，实现信息互补与协同表示。该技术路径在现有研究中已有充分验证，具备明确的实现可行性，可为后续疗效预测模型提供稳定、高质量的多模态特征输入。</w:t>
      </w:r>
    </w:p>
    <w:p w14:paraId="6A933F25">
      <w:pPr>
        <w:snapToGrid w:val="0"/>
        <w:spacing w:line="440" w:lineRule="exact"/>
        <w:ind w:firstLine="482" w:firstLineChars="200"/>
        <w:rPr>
          <w:rFonts w:cs="楷体_GB2312"/>
          <w:b/>
          <w:bCs/>
          <w:sz w:val="24"/>
          <w:szCs w:val="24"/>
        </w:rPr>
      </w:pPr>
      <w:r>
        <w:rPr>
          <w:rFonts w:hint="eastAsia" w:cs="楷体_GB2312"/>
          <w:b/>
          <w:bCs/>
          <w:sz w:val="24"/>
          <w:szCs w:val="24"/>
        </w:rPr>
        <w:t>（3）基于Mamba与医疗大模型协同的长时序动态演变预测切实可行</w:t>
      </w:r>
    </w:p>
    <w:p w14:paraId="61921BD8">
      <w:pPr>
        <w:snapToGrid w:val="0"/>
        <w:spacing w:line="440" w:lineRule="exact"/>
        <w:ind w:firstLine="480" w:firstLineChars="200"/>
        <w:rPr>
          <w:rFonts w:cs="楷体_GB2312"/>
          <w:sz w:val="24"/>
          <w:szCs w:val="24"/>
        </w:rPr>
      </w:pPr>
      <w:r>
        <w:rPr>
          <w:rFonts w:hint="eastAsia" w:cs="楷体_GB2312"/>
          <w:sz w:val="24"/>
          <w:szCs w:val="24"/>
        </w:rPr>
        <w:t>针对眼底疾病长期随访中存在的不规则时间间隔与复杂病程演变问题，本项目设计Mamba2-UMamba双流时序建模架构，通过宏观病程趋势建模与微观病灶演变分析相结合，实现疾病长期演化规律的精准建模。同时引入医疗视觉语言大模型作为知识锚点，通过参数高效微调实现医学知识引导的多任务协同预测，提升长时序疗效预测的稳定性与医学合理性。该技术路径充分融合前沿时序建模方法与医疗大模型研究成果，在算法实现与计算资源层面均具备可行性。</w:t>
      </w:r>
    </w:p>
    <w:p w14:paraId="242F8175">
      <w:pPr>
        <w:snapToGrid w:val="0"/>
        <w:spacing w:line="440" w:lineRule="exact"/>
        <w:ind w:firstLine="482" w:firstLineChars="200"/>
        <w:rPr>
          <w:rFonts w:cs="楷体_GB2312"/>
          <w:b/>
          <w:bCs/>
          <w:sz w:val="24"/>
          <w:szCs w:val="24"/>
        </w:rPr>
      </w:pPr>
      <w:r>
        <w:rPr>
          <w:rFonts w:hint="eastAsia" w:cs="楷体_GB2312"/>
          <w:b/>
          <w:bCs/>
          <w:sz w:val="24"/>
          <w:szCs w:val="24"/>
        </w:rPr>
        <w:t>（4）基于大语言模型的多疾病多任务疗效预测智能体构建切实可行</w:t>
      </w:r>
    </w:p>
    <w:p w14:paraId="11205815">
      <w:pPr>
        <w:snapToGrid w:val="0"/>
        <w:spacing w:line="440" w:lineRule="exact"/>
        <w:ind w:firstLine="480" w:firstLineChars="200"/>
        <w:rPr>
          <w:rFonts w:cs="楷体_GB2312"/>
          <w:sz w:val="24"/>
          <w:szCs w:val="24"/>
        </w:rPr>
      </w:pPr>
      <w:r>
        <w:rPr>
          <w:rFonts w:hint="eastAsia" w:cs="楷体_GB2312"/>
          <w:sz w:val="24"/>
          <w:szCs w:val="24"/>
        </w:rPr>
        <w:t>在疗效预测模型基础上，本项目进一步构建模块化医疗智能体系统，通过大语言模型驱动的推理循环机制实现多模块协同工作。在架构设计上，采用模块化解耦方式，将多模态数据补全、特征融合、疗效预测与归因解释等功能模块分离，以大语言模型为调度中枢实现智能体协同推理。通过思考-行动-反馈的多阶段机制，智能体可根据疾病类型与数据条件动态调用相应模块，实现多疾病、多任务的统一预测与解释，为复杂临床决策提供智能辅助。该路线基于当前成熟的大语言模型智能体框架，技术基础充分，实施路径清晰。</w:t>
      </w:r>
    </w:p>
    <w:p w14:paraId="22E68A2B">
      <w:pPr>
        <w:snapToGrid w:val="0"/>
        <w:spacing w:line="440" w:lineRule="exact"/>
        <w:ind w:firstLine="482" w:firstLineChars="200"/>
        <w:rPr>
          <w:rFonts w:cs="楷体_GB2312"/>
          <w:b/>
          <w:bCs/>
          <w:sz w:val="24"/>
          <w:szCs w:val="24"/>
        </w:rPr>
      </w:pPr>
      <w:r>
        <w:rPr>
          <w:rFonts w:hint="eastAsia" w:cs="楷体_GB2312"/>
          <w:b/>
          <w:bCs/>
          <w:sz w:val="24"/>
          <w:szCs w:val="24"/>
        </w:rPr>
        <w:t>（5）临床有效性验证切实可行</w:t>
      </w:r>
    </w:p>
    <w:p w14:paraId="6EE128D3">
      <w:pPr>
        <w:snapToGrid w:val="0"/>
        <w:spacing w:line="440" w:lineRule="exact"/>
        <w:ind w:firstLine="480" w:firstLineChars="200"/>
        <w:rPr>
          <w:rFonts w:cs="楷体_GB2312"/>
          <w:sz w:val="24"/>
          <w:szCs w:val="24"/>
        </w:rPr>
      </w:pPr>
      <w:r>
        <w:rPr>
          <w:rFonts w:hint="eastAsia" w:cs="楷体_GB2312"/>
          <w:sz w:val="24"/>
          <w:szCs w:val="24"/>
        </w:rPr>
        <w:t>为验证所提方法的临床实用价值，本项目设计多层次评估体系，涵盖模态缺失补全算法评估、多时序疗效预测模型评估及智能体报告质量评估。通过内部与外部测试集、专家盲评、人机对比实验等方式，对图像生成质量、疗效预测准确性及临床解释能力进行全面评价。邀请多位眼底病领域资深专家参与评估，确保评价结果具备临床可信度。客观指标与专家评估相结合，可系统验证模型与智能体系统在真实医疗环境中的应用价值，方案整体具有良好的临床可实施性。</w:t>
      </w:r>
    </w:p>
    <w:p w14:paraId="73B165FE">
      <w:pPr>
        <w:snapToGrid w:val="0"/>
        <w:spacing w:line="440" w:lineRule="exact"/>
        <w:ind w:firstLine="480" w:firstLineChars="200"/>
        <w:jc w:val="left"/>
        <w:rPr>
          <w:rFonts w:ascii="宋体" w:hAnsi="宋体" w:cs="宋体"/>
          <w:sz w:val="24"/>
          <w:szCs w:val="24"/>
        </w:rPr>
      </w:pPr>
    </w:p>
    <w:permEnd w:id="3"/>
    <w:p w14:paraId="6355F74F">
      <w:pPr>
        <w:snapToGrid w:val="0"/>
        <w:spacing w:line="440" w:lineRule="exact"/>
        <w:ind w:firstLine="560" w:firstLineChars="200"/>
        <w:rPr>
          <w:rFonts w:ascii="楷体" w:hAnsi="楷体" w:eastAsia="楷体" w:cs="楷体_GB2312"/>
          <w:color w:val="0070C0"/>
          <w:sz w:val="28"/>
          <w:szCs w:val="28"/>
        </w:rPr>
      </w:pPr>
      <w:r>
        <w:rPr>
          <w:rFonts w:ascii="楷体" w:hAnsi="楷体" w:eastAsia="楷体"/>
          <w:color w:val="0070C0"/>
          <w:sz w:val="28"/>
          <w:szCs w:val="28"/>
        </w:rPr>
        <w:t>2</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工作条件</w:t>
      </w:r>
      <w:r>
        <w:rPr>
          <w:rFonts w:hint="eastAsia" w:ascii="楷体" w:hAnsi="楷体" w:eastAsia="楷体" w:cs="楷体_GB2312"/>
          <w:color w:val="0070C0"/>
          <w:sz w:val="28"/>
          <w:szCs w:val="28"/>
        </w:rPr>
        <w:t>（包括已具备的实验条件，尚缺少的实验条件和拟解决的途径，包括利用国家实验室、全国重点实验室和部门重点实验室等研究基地的计划与落实情况）；</w:t>
      </w:r>
    </w:p>
    <w:p w14:paraId="6E2C6948">
      <w:pPr>
        <w:snapToGrid w:val="0"/>
        <w:spacing w:line="360" w:lineRule="auto"/>
        <w:ind w:firstLine="480" w:firstLineChars="200"/>
        <w:rPr>
          <w:sz w:val="24"/>
          <w:szCs w:val="24"/>
        </w:rPr>
      </w:pPr>
      <w:permStart w:id="4" w:edGrp="everyone"/>
      <w:r>
        <w:rPr>
          <w:rFonts w:hint="eastAsia"/>
          <w:sz w:val="24"/>
          <w:szCs w:val="24"/>
        </w:rPr>
        <w:t>本项目依托深圳大学电子与信息工程学院开展研究。学院学科实力雄厚，计算机科学、信息与通信工程等学科进入ESI全球前1‰，着力打造“新工科”“新医科”交叉创新平台，推动医学与工程、AI、材料等学科深度融合。学院拥有射频异质异构成全国重点实验室、国家卫生局5G+网格化社区智能医疗管理应用示范平台等多个国家级、省级科研平台，为项目提供优异的实验条件保障。此外，本项目同时获得毛军发院士领导的射频异质异构成全国重点实验室和丁文华院士领导的广东省数字创意技术工程实验室的共同支持，确保充足的仪器设备与高性能计算资源供给。</w:t>
      </w:r>
    </w:p>
    <w:p w14:paraId="6EE421C0">
      <w:pPr>
        <w:snapToGrid w:val="0"/>
        <w:spacing w:line="360" w:lineRule="auto"/>
        <w:ind w:firstLine="480" w:firstLineChars="200"/>
        <w:rPr>
          <w:sz w:val="24"/>
          <w:szCs w:val="24"/>
        </w:rPr>
      </w:pPr>
      <w:r>
        <w:rPr>
          <w:rFonts w:hint="eastAsia"/>
          <w:sz w:val="24"/>
          <w:szCs w:val="24"/>
        </w:rPr>
        <w:t>在实验条件方面，实验室数据中心配备8台NVIDIA DGX-A100高性能计算服务器及30余台图形工作站，可充分满足深度学习模型训练与生成式视觉模型研究对GPU算力的需求。项目组还拥有高分辨率视频采集设备及多台4K/8K显示终端，可用于视觉数据采集与图像视频主观质量评价实验。</w:t>
      </w:r>
    </w:p>
    <w:p w14:paraId="252FAB15">
      <w:pPr>
        <w:snapToGrid w:val="0"/>
        <w:spacing w:line="360" w:lineRule="auto"/>
        <w:ind w:firstLine="480" w:firstLineChars="200"/>
        <w:rPr>
          <w:sz w:val="24"/>
          <w:szCs w:val="24"/>
        </w:rPr>
      </w:pPr>
      <w:r>
        <w:rPr>
          <w:rFonts w:hint="eastAsia"/>
          <w:sz w:val="24"/>
          <w:szCs w:val="24"/>
        </w:rPr>
        <w:t>在研究人员方面，本实验室现有在读硕士研究生20余名，并有多名本科生参与科研工作，与上海交通大学、清华大学等高校的多名博士生和硕士生保持长期合作，可为项目实施提供稳定的人才支持。申请人博士阶段师从生物医学工程领域专家冯大淦教授和智能医学领域专家盛斌教授，并在贾伟平院士团队开展相关研究，形成良好的研究基础。项目负责人长期与清华大学、北京大学、上海交通大学、哈尔滨工业大学、中南大学、悉尼大学、南洋理工大学、香港理工大学、澳门理工大学等单位保持密切学术交流与合作，为本项目提供良好的学术支撑。同时，与北京协和医院、上海市第六人民医院、北大深圳医院、湘雅医院、东方肝胆医院等大型三甲医院保持长期密切合作，多项合作成果已发表于</w:t>
      </w:r>
      <w:r>
        <w:rPr>
          <w:rFonts w:hint="eastAsia"/>
          <w:i/>
          <w:iCs/>
          <w:sz w:val="24"/>
          <w:szCs w:val="24"/>
        </w:rPr>
        <w:t>Nature Medicine、The Lancet Digital Health、Nature Communications、npj Digital Medicine</w:t>
      </w:r>
      <w:r>
        <w:rPr>
          <w:rFonts w:hint="eastAsia"/>
          <w:sz w:val="24"/>
          <w:szCs w:val="24"/>
        </w:rPr>
        <w:t>等顶级国际期刊，为本项目提供可靠的数据来源与方案验证平台。</w:t>
      </w:r>
    </w:p>
    <w:p w14:paraId="6685DECB">
      <w:pPr>
        <w:snapToGrid w:val="0"/>
        <w:spacing w:line="360" w:lineRule="auto"/>
        <w:ind w:firstLine="480" w:firstLineChars="200"/>
        <w:rPr>
          <w:sz w:val="24"/>
          <w:szCs w:val="24"/>
        </w:rPr>
      </w:pPr>
      <w:r>
        <w:rPr>
          <w:rFonts w:hint="eastAsia"/>
          <w:sz w:val="24"/>
          <w:szCs w:val="24"/>
        </w:rPr>
        <w:t>综上，本项目在科研平台、实验条件、计算资源及研究团队等方面均具备扎实的研究基础，能够有力保障项目研究工作的顺利开展。</w:t>
      </w:r>
    </w:p>
    <w:p w14:paraId="64E6EFA5">
      <w:pPr>
        <w:snapToGrid w:val="0"/>
        <w:spacing w:line="440" w:lineRule="exact"/>
        <w:ind w:firstLine="480" w:firstLineChars="200"/>
        <w:jc w:val="left"/>
        <w:rPr>
          <w:rFonts w:ascii="宋体" w:hAnsi="宋体"/>
          <w:sz w:val="24"/>
          <w:szCs w:val="24"/>
        </w:rPr>
      </w:pPr>
    </w:p>
    <w:permEnd w:id="4"/>
    <w:p w14:paraId="43B96423">
      <w:pPr>
        <w:snapToGrid w:val="0"/>
        <w:spacing w:line="440" w:lineRule="exact"/>
        <w:ind w:firstLine="560" w:firstLineChars="200"/>
        <w:rPr>
          <w:rFonts w:ascii="楷体" w:hAnsi="楷体" w:eastAsia="楷体" w:cs="楷体_GB2312"/>
          <w:color w:val="0070C0"/>
          <w:sz w:val="28"/>
          <w:szCs w:val="28"/>
        </w:rPr>
      </w:pPr>
      <w:r>
        <w:rPr>
          <w:rFonts w:ascii="楷体" w:hAnsi="楷体" w:eastAsia="楷体"/>
          <w:color w:val="0070C0"/>
          <w:sz w:val="28"/>
          <w:szCs w:val="28"/>
        </w:rPr>
        <w:t>3</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正在承担的与本项目相关的科研项目情况</w:t>
      </w:r>
      <w:r>
        <w:rPr>
          <w:rFonts w:hint="eastAsia" w:ascii="楷体" w:hAnsi="楷体" w:eastAsia="楷体" w:cs="楷体_GB2312"/>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14:paraId="468D0B27">
      <w:pPr>
        <w:snapToGrid w:val="0"/>
        <w:spacing w:line="360" w:lineRule="auto"/>
        <w:ind w:firstLine="420"/>
        <w:rPr>
          <w:sz w:val="24"/>
          <w:szCs w:val="24"/>
        </w:rPr>
      </w:pPr>
      <w:permStart w:id="5" w:edGrp="everyone"/>
      <w:r>
        <w:rPr>
          <w:sz w:val="24"/>
          <w:szCs w:val="24"/>
        </w:rPr>
        <w:t>项目申请人目前承担国家自然科学基金青年科学基金项目1项，将于2026年12月结题。</w:t>
      </w:r>
    </w:p>
    <w:p w14:paraId="69FCBCEB">
      <w:pPr>
        <w:numPr>
          <w:ilvl w:val="0"/>
          <w:numId w:val="3"/>
        </w:numPr>
        <w:snapToGrid w:val="0"/>
        <w:spacing w:line="360" w:lineRule="auto"/>
        <w:rPr>
          <w:b/>
          <w:bCs/>
          <w:sz w:val="24"/>
          <w:szCs w:val="24"/>
        </w:rPr>
      </w:pPr>
      <w:r>
        <w:rPr>
          <w:rFonts w:hint="eastAsia"/>
          <w:b/>
          <w:bCs/>
          <w:sz w:val="24"/>
          <w:szCs w:val="24"/>
        </w:rPr>
        <w:t>项目信息</w:t>
      </w:r>
    </w:p>
    <w:p w14:paraId="66F923D9">
      <w:pPr>
        <w:snapToGrid w:val="0"/>
        <w:spacing w:line="360" w:lineRule="auto"/>
        <w:ind w:firstLine="420"/>
        <w:rPr>
          <w:sz w:val="24"/>
          <w:szCs w:val="24"/>
        </w:rPr>
      </w:pPr>
      <w:r>
        <w:rPr>
          <w:rFonts w:hint="eastAsia"/>
          <w:sz w:val="24"/>
          <w:szCs w:val="24"/>
        </w:rPr>
        <w:t>项目的资助机构：国家自然科学基金委员会；项目类别：青年科学基金项目；批准号：62301330；项目名称：视网膜图像病变自动检测与青少年近视发展风险预测技术研究；获资助金额：30万元；起止年月：2024年1月至2026年12月；项目申请人负责的内容：负责整个项目的科学问题定义、总体技术方案设计及核心算法研发，并全面负责项目的进度管理、经费分配及结题成果汇总。</w:t>
      </w:r>
    </w:p>
    <w:p w14:paraId="09356C50">
      <w:pPr>
        <w:snapToGrid w:val="0"/>
        <w:spacing w:line="360" w:lineRule="auto"/>
        <w:rPr>
          <w:sz w:val="24"/>
          <w:szCs w:val="24"/>
        </w:rPr>
      </w:pPr>
    </w:p>
    <w:p w14:paraId="14E54CC7">
      <w:pPr>
        <w:numPr>
          <w:ilvl w:val="0"/>
          <w:numId w:val="3"/>
        </w:numPr>
        <w:snapToGrid w:val="0"/>
        <w:spacing w:line="360" w:lineRule="auto"/>
        <w:rPr>
          <w:b/>
          <w:bCs/>
          <w:sz w:val="24"/>
          <w:szCs w:val="24"/>
        </w:rPr>
      </w:pPr>
      <w:r>
        <w:rPr>
          <w:rFonts w:hint="eastAsia"/>
          <w:b/>
          <w:bCs/>
          <w:sz w:val="24"/>
          <w:szCs w:val="24"/>
        </w:rPr>
        <w:t>与本申请项目的关系</w:t>
      </w:r>
    </w:p>
    <w:p w14:paraId="191B7A30">
      <w:pPr>
        <w:snapToGrid w:val="0"/>
        <w:spacing w:line="360" w:lineRule="auto"/>
        <w:ind w:firstLine="420"/>
        <w:rPr>
          <w:sz w:val="24"/>
          <w:szCs w:val="24"/>
        </w:rPr>
      </w:pPr>
      <w:r>
        <w:rPr>
          <w:rFonts w:hint="eastAsia"/>
          <w:sz w:val="24"/>
          <w:szCs w:val="24"/>
        </w:rPr>
        <w:t>该项目以视网膜图像病变自动检测与青少年近视发展风险预测为核心研究内容，主要包括三个方面：一是提出基于结构感知与知识蒸馏的眼底图像增强方法；二是研究基于频域增强的轻量化眼底血管分割方法，用于视网膜病变检测；三是构建基于深度学习的近视发展风险预测模型，实现近视程度分级评估与发展趋势预测。本项目是上述项目的深化与拓展，主要体现在三个层面：疾病维度上，从单一近视眼病的发展风险预测拓展至多种致盲性眼底疾病的疗效预测；模型架构上，从聚焦单一眼病发生过程的预测模型提升至面向多眼病协同预测的智能体系统构建；数据体量上，从基于单模态基线数据的静态预测范式拓展至基于多模态异构数据融合的动态预测范式。在该项目支持下，项目组已在眼底图像增强、视网膜病变检测及近视发展风险预测等方面取得丰硕成果。与本申请项目相关的研究积累将为后续工作提供重要理论支撑与技术借鉴，具体体现在以下两个方面：</w:t>
      </w:r>
    </w:p>
    <w:p w14:paraId="7E5657A0">
      <w:pPr>
        <w:numPr>
          <w:ilvl w:val="0"/>
          <w:numId w:val="4"/>
        </w:numPr>
        <w:snapToGrid w:val="0"/>
        <w:spacing w:line="360" w:lineRule="auto"/>
        <w:ind w:left="0" w:firstLine="420" w:firstLineChars="175"/>
        <w:rPr>
          <w:sz w:val="24"/>
          <w:szCs w:val="24"/>
        </w:rPr>
      </w:pPr>
      <w:r>
        <w:rPr>
          <w:rFonts w:hint="eastAsia"/>
          <w:sz w:val="24"/>
          <w:szCs w:val="24"/>
        </w:rPr>
        <w:t>从单模态单时序预测向多模态多时序预测的深度拓展：在研项目通过集成算法整合视网膜眼底图像与临床数据等多模态信息，实现了未来三年近视发生发展的风险预测，验证了多模态数据对提升预测性能的有效性，为本项目提供了直接的方法论验证。本项目将进一步探究多模态数据的高效融合机制，打通从“历史不规则残缺随访流”到“未来多节点疗效全景”的复杂映射路径，实现对患者全治疗周期内视力变化、结构厚度及注药频次等多维疗效的前瞻性预测，为眼底疾病长期个性化干预提供量化依据。</w:t>
      </w:r>
    </w:p>
    <w:p w14:paraId="4B6B6863">
      <w:pPr>
        <w:numPr>
          <w:ilvl w:val="0"/>
          <w:numId w:val="4"/>
        </w:numPr>
        <w:snapToGrid w:val="0"/>
        <w:spacing w:line="360" w:lineRule="auto"/>
        <w:ind w:left="0" w:firstLine="420" w:firstLineChars="175"/>
        <w:rPr>
          <w:sz w:val="24"/>
          <w:szCs w:val="24"/>
        </w:rPr>
      </w:pPr>
      <w:r>
        <w:rPr>
          <w:rFonts w:hint="eastAsia"/>
          <w:sz w:val="24"/>
          <w:szCs w:val="24"/>
        </w:rPr>
        <w:t>从单疾病单任务预测模型向多疾病多任务预测智能体的递进构建：在研项目基于视网膜图像与眼轴长度等数据预测单一近视的发生发展风险，识别高风险个体并为个性化干预提供决策支持。这种基于多模态数据的单眼病预测思路，与本项目致力于多眼病疗效预测中“多模态融合与长时序建模”的核心思想一脉相承。在研项目中关于多模态融合机制与多时序预测规律的研究成果，将直接迁移服务于本项目，支撑研究从“准确诊断预测”向“精准治疗决策”转变，从“单病种架构”向“多病种临床需求”跨越，为解决多种眼病的综合决策难题提供核心理论支撑。</w:t>
      </w:r>
    </w:p>
    <w:p w14:paraId="7A33714F">
      <w:pPr>
        <w:snapToGrid w:val="0"/>
        <w:spacing w:line="360" w:lineRule="auto"/>
        <w:jc w:val="left"/>
        <w:rPr>
          <w:b/>
          <w:bCs/>
          <w:sz w:val="24"/>
          <w:szCs w:val="24"/>
        </w:rPr>
      </w:pPr>
    </w:p>
    <w:p w14:paraId="49C91A4C">
      <w:pPr>
        <w:numPr>
          <w:ilvl w:val="0"/>
          <w:numId w:val="3"/>
        </w:numPr>
        <w:snapToGrid w:val="0"/>
        <w:spacing w:line="360" w:lineRule="auto"/>
        <w:rPr>
          <w:b/>
          <w:bCs/>
          <w:sz w:val="24"/>
          <w:szCs w:val="24"/>
        </w:rPr>
      </w:pPr>
      <w:r>
        <w:rPr>
          <w:rFonts w:hint="eastAsia"/>
          <w:b/>
          <w:bCs/>
          <w:sz w:val="24"/>
          <w:szCs w:val="24"/>
        </w:rPr>
        <w:t>进展情况</w:t>
      </w:r>
    </w:p>
    <w:p w14:paraId="52BD7709">
      <w:pPr>
        <w:numPr>
          <w:ilvl w:val="0"/>
          <w:numId w:val="5"/>
        </w:numPr>
        <w:snapToGrid w:val="0"/>
        <w:spacing w:line="360" w:lineRule="auto"/>
        <w:ind w:firstLine="420"/>
        <w:rPr>
          <w:sz w:val="24"/>
          <w:szCs w:val="24"/>
        </w:rPr>
      </w:pPr>
      <w:r>
        <w:rPr>
          <w:rFonts w:hint="eastAsia"/>
          <w:sz w:val="24"/>
          <w:szCs w:val="24"/>
        </w:rPr>
        <w:t>代表性论文</w:t>
      </w:r>
    </w:p>
    <w:p w14:paraId="0FDE8345">
      <w:pPr>
        <w:snapToGrid w:val="0"/>
        <w:spacing w:line="360" w:lineRule="auto"/>
      </w:pPr>
      <w:r>
        <w:rPr>
          <w:rFonts w:hint="eastAsia"/>
        </w:rPr>
        <w:t xml:space="preserve">[1] </w:t>
      </w:r>
      <w:r>
        <w:rPr>
          <w:rFonts w:hint="eastAsia"/>
          <w:b/>
          <w:bCs/>
        </w:rPr>
        <w:t>Yang Wen</w:t>
      </w:r>
      <w:r>
        <w:rPr>
          <w:rFonts w:hint="eastAsia"/>
        </w:rPr>
        <w:t>, Bin Luo, Wuzhen Shi, Jianhua Ji, Wenming Cao, Xiaokang Yang, Bin Sheng. Sat-net: structure-aware transformer-based attention fusion network for low-quality retinal fundus images enhancement[J]. IEEE Transactions on Multimedia, 2025. （中科院一区，CCF A）</w:t>
      </w:r>
    </w:p>
    <w:p w14:paraId="33B23D04">
      <w:pPr>
        <w:snapToGrid w:val="0"/>
        <w:spacing w:line="360" w:lineRule="auto"/>
      </w:pPr>
      <w:r>
        <w:rPr>
          <w:rFonts w:hint="eastAsia"/>
        </w:rPr>
        <w:t xml:space="preserve">[2] Zhao X. </w:t>
      </w:r>
      <w:r>
        <w:rPr>
          <w:rFonts w:hint="eastAsia"/>
          <w:b/>
          <w:bCs/>
        </w:rPr>
        <w:t>Yang W(co-first)</w:t>
      </w:r>
      <w:r>
        <w:rPr>
          <w:rFonts w:hint="eastAsia"/>
        </w:rPr>
        <w:t>,Development and Validation of a Deep-Learning Model to Predict Visual and Anatomical Prognosis of Anti-VEGF Therapy for Neovascular Age-Related Macular Degeneration (KongMing Study): A Prospective, Nationwide, Multi-center Study, Lancet digital health, 2026（中科院一区）.</w:t>
      </w:r>
    </w:p>
    <w:p w14:paraId="6F0100B9">
      <w:pPr>
        <w:snapToGrid w:val="0"/>
        <w:spacing w:line="360" w:lineRule="auto"/>
      </w:pPr>
      <w:r>
        <w:rPr>
          <w:rFonts w:hint="eastAsia"/>
        </w:rPr>
        <w:t xml:space="preserve">[3] Ziyi Qi, Jun Chen, </w:t>
      </w:r>
      <w:r>
        <w:rPr>
          <w:rFonts w:hint="eastAsia"/>
          <w:b/>
          <w:bCs/>
        </w:rPr>
        <w:t>Yang Wen (co-first)</w:t>
      </w:r>
      <w:r>
        <w:rPr>
          <w:rFonts w:hint="eastAsia"/>
        </w:rPr>
        <w:t xml:space="preserve"> et al. A Deep Learning System for Myopia Onset Prediction and Intervention Effectiveness Evaluation in Children[J]. npj Digital Medicine, 2024 (SCI, 中科院一区，IF 12.4). </w:t>
      </w:r>
    </w:p>
    <w:p w14:paraId="51B5739F">
      <w:pPr>
        <w:snapToGrid w:val="0"/>
        <w:spacing w:line="360" w:lineRule="auto"/>
      </w:pPr>
      <w:r>
        <w:rPr>
          <w:rFonts w:hint="eastAsia"/>
        </w:rPr>
        <w:t xml:space="preserve">[4] Wuzhen Shi, Xuping Chen, Biyun Yao, </w:t>
      </w:r>
      <w:r>
        <w:rPr>
          <w:rFonts w:hint="eastAsia"/>
          <w:b/>
          <w:bCs/>
        </w:rPr>
        <w:t>Yang Wen*</w:t>
      </w:r>
      <w:r>
        <w:rPr>
          <w:rFonts w:hint="eastAsia"/>
        </w:rPr>
        <w:t>, Bin Sheng. Identity and Modality Attributes Driven Multimodal Fusion Networks for Emotion Recognition in Conversations[J]. IEEE Transactions on Multimedia, 2025（中科院一区, CCF A）.</w:t>
      </w:r>
    </w:p>
    <w:p w14:paraId="346EA0CA">
      <w:pPr>
        <w:snapToGrid w:val="0"/>
        <w:spacing w:line="360" w:lineRule="auto"/>
      </w:pPr>
      <w:r>
        <w:rPr>
          <w:rFonts w:hint="eastAsia"/>
        </w:rPr>
        <w:t xml:space="preserve">[5] </w:t>
      </w:r>
      <w:r>
        <w:rPr>
          <w:rFonts w:hint="eastAsia"/>
          <w:b/>
          <w:bCs/>
        </w:rPr>
        <w:t>Yang Wen</w:t>
      </w:r>
      <w:r>
        <w:rPr>
          <w:rFonts w:hint="eastAsia"/>
        </w:rPr>
        <w:t>, Xiangning Wang, Jixue Tang, Lei Zhu, Ping Li, Jing Qin, Xiaokang Yang, Bin Sheng. CCM-Net: C ontrastive and C onsistent M ulti-T ask Network for Artifact Segmentation and Quality Classification of OCTA Images[J]. ACM Transactions on Multimedia Computing, Communications and Applications, 2025.（CCF B, JCR Q1）</w:t>
      </w:r>
    </w:p>
    <w:p w14:paraId="0C08A71C">
      <w:pPr>
        <w:snapToGrid w:val="0"/>
        <w:spacing w:line="360" w:lineRule="auto"/>
      </w:pPr>
      <w:r>
        <w:rPr>
          <w:rFonts w:hint="eastAsia"/>
        </w:rPr>
        <w:t xml:space="preserve">[6] </w:t>
      </w:r>
      <w:r>
        <w:rPr>
          <w:rFonts w:hint="eastAsia"/>
          <w:b/>
          <w:bCs/>
        </w:rPr>
        <w:t>Yang Wen</w:t>
      </w:r>
      <w:r>
        <w:rPr>
          <w:rFonts w:hint="eastAsia"/>
        </w:rPr>
        <w:t>, Shunzhe Shen, Wuzhen Shi, Wenming Cao, Lei Bi, Xiaokang Yang, Bin Sheng. Lightweight Depthwise Separable ConvNet with Frequency-Domain Enhancement for Retinal Vessel Segmentation[J]. ACM Transactions on Multimedia Computing, Communications and Applications，2025（CCF B, JCR Q1）</w:t>
      </w:r>
    </w:p>
    <w:p w14:paraId="75D467E1">
      <w:pPr>
        <w:snapToGrid w:val="0"/>
        <w:spacing w:line="360" w:lineRule="auto"/>
      </w:pPr>
      <w:r>
        <w:rPr>
          <w:rFonts w:hint="eastAsia"/>
        </w:rPr>
        <w:t xml:space="preserve">[7] Wuzhen Shi, Aixue Yin, Yingxiang Li, </w:t>
      </w:r>
      <w:r>
        <w:rPr>
          <w:rFonts w:hint="eastAsia"/>
          <w:b/>
          <w:bCs/>
        </w:rPr>
        <w:t>Yang Wen*</w:t>
      </w:r>
      <w:r>
        <w:rPr>
          <w:rFonts w:hint="eastAsia"/>
        </w:rPr>
        <w:t>. Edge-guided 3D reconstruction from multi-view sketches and RGB images[J]. Pattern Recognition, 2025, 163: 111462.（中科院一区）</w:t>
      </w:r>
    </w:p>
    <w:p w14:paraId="4C10EB9A">
      <w:pPr>
        <w:snapToGrid w:val="0"/>
        <w:spacing w:line="360" w:lineRule="auto"/>
      </w:pPr>
      <w:r>
        <w:rPr>
          <w:rFonts w:hint="eastAsia"/>
        </w:rPr>
        <w:t xml:space="preserve">[8] Wuzhen Shi, Zibang Xue, </w:t>
      </w:r>
      <w:r>
        <w:rPr>
          <w:rFonts w:hint="eastAsia"/>
          <w:b/>
          <w:bCs/>
        </w:rPr>
        <w:t>Yang Wen*</w:t>
      </w:r>
      <w:r>
        <w:rPr>
          <w:rFonts w:hint="eastAsia"/>
        </w:rPr>
        <w:t>. Keypoints and Action Units Jointly Drive Talking Head Generation for Video Conferencing[J]. IEEE Transactions on Circuits and Systems for Video Technology, 2025.（中科院一区）</w:t>
      </w:r>
    </w:p>
    <w:p w14:paraId="578327DD">
      <w:pPr>
        <w:snapToGrid w:val="0"/>
        <w:spacing w:line="360" w:lineRule="auto"/>
      </w:pPr>
      <w:r>
        <w:rPr>
          <w:rFonts w:hint="eastAsia"/>
        </w:rPr>
        <w:t xml:space="preserve">[9] </w:t>
      </w:r>
      <w:r>
        <w:rPr>
          <w:rFonts w:hint="eastAsia"/>
          <w:b/>
          <w:bCs/>
        </w:rPr>
        <w:t>Yang Wen,</w:t>
      </w:r>
      <w:r>
        <w:rPr>
          <w:rFonts w:hint="eastAsia"/>
        </w:rPr>
        <w:t xml:space="preserve"> Yi-Lin Wu, Lei Bi, WuZhen Shi,Xiao-Xiao Liu, Yu-Peng Xu, Xun Xu, Wen-Ming Cao and David Dagan Feng. A Transformer-Assisted Cascade Learning Network for Choroidal Vessel Segmentation[J]. Journal of Computer Science and Technology, 2024 (SCI, CCF B).</w:t>
      </w:r>
    </w:p>
    <w:p w14:paraId="21841E78">
      <w:pPr>
        <w:snapToGrid w:val="0"/>
        <w:spacing w:line="360" w:lineRule="auto"/>
      </w:pPr>
      <w:r>
        <w:rPr>
          <w:rFonts w:hint="eastAsia"/>
        </w:rPr>
        <w:t xml:space="preserve">[10] </w:t>
      </w:r>
      <w:r>
        <w:rPr>
          <w:rFonts w:hint="eastAsia"/>
          <w:b/>
          <w:bCs/>
        </w:rPr>
        <w:t>Yang Wen</w:t>
      </w:r>
      <w:r>
        <w:rPr>
          <w:rFonts w:hint="eastAsia"/>
        </w:rPr>
        <w:t>, Bai Chen, Wuzhen Shi, Song Wu, Xiaokang Yang, Bin Sheng. DB-HDFFN: Dual Branch Hierarchical Dynamic Feature Fusion Network for medical image classification. Biomed. Signal Process. Control. 117: 109538 (2026)（中科院二区）</w:t>
      </w:r>
    </w:p>
    <w:p w14:paraId="55E8A89C">
      <w:pPr>
        <w:numPr>
          <w:ilvl w:val="0"/>
          <w:numId w:val="5"/>
        </w:numPr>
        <w:snapToGrid w:val="0"/>
        <w:spacing w:line="360" w:lineRule="auto"/>
        <w:ind w:firstLine="420"/>
        <w:rPr>
          <w:sz w:val="24"/>
          <w:szCs w:val="24"/>
        </w:rPr>
      </w:pPr>
      <w:r>
        <w:rPr>
          <w:rFonts w:hint="eastAsia"/>
          <w:sz w:val="24"/>
          <w:szCs w:val="24"/>
        </w:rPr>
        <w:t>授权专利</w:t>
      </w:r>
    </w:p>
    <w:p w14:paraId="5B8EEE6B">
      <w:pPr>
        <w:numPr>
          <w:ilvl w:val="0"/>
          <w:numId w:val="6"/>
        </w:numPr>
        <w:snapToGrid w:val="0"/>
        <w:spacing w:line="360" w:lineRule="auto"/>
      </w:pPr>
      <w:r>
        <w:rPr>
          <w:rFonts w:hint="eastAsia"/>
        </w:rPr>
        <w:t>温阳,罗彬,吉建华,曹文明,赵鹏飞,沈舜喆，眼底图像增强方法、装置、设备及可读存储介质[P].中国发明专利: ZL202410274855.7, 授权日期：2024年05月28日.</w:t>
      </w:r>
    </w:p>
    <w:p w14:paraId="31E9F725">
      <w:pPr>
        <w:numPr>
          <w:ilvl w:val="0"/>
          <w:numId w:val="6"/>
        </w:numPr>
        <w:snapToGrid w:val="0"/>
        <w:spacing w:line="360" w:lineRule="auto"/>
      </w:pPr>
      <w:r>
        <w:rPr>
          <w:rFonts w:hint="eastAsia"/>
        </w:rPr>
        <w:t>温阳,沈舜喆,曾莹,庄宇航,徐强,石武祯,曹文明，眼底血管图像的分割方法、终端设备及存储介质[P].中国发明专利: ZL202311766115.7, 授权日期：2024年03月22日.</w:t>
      </w:r>
    </w:p>
    <w:p w14:paraId="6F1E6C95">
      <w:pPr>
        <w:numPr>
          <w:ilvl w:val="0"/>
          <w:numId w:val="6"/>
        </w:numPr>
        <w:snapToGrid w:val="0"/>
        <w:spacing w:line="360" w:lineRule="auto"/>
      </w:pPr>
      <w:r>
        <w:rPr>
          <w:rFonts w:hint="eastAsia"/>
        </w:rPr>
        <w:t>温阳,曾莹,曹文明,石武祯,赖安宇,吴依林，图像预测模型的训练及应用方法、设备及可读存储介质[P]. 中国发明专利: ZL202410341467.6, 授权日期：2024年06月07日.</w:t>
      </w:r>
    </w:p>
    <w:p w14:paraId="38D92810">
      <w:pPr>
        <w:numPr>
          <w:ilvl w:val="0"/>
          <w:numId w:val="6"/>
        </w:numPr>
        <w:snapToGrid w:val="0"/>
        <w:spacing w:line="360" w:lineRule="auto"/>
      </w:pPr>
      <w:r>
        <w:rPr>
          <w:rFonts w:hint="eastAsia"/>
        </w:rPr>
        <w:t>温阳,赵鹏飞,吉建华,曹文明,罗彬,曾莹，深度图像的超分辨率重建方法、终端设备及存储介质[P]. 中国发明专利: ZL202410340994.5, 授权日期：2024年05月28日.</w:t>
      </w:r>
    </w:p>
    <w:p w14:paraId="241D1FEE">
      <w:pPr>
        <w:numPr>
          <w:ilvl w:val="0"/>
          <w:numId w:val="6"/>
        </w:numPr>
        <w:snapToGrid w:val="0"/>
        <w:spacing w:line="360" w:lineRule="auto"/>
      </w:pPr>
      <w:r>
        <w:rPr>
          <w:rFonts w:hint="eastAsia"/>
        </w:rPr>
        <w:t>温阳,赖安宇,曹文明,石武祯，罗彬. 图像处理方法、设备及计算机可读存储介质[P]. 中国发明专利: 202310300278.X ，授权日期： 2026 年 02 月 5 日.</w:t>
      </w:r>
    </w:p>
    <w:p w14:paraId="6785D4E6">
      <w:pPr>
        <w:numPr>
          <w:ilvl w:val="0"/>
          <w:numId w:val="6"/>
        </w:numPr>
        <w:snapToGrid w:val="0"/>
        <w:spacing w:line="360" w:lineRule="auto"/>
      </w:pPr>
      <w:r>
        <w:rPr>
          <w:rFonts w:hint="eastAsia"/>
        </w:rPr>
        <w:t>温阳，庄宇航，曹文明，陈新楷，罗嘉程，童绍俊，钟建奇.一种基于视频流目标识别的双分支四足机器人定位系统[P]. 中国发明专利: ZL 2025 1 0898690.5. 授权日期：2025年10月03日.</w:t>
      </w:r>
    </w:p>
    <w:p w14:paraId="49B89BE2">
      <w:pPr>
        <w:snapToGrid w:val="0"/>
        <w:spacing w:line="440" w:lineRule="exact"/>
        <w:jc w:val="left"/>
        <w:rPr>
          <w:rFonts w:ascii="宋体" w:hAnsi="宋体"/>
          <w:sz w:val="24"/>
          <w:szCs w:val="24"/>
        </w:rPr>
      </w:pPr>
    </w:p>
    <w:permEnd w:id="5"/>
    <w:p w14:paraId="68009DF3">
      <w:pPr>
        <w:snapToGrid w:val="0"/>
        <w:spacing w:line="440" w:lineRule="exact"/>
        <w:ind w:firstLine="560" w:firstLineChars="200"/>
        <w:rPr>
          <w:rFonts w:ascii="楷体" w:hAnsi="楷体" w:eastAsia="楷体" w:cs="楷体_GB2312"/>
          <w:color w:val="0070C0"/>
          <w:sz w:val="28"/>
          <w:szCs w:val="28"/>
        </w:rPr>
      </w:pPr>
      <w:r>
        <w:rPr>
          <w:rFonts w:ascii="楷体" w:hAnsi="楷体" w:eastAsia="楷体"/>
          <w:color w:val="0070C0"/>
          <w:sz w:val="28"/>
          <w:szCs w:val="28"/>
        </w:rPr>
        <w:t>4</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完成国家自然科学基金项目情况</w:t>
      </w:r>
      <w:r>
        <w:rPr>
          <w:rFonts w:hint="eastAsia" w:ascii="楷体" w:hAnsi="楷体" w:eastAsia="楷体" w:cs="楷体_GB2312"/>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hAnsi="楷体" w:eastAsia="楷体"/>
          <w:color w:val="0070C0"/>
          <w:sz w:val="28"/>
          <w:szCs w:val="28"/>
        </w:rPr>
        <w:t>500</w:t>
      </w:r>
      <w:r>
        <w:rPr>
          <w:rFonts w:hint="eastAsia" w:ascii="楷体" w:hAnsi="楷体" w:eastAsia="楷体" w:cs="楷体_GB2312"/>
          <w:color w:val="0070C0"/>
          <w:sz w:val="28"/>
          <w:szCs w:val="28"/>
        </w:rPr>
        <w:t>字）和相关成果详细目录）。</w:t>
      </w:r>
    </w:p>
    <w:p w14:paraId="09DF657E">
      <w:pPr>
        <w:snapToGrid w:val="0"/>
        <w:spacing w:after="156" w:line="360" w:lineRule="auto"/>
        <w:ind w:firstLine="470" w:firstLineChars="196"/>
        <w:rPr>
          <w:rFonts w:ascii="宋体" w:hAnsi="宋体"/>
          <w:sz w:val="24"/>
          <w:szCs w:val="24"/>
        </w:rPr>
      </w:pPr>
      <w:permStart w:id="6" w:edGrp="everyone"/>
      <w:r>
        <w:rPr>
          <w:rFonts w:hint="eastAsia" w:ascii="宋体" w:hAnsi="宋体"/>
          <w:sz w:val="24"/>
          <w:szCs w:val="24"/>
        </w:rPr>
        <w:t>无</w:t>
      </w:r>
    </w:p>
    <w:permEnd w:id="6"/>
    <w:p w14:paraId="16FF0B12">
      <w:pPr>
        <w:snapToGrid w:val="0"/>
        <w:spacing w:line="440" w:lineRule="exact"/>
        <w:ind w:firstLine="562" w:firstLineChars="200"/>
        <w:rPr>
          <w:rFonts w:ascii="楷体" w:hAnsi="楷体" w:eastAsia="楷体" w:cs="楷体_GB2312"/>
          <w:b/>
          <w:bCs/>
          <w:color w:val="0070C0"/>
          <w:sz w:val="28"/>
          <w:szCs w:val="28"/>
        </w:rPr>
      </w:pPr>
      <w:r>
        <w:rPr>
          <w:rFonts w:hint="eastAsia" w:ascii="楷体" w:hAnsi="楷体" w:eastAsia="楷体" w:cs="楷体_GB2312"/>
          <w:b/>
          <w:bCs/>
          <w:color w:val="0070C0"/>
          <w:sz w:val="28"/>
          <w:szCs w:val="28"/>
        </w:rPr>
        <w:t>（四）其他需要说明的情况：</w:t>
      </w:r>
    </w:p>
    <w:p w14:paraId="6C057C24">
      <w:pPr>
        <w:snapToGrid w:val="0"/>
        <w:spacing w:line="440" w:lineRule="exact"/>
        <w:ind w:firstLine="560" w:firstLineChars="200"/>
        <w:rPr>
          <w:rFonts w:ascii="楷体" w:hAnsi="楷体" w:eastAsia="楷体"/>
          <w:bCs/>
          <w:color w:val="0070C0"/>
          <w:sz w:val="28"/>
          <w:szCs w:val="28"/>
        </w:rPr>
      </w:pPr>
      <w:r>
        <w:rPr>
          <w:rFonts w:ascii="楷体" w:hAnsi="楷体" w:eastAsia="楷体"/>
          <w:bCs/>
          <w:color w:val="0070C0"/>
          <w:sz w:val="28"/>
          <w:szCs w:val="28"/>
        </w:rPr>
        <w:t xml:space="preserve">1. </w:t>
      </w:r>
      <w:r>
        <w:rPr>
          <w:rFonts w:hint="eastAsia" w:ascii="楷体" w:hAnsi="楷体" w:eastAsia="楷体"/>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p>
    <w:p w14:paraId="5D81F289">
      <w:pPr>
        <w:snapToGrid w:val="0"/>
        <w:spacing w:after="156" w:line="360" w:lineRule="auto"/>
        <w:ind w:firstLine="470" w:firstLineChars="196"/>
        <w:rPr>
          <w:rFonts w:ascii="宋体" w:hAnsi="宋体"/>
          <w:sz w:val="24"/>
          <w:szCs w:val="24"/>
        </w:rPr>
      </w:pPr>
      <w:permStart w:id="7" w:edGrp="everyone"/>
      <w:r>
        <w:rPr>
          <w:rFonts w:hint="eastAsia" w:ascii="宋体" w:hAnsi="宋体"/>
          <w:sz w:val="24"/>
          <w:szCs w:val="24"/>
        </w:rPr>
        <w:t>无</w:t>
      </w:r>
    </w:p>
    <w:permEnd w:id="7"/>
    <w:p w14:paraId="36454A72">
      <w:pPr>
        <w:snapToGrid w:val="0"/>
        <w:spacing w:line="440" w:lineRule="exact"/>
        <w:ind w:firstLine="560" w:firstLineChars="200"/>
        <w:rPr>
          <w:rFonts w:ascii="楷体" w:hAnsi="楷体" w:eastAsia="楷体"/>
          <w:bCs/>
          <w:color w:val="0070C0"/>
          <w:sz w:val="28"/>
          <w:szCs w:val="28"/>
        </w:rPr>
      </w:pPr>
      <w:r>
        <w:rPr>
          <w:rFonts w:ascii="楷体" w:hAnsi="楷体" w:eastAsia="楷体"/>
          <w:bCs/>
          <w:color w:val="0070C0"/>
          <w:sz w:val="28"/>
          <w:szCs w:val="28"/>
        </w:rPr>
        <w:t xml:space="preserve">2. </w:t>
      </w:r>
      <w:r>
        <w:rPr>
          <w:rFonts w:hint="eastAsia" w:ascii="楷体" w:hAnsi="楷体" w:eastAsia="楷体"/>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0FDB76BB">
      <w:pPr>
        <w:snapToGrid w:val="0"/>
        <w:spacing w:after="156" w:line="360" w:lineRule="auto"/>
        <w:ind w:firstLine="470" w:firstLineChars="196"/>
        <w:rPr>
          <w:rFonts w:ascii="宋体" w:hAnsi="宋体"/>
          <w:sz w:val="24"/>
          <w:szCs w:val="24"/>
        </w:rPr>
      </w:pPr>
      <w:permStart w:id="8" w:edGrp="everyone"/>
      <w:r>
        <w:rPr>
          <w:rFonts w:hint="eastAsia" w:ascii="宋体" w:hAnsi="宋体"/>
          <w:sz w:val="24"/>
          <w:szCs w:val="24"/>
        </w:rPr>
        <w:t>无</w:t>
      </w:r>
    </w:p>
    <w:permEnd w:id="8"/>
    <w:p w14:paraId="5863407E">
      <w:pPr>
        <w:snapToGrid w:val="0"/>
        <w:spacing w:line="440" w:lineRule="exact"/>
        <w:ind w:firstLine="560" w:firstLineChars="200"/>
        <w:rPr>
          <w:rFonts w:ascii="楷体" w:hAnsi="楷体" w:eastAsia="楷体"/>
          <w:bCs/>
          <w:color w:val="0070C0"/>
          <w:sz w:val="28"/>
          <w:szCs w:val="28"/>
        </w:rPr>
      </w:pPr>
      <w:r>
        <w:rPr>
          <w:rFonts w:hint="eastAsia" w:ascii="楷体" w:hAnsi="楷体" w:eastAsia="楷体"/>
          <w:bCs/>
          <w:color w:val="0070C0"/>
          <w:sz w:val="28"/>
          <w:szCs w:val="28"/>
        </w:rPr>
        <w:t>3</w:t>
      </w:r>
      <w:r>
        <w:rPr>
          <w:rFonts w:ascii="楷体" w:hAnsi="楷体" w:eastAsia="楷体"/>
          <w:bCs/>
          <w:color w:val="0070C0"/>
          <w:sz w:val="28"/>
          <w:szCs w:val="28"/>
        </w:rPr>
        <w:t xml:space="preserve">. </w:t>
      </w:r>
      <w:r>
        <w:rPr>
          <w:rFonts w:hint="eastAsia" w:ascii="楷体" w:hAnsi="楷体" w:eastAsia="楷体"/>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14:paraId="1F3C97CF">
      <w:pPr>
        <w:snapToGrid w:val="0"/>
        <w:spacing w:after="156" w:line="360" w:lineRule="auto"/>
        <w:ind w:firstLine="470" w:firstLineChars="196"/>
        <w:rPr>
          <w:rFonts w:ascii="宋体" w:hAnsi="宋体" w:cs="宋体"/>
          <w:bCs/>
          <w:sz w:val="24"/>
          <w:szCs w:val="24"/>
        </w:rPr>
      </w:pPr>
      <w:permStart w:id="9" w:edGrp="everyone"/>
      <w:r>
        <w:rPr>
          <w:rFonts w:hint="eastAsia" w:ascii="宋体" w:hAnsi="宋体"/>
          <w:sz w:val="24"/>
          <w:szCs w:val="24"/>
        </w:rPr>
        <w:t>无</w:t>
      </w:r>
    </w:p>
    <w:permEnd w:id="9"/>
    <w:p w14:paraId="280B1D8F">
      <w:pPr>
        <w:snapToGrid w:val="0"/>
        <w:spacing w:line="440" w:lineRule="exact"/>
        <w:ind w:firstLine="560" w:firstLineChars="200"/>
        <w:rPr>
          <w:rFonts w:ascii="楷体" w:hAnsi="楷体" w:eastAsia="楷体"/>
          <w:bCs/>
          <w:color w:val="0070C0"/>
          <w:sz w:val="28"/>
          <w:szCs w:val="28"/>
        </w:rPr>
      </w:pPr>
      <w:bookmarkStart w:id="26" w:name="OLE_LINK1"/>
      <w:r>
        <w:rPr>
          <w:rFonts w:hint="eastAsia" w:ascii="楷体" w:hAnsi="楷体" w:eastAsia="楷体"/>
          <w:bCs/>
          <w:color w:val="0070C0"/>
          <w:sz w:val="28"/>
          <w:szCs w:val="28"/>
        </w:rPr>
        <w:t>4</w:t>
      </w:r>
      <w:r>
        <w:rPr>
          <w:rFonts w:ascii="楷体" w:hAnsi="楷体" w:eastAsia="楷体"/>
          <w:bCs/>
          <w:color w:val="0070C0"/>
          <w:sz w:val="28"/>
          <w:szCs w:val="28"/>
        </w:rPr>
        <w:t xml:space="preserve">. </w:t>
      </w:r>
      <w:r>
        <w:rPr>
          <w:rFonts w:hint="eastAsia" w:ascii="楷体" w:hAnsi="楷体" w:eastAsia="楷体"/>
          <w:bCs/>
          <w:color w:val="0070C0"/>
          <w:sz w:val="28"/>
          <w:szCs w:val="28"/>
        </w:rPr>
        <w:t>申请人和主要参与者同年以不同专业技术职务（职称）申请或参与申请科学基金项目的情况（应详细说明原因）。</w:t>
      </w:r>
    </w:p>
    <w:bookmarkEnd w:id="26"/>
    <w:p w14:paraId="675353DE">
      <w:pPr>
        <w:snapToGrid w:val="0"/>
        <w:spacing w:after="156" w:line="360" w:lineRule="auto"/>
        <w:ind w:firstLine="470" w:firstLineChars="196"/>
        <w:rPr>
          <w:rFonts w:ascii="宋体" w:hAnsi="宋体"/>
          <w:sz w:val="24"/>
          <w:szCs w:val="24"/>
        </w:rPr>
      </w:pPr>
      <w:permStart w:id="10" w:edGrp="everyone"/>
      <w:r>
        <w:rPr>
          <w:rFonts w:hint="eastAsia" w:ascii="宋体" w:hAnsi="宋体"/>
          <w:sz w:val="24"/>
          <w:szCs w:val="24"/>
        </w:rPr>
        <w:t>无</w:t>
      </w:r>
    </w:p>
    <w:permEnd w:id="10"/>
    <w:p w14:paraId="59E90478">
      <w:pPr>
        <w:snapToGrid w:val="0"/>
        <w:spacing w:line="440" w:lineRule="exact"/>
        <w:ind w:firstLine="560" w:firstLineChars="200"/>
        <w:rPr>
          <w:rFonts w:ascii="楷体" w:hAnsi="楷体" w:eastAsia="楷体"/>
          <w:bCs/>
          <w:color w:val="0070C0"/>
          <w:sz w:val="28"/>
          <w:szCs w:val="28"/>
        </w:rPr>
      </w:pPr>
      <w:r>
        <w:rPr>
          <w:rFonts w:hint="eastAsia" w:ascii="楷体" w:hAnsi="楷体" w:eastAsia="楷体"/>
          <w:bCs/>
          <w:color w:val="0070C0"/>
          <w:sz w:val="28"/>
          <w:szCs w:val="28"/>
        </w:rPr>
        <w:t>5</w:t>
      </w:r>
      <w:r>
        <w:rPr>
          <w:rFonts w:ascii="楷体" w:hAnsi="楷体" w:eastAsia="楷体"/>
          <w:bCs/>
          <w:color w:val="0070C0"/>
          <w:sz w:val="28"/>
          <w:szCs w:val="28"/>
        </w:rPr>
        <w:t xml:space="preserve">. </w:t>
      </w:r>
      <w:r>
        <w:rPr>
          <w:rFonts w:hint="eastAsia" w:ascii="楷体" w:hAnsi="楷体" w:eastAsia="楷体"/>
          <w:bCs/>
          <w:color w:val="0070C0"/>
          <w:sz w:val="28"/>
          <w:szCs w:val="28"/>
        </w:rPr>
        <w:t>其他。</w:t>
      </w:r>
    </w:p>
    <w:p w14:paraId="1B0171F1">
      <w:pPr>
        <w:snapToGrid w:val="0"/>
        <w:spacing w:after="156" w:line="360" w:lineRule="auto"/>
        <w:ind w:firstLine="470" w:firstLineChars="196"/>
        <w:rPr>
          <w:rFonts w:ascii="宋体" w:hAnsi="宋体" w:cs="宋体"/>
          <w:sz w:val="24"/>
          <w:szCs w:val="24"/>
        </w:rPr>
      </w:pPr>
      <w:permStart w:id="11" w:edGrp="everyone"/>
      <w:r>
        <w:rPr>
          <w:rFonts w:hint="eastAsia" w:ascii="宋体" w:hAnsi="宋体" w:cs="宋体"/>
          <w:sz w:val="24"/>
          <w:szCs w:val="24"/>
        </w:rPr>
        <w:t>无</w:t>
      </w:r>
      <w:permEnd w:id="11"/>
    </w:p>
    <w:sectPr>
      <w:pgSz w:w="11906" w:h="16838"/>
      <w:pgMar w:top="1418" w:right="1701" w:bottom="1418"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634994E9-92FB-4E0D-9313-B44523054A73}"/>
  </w:font>
  <w:font w:name="Arial">
    <w:panose1 w:val="020B0604020202020204"/>
    <w:charset w:val="01"/>
    <w:family w:val="swiss"/>
    <w:pitch w:val="default"/>
    <w:sig w:usb0="E0002EFF" w:usb1="C000785B" w:usb2="00000009" w:usb3="00000000" w:csb0="400001FF" w:csb1="FFFF0000"/>
    <w:embedRegular r:id="rId2" w:fontKey="{1DB42623-4050-44DD-B27E-C4A9244814D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B12718AF-F303-4EFB-9744-781B9DBF0D47}"/>
  </w:font>
  <w:font w:name="Symbol">
    <w:panose1 w:val="05050102010706020507"/>
    <w:charset w:val="02"/>
    <w:family w:val="roman"/>
    <w:pitch w:val="default"/>
    <w:sig w:usb0="00000000" w:usb1="00000000" w:usb2="00000000" w:usb3="00000000" w:csb0="80000000" w:csb1="00000000"/>
    <w:embedRegular r:id="rId4" w:fontKey="{C5AEC8EB-C919-4E85-875F-84B1EC259422}"/>
  </w:font>
  <w:font w:name="Calibri">
    <w:panose1 w:val="020F0502020204030204"/>
    <w:charset w:val="00"/>
    <w:family w:val="swiss"/>
    <w:pitch w:val="default"/>
    <w:sig w:usb0="E4002EFF" w:usb1="C000247B" w:usb2="00000009" w:usb3="00000000" w:csb0="200001FF" w:csb1="00000000"/>
    <w:embedRegular r:id="rId5" w:fontKey="{879A3EFE-1546-4C37-AFAB-CC965B038C7C}"/>
  </w:font>
  <w:font w:name="仿宋">
    <w:panose1 w:val="02010609060101010101"/>
    <w:charset w:val="86"/>
    <w:family w:val="modern"/>
    <w:pitch w:val="default"/>
    <w:sig w:usb0="800002BF" w:usb1="38CF7CFA" w:usb2="00000016" w:usb3="00000000" w:csb0="00040001" w:csb1="00000000"/>
  </w:font>
  <w:font w:name="Times New Roman bold">
    <w:altName w:val="Times New Roman"/>
    <w:panose1 w:val="02020803070505020304"/>
    <w:charset w:val="00"/>
    <w:family w:val="roman"/>
    <w:pitch w:val="default"/>
    <w:sig w:usb0="00000000" w:usb1="00000000" w:usb2="00000000" w:usb3="00000000" w:csb0="00040001" w:csb1="00000000"/>
    <w:embedRegular r:id="rId6" w:fontKey="{071B0AF4-84C6-4BE5-AC28-34C373C5D1F7}"/>
  </w:font>
  <w:font w:name="方正黑体_GBK">
    <w:altName w:val="微软雅黑"/>
    <w:panose1 w:val="00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embedRegular r:id="rId7" w:fontKey="{822A26F8-BFEF-4A78-8870-D841B1A20900}"/>
  </w:font>
  <w:font w:name="楷体">
    <w:panose1 w:val="02010609060101010101"/>
    <w:charset w:val="86"/>
    <w:family w:val="modern"/>
    <w:pitch w:val="default"/>
    <w:sig w:usb0="800002BF" w:usb1="38CF7CFA" w:usb2="00000016" w:usb3="00000000" w:csb0="00040001" w:csb1="00000000"/>
    <w:embedRegular r:id="rId8" w:fontKey="{B1413892-6B9F-408A-9843-A0DD723673CA}"/>
  </w:font>
  <w:font w:name="楷体_GB2312">
    <w:altName w:val="楷体"/>
    <w:panose1 w:val="00000000000000000000"/>
    <w:charset w:val="86"/>
    <w:family w:val="modern"/>
    <w:pitch w:val="default"/>
    <w:sig w:usb0="00000000" w:usb1="00000000" w:usb2="00000000" w:usb3="00000000" w:csb0="00040000" w:csb1="00000000"/>
    <w:embedRegular r:id="rId9" w:fontKey="{834A5673-2D14-45E3-84D2-AB15496135FF}"/>
  </w:font>
  <w:font w:name="MS Mincho">
    <w:altName w:val="Yu Gothic UI"/>
    <w:panose1 w:val="02020609040205080304"/>
    <w:charset w:val="80"/>
    <w:family w:val="modern"/>
    <w:pitch w:val="default"/>
    <w:sig w:usb0="00000000" w:usb1="00000000" w:usb2="08000012" w:usb3="00000000" w:csb0="0002009F" w:csb1="00000000"/>
    <w:embedRegular r:id="rId10" w:fontKey="{F4FB84F4-372A-4787-A475-F33F2A42FAE7}"/>
  </w:font>
  <w:font w:name="ＭＳ 明朝">
    <w:altName w:val="Segoe Print"/>
    <w:panose1 w:val="00000000000000000000"/>
    <w:charset w:val="00"/>
    <w:family w:val="auto"/>
    <w:pitch w:val="default"/>
    <w:sig w:usb0="00000000" w:usb1="00000000" w:usb2="00000000" w:usb3="00000000" w:csb0="00000000" w:csb1="00000000"/>
    <w:embedRegular r:id="rId11" w:fontKey="{22A2F4C5-EAD7-49A2-A036-E63ED6D90282}"/>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D99225"/>
    <w:multiLevelType w:val="singleLevel"/>
    <w:tmpl w:val="EFD99225"/>
    <w:lvl w:ilvl="0" w:tentative="0">
      <w:start w:val="1"/>
      <w:numFmt w:val="decimal"/>
      <w:suff w:val="space"/>
      <w:lvlText w:val="%1."/>
      <w:lvlJc w:val="left"/>
    </w:lvl>
  </w:abstractNum>
  <w:abstractNum w:abstractNumId="1">
    <w:nsid w:val="F334D980"/>
    <w:multiLevelType w:val="singleLevel"/>
    <w:tmpl w:val="F334D980"/>
    <w:lvl w:ilvl="0" w:tentative="0">
      <w:start w:val="1"/>
      <w:numFmt w:val="decimal"/>
      <w:lvlText w:val="%1."/>
      <w:lvlJc w:val="left"/>
      <w:pPr>
        <w:ind w:left="425" w:hanging="425"/>
      </w:pPr>
      <w:rPr>
        <w:rFonts w:hint="default"/>
      </w:rPr>
    </w:lvl>
  </w:abstractNum>
  <w:abstractNum w:abstractNumId="2">
    <w:nsid w:val="58F831B8"/>
    <w:multiLevelType w:val="singleLevel"/>
    <w:tmpl w:val="58F831B8"/>
    <w:lvl w:ilvl="0" w:tentative="0">
      <w:start w:val="1"/>
      <w:numFmt w:val="decimal"/>
      <w:suff w:val="space"/>
      <w:lvlText w:val="%1."/>
      <w:lvlJc w:val="left"/>
      <w:pPr>
        <w:ind w:left="420"/>
      </w:pPr>
    </w:lvl>
  </w:abstractNum>
  <w:abstractNum w:abstractNumId="3">
    <w:nsid w:val="5FC568C1"/>
    <w:multiLevelType w:val="singleLevel"/>
    <w:tmpl w:val="5FC568C1"/>
    <w:lvl w:ilvl="0" w:tentative="0">
      <w:start w:val="1"/>
      <w:numFmt w:val="decimal"/>
      <w:suff w:val="nothing"/>
      <w:lvlText w:val="（%1）"/>
      <w:lvlJc w:val="left"/>
    </w:lvl>
  </w:abstractNum>
  <w:abstractNum w:abstractNumId="4">
    <w:nsid w:val="6DD222EF"/>
    <w:multiLevelType w:val="singleLevel"/>
    <w:tmpl w:val="6DD222EF"/>
    <w:lvl w:ilvl="0" w:tentative="0">
      <w:start w:val="1"/>
      <w:numFmt w:val="decimal"/>
      <w:suff w:val="nothing"/>
      <w:lvlText w:val="%1）"/>
      <w:lvlJc w:val="left"/>
    </w:lvl>
  </w:abstractNum>
  <w:abstractNum w:abstractNumId="5">
    <w:nsid w:val="73724637"/>
    <w:multiLevelType w:val="singleLevel"/>
    <w:tmpl w:val="73724637"/>
    <w:lvl w:ilvl="0" w:tentative="0">
      <w:start w:val="3"/>
      <w:numFmt w:val="decimal"/>
      <w:suff w:val="nothing"/>
      <w:lvlText w:val="（%1）"/>
      <w:lvlJc w:val="left"/>
      <w:rPr>
        <w:rFonts w:hint="default"/>
        <w:b/>
        <w:bCs/>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1"/>
  <w:bordersDoNotSurroundFooter w:val="1"/>
  <w:documentProtection w:edit="readOnly"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567"/>
    <w:rsid w:val="00003EFC"/>
    <w:rsid w:val="000117D1"/>
    <w:rsid w:val="00027D92"/>
    <w:rsid w:val="00030F25"/>
    <w:rsid w:val="00035EA8"/>
    <w:rsid w:val="00043B1E"/>
    <w:rsid w:val="00045EB2"/>
    <w:rsid w:val="00051988"/>
    <w:rsid w:val="0005478C"/>
    <w:rsid w:val="000548C2"/>
    <w:rsid w:val="00072922"/>
    <w:rsid w:val="00072965"/>
    <w:rsid w:val="000729AD"/>
    <w:rsid w:val="00081FFC"/>
    <w:rsid w:val="00084A3E"/>
    <w:rsid w:val="000918BB"/>
    <w:rsid w:val="000A7511"/>
    <w:rsid w:val="000B5541"/>
    <w:rsid w:val="000C3B73"/>
    <w:rsid w:val="000E1317"/>
    <w:rsid w:val="000E4C3F"/>
    <w:rsid w:val="000E6C39"/>
    <w:rsid w:val="000E7FB5"/>
    <w:rsid w:val="000F6FE1"/>
    <w:rsid w:val="001153E9"/>
    <w:rsid w:val="0011637C"/>
    <w:rsid w:val="00132714"/>
    <w:rsid w:val="00132A50"/>
    <w:rsid w:val="001349C0"/>
    <w:rsid w:val="0013733C"/>
    <w:rsid w:val="001557C1"/>
    <w:rsid w:val="0016245F"/>
    <w:rsid w:val="00173DB9"/>
    <w:rsid w:val="001741B7"/>
    <w:rsid w:val="0018239D"/>
    <w:rsid w:val="00183D97"/>
    <w:rsid w:val="0018412B"/>
    <w:rsid w:val="001925F7"/>
    <w:rsid w:val="00193D03"/>
    <w:rsid w:val="00196253"/>
    <w:rsid w:val="001A6F62"/>
    <w:rsid w:val="001B178A"/>
    <w:rsid w:val="001B21E2"/>
    <w:rsid w:val="001B2A7B"/>
    <w:rsid w:val="001C24A1"/>
    <w:rsid w:val="001C4C3C"/>
    <w:rsid w:val="001C76FD"/>
    <w:rsid w:val="001D00BA"/>
    <w:rsid w:val="001D10C2"/>
    <w:rsid w:val="001D4606"/>
    <w:rsid w:val="001D5F6A"/>
    <w:rsid w:val="001E0A46"/>
    <w:rsid w:val="001E0F62"/>
    <w:rsid w:val="001E51A9"/>
    <w:rsid w:val="001E6892"/>
    <w:rsid w:val="001E69DD"/>
    <w:rsid w:val="001F25D6"/>
    <w:rsid w:val="00202B2F"/>
    <w:rsid w:val="0020563C"/>
    <w:rsid w:val="002113AA"/>
    <w:rsid w:val="0021307B"/>
    <w:rsid w:val="002137BE"/>
    <w:rsid w:val="00213C1C"/>
    <w:rsid w:val="0021529A"/>
    <w:rsid w:val="0022224D"/>
    <w:rsid w:val="00225B22"/>
    <w:rsid w:val="002343A9"/>
    <w:rsid w:val="00234CAC"/>
    <w:rsid w:val="00236A13"/>
    <w:rsid w:val="00237297"/>
    <w:rsid w:val="00237A6B"/>
    <w:rsid w:val="0024126E"/>
    <w:rsid w:val="00246D35"/>
    <w:rsid w:val="00247B12"/>
    <w:rsid w:val="00255727"/>
    <w:rsid w:val="00256858"/>
    <w:rsid w:val="00260E05"/>
    <w:rsid w:val="00264E6A"/>
    <w:rsid w:val="00266C0C"/>
    <w:rsid w:val="002734BF"/>
    <w:rsid w:val="002738F4"/>
    <w:rsid w:val="00275BD1"/>
    <w:rsid w:val="00276E03"/>
    <w:rsid w:val="00276E87"/>
    <w:rsid w:val="00291082"/>
    <w:rsid w:val="00292BBB"/>
    <w:rsid w:val="00293443"/>
    <w:rsid w:val="00293657"/>
    <w:rsid w:val="002962D8"/>
    <w:rsid w:val="002A4751"/>
    <w:rsid w:val="002A55F3"/>
    <w:rsid w:val="002A7D40"/>
    <w:rsid w:val="002B0857"/>
    <w:rsid w:val="002B6945"/>
    <w:rsid w:val="002B7450"/>
    <w:rsid w:val="002C0E99"/>
    <w:rsid w:val="002D2E34"/>
    <w:rsid w:val="002D3281"/>
    <w:rsid w:val="002D331F"/>
    <w:rsid w:val="002D4603"/>
    <w:rsid w:val="002E083D"/>
    <w:rsid w:val="002E5DF7"/>
    <w:rsid w:val="002F021B"/>
    <w:rsid w:val="002F1E44"/>
    <w:rsid w:val="00305463"/>
    <w:rsid w:val="003119FA"/>
    <w:rsid w:val="00313845"/>
    <w:rsid w:val="0031481A"/>
    <w:rsid w:val="00317489"/>
    <w:rsid w:val="003202C0"/>
    <w:rsid w:val="00323B75"/>
    <w:rsid w:val="003242D7"/>
    <w:rsid w:val="0033411D"/>
    <w:rsid w:val="00334174"/>
    <w:rsid w:val="00335E60"/>
    <w:rsid w:val="00337150"/>
    <w:rsid w:val="003457C8"/>
    <w:rsid w:val="0034736C"/>
    <w:rsid w:val="003559E1"/>
    <w:rsid w:val="0035609F"/>
    <w:rsid w:val="00362270"/>
    <w:rsid w:val="003633B6"/>
    <w:rsid w:val="00366230"/>
    <w:rsid w:val="0036710C"/>
    <w:rsid w:val="00371D6C"/>
    <w:rsid w:val="00375E81"/>
    <w:rsid w:val="00375FE9"/>
    <w:rsid w:val="003801B9"/>
    <w:rsid w:val="00392222"/>
    <w:rsid w:val="003A20AE"/>
    <w:rsid w:val="003B35CE"/>
    <w:rsid w:val="003B5AD5"/>
    <w:rsid w:val="003B61BB"/>
    <w:rsid w:val="003C3005"/>
    <w:rsid w:val="003C4BE8"/>
    <w:rsid w:val="003D341F"/>
    <w:rsid w:val="003D50CC"/>
    <w:rsid w:val="003E68F1"/>
    <w:rsid w:val="003F16D0"/>
    <w:rsid w:val="003F47B2"/>
    <w:rsid w:val="003F6626"/>
    <w:rsid w:val="004002C6"/>
    <w:rsid w:val="0040567C"/>
    <w:rsid w:val="00406B5B"/>
    <w:rsid w:val="00416C43"/>
    <w:rsid w:val="004179E4"/>
    <w:rsid w:val="00417D5F"/>
    <w:rsid w:val="004238C3"/>
    <w:rsid w:val="00426E1B"/>
    <w:rsid w:val="00434FF2"/>
    <w:rsid w:val="0044246A"/>
    <w:rsid w:val="004436FE"/>
    <w:rsid w:val="00450DDE"/>
    <w:rsid w:val="004617FE"/>
    <w:rsid w:val="004704C7"/>
    <w:rsid w:val="00475265"/>
    <w:rsid w:val="00476F50"/>
    <w:rsid w:val="00477998"/>
    <w:rsid w:val="00480183"/>
    <w:rsid w:val="004921D1"/>
    <w:rsid w:val="00492FC4"/>
    <w:rsid w:val="00494706"/>
    <w:rsid w:val="004A01D0"/>
    <w:rsid w:val="004A0E7F"/>
    <w:rsid w:val="004A2736"/>
    <w:rsid w:val="004A7967"/>
    <w:rsid w:val="004B75A7"/>
    <w:rsid w:val="004C048B"/>
    <w:rsid w:val="004D082B"/>
    <w:rsid w:val="004D11E8"/>
    <w:rsid w:val="004D6898"/>
    <w:rsid w:val="004D79A4"/>
    <w:rsid w:val="004E1846"/>
    <w:rsid w:val="004E2E30"/>
    <w:rsid w:val="004E42F3"/>
    <w:rsid w:val="004E4C08"/>
    <w:rsid w:val="004E4D0D"/>
    <w:rsid w:val="004E6A2F"/>
    <w:rsid w:val="004E6D93"/>
    <w:rsid w:val="004F6131"/>
    <w:rsid w:val="005029AE"/>
    <w:rsid w:val="00507151"/>
    <w:rsid w:val="00520789"/>
    <w:rsid w:val="00523DE0"/>
    <w:rsid w:val="00527108"/>
    <w:rsid w:val="0053184D"/>
    <w:rsid w:val="005350B8"/>
    <w:rsid w:val="0054362D"/>
    <w:rsid w:val="005509D8"/>
    <w:rsid w:val="005548A8"/>
    <w:rsid w:val="0055530F"/>
    <w:rsid w:val="00562857"/>
    <w:rsid w:val="00566A8A"/>
    <w:rsid w:val="00567F61"/>
    <w:rsid w:val="005703E0"/>
    <w:rsid w:val="00574562"/>
    <w:rsid w:val="005766AB"/>
    <w:rsid w:val="00584BFF"/>
    <w:rsid w:val="00593F0D"/>
    <w:rsid w:val="005957AD"/>
    <w:rsid w:val="005A0593"/>
    <w:rsid w:val="005A72F4"/>
    <w:rsid w:val="005C041F"/>
    <w:rsid w:val="005C210E"/>
    <w:rsid w:val="005C48F4"/>
    <w:rsid w:val="005C7CE5"/>
    <w:rsid w:val="005D2F68"/>
    <w:rsid w:val="005D5BF6"/>
    <w:rsid w:val="005E18F4"/>
    <w:rsid w:val="005E5D63"/>
    <w:rsid w:val="00607DDE"/>
    <w:rsid w:val="00616A0A"/>
    <w:rsid w:val="00617EDE"/>
    <w:rsid w:val="0062192C"/>
    <w:rsid w:val="00630D64"/>
    <w:rsid w:val="00631568"/>
    <w:rsid w:val="0063309D"/>
    <w:rsid w:val="00633572"/>
    <w:rsid w:val="006431EC"/>
    <w:rsid w:val="0065252C"/>
    <w:rsid w:val="006534DB"/>
    <w:rsid w:val="00653F8C"/>
    <w:rsid w:val="00662598"/>
    <w:rsid w:val="0066606F"/>
    <w:rsid w:val="00684E1E"/>
    <w:rsid w:val="006858AA"/>
    <w:rsid w:val="00690025"/>
    <w:rsid w:val="00694AB7"/>
    <w:rsid w:val="00697ED9"/>
    <w:rsid w:val="006A24D5"/>
    <w:rsid w:val="006A2945"/>
    <w:rsid w:val="006A2C46"/>
    <w:rsid w:val="006A70B9"/>
    <w:rsid w:val="006B3F58"/>
    <w:rsid w:val="006C29EC"/>
    <w:rsid w:val="006C536F"/>
    <w:rsid w:val="006C5B15"/>
    <w:rsid w:val="006C6DA0"/>
    <w:rsid w:val="006D0837"/>
    <w:rsid w:val="006D10DC"/>
    <w:rsid w:val="006E0792"/>
    <w:rsid w:val="006E39A2"/>
    <w:rsid w:val="006E47D1"/>
    <w:rsid w:val="006E6991"/>
    <w:rsid w:val="006F16AB"/>
    <w:rsid w:val="006F298C"/>
    <w:rsid w:val="006F4122"/>
    <w:rsid w:val="006F4A36"/>
    <w:rsid w:val="006F5914"/>
    <w:rsid w:val="006F7454"/>
    <w:rsid w:val="007003C5"/>
    <w:rsid w:val="007023FF"/>
    <w:rsid w:val="00713B24"/>
    <w:rsid w:val="007153CA"/>
    <w:rsid w:val="0072142A"/>
    <w:rsid w:val="00730EC4"/>
    <w:rsid w:val="00732C89"/>
    <w:rsid w:val="007367CD"/>
    <w:rsid w:val="007374EA"/>
    <w:rsid w:val="007408BA"/>
    <w:rsid w:val="00740994"/>
    <w:rsid w:val="00740BE6"/>
    <w:rsid w:val="00741C58"/>
    <w:rsid w:val="00743C28"/>
    <w:rsid w:val="00745D74"/>
    <w:rsid w:val="00747883"/>
    <w:rsid w:val="007536BD"/>
    <w:rsid w:val="00756A91"/>
    <w:rsid w:val="00767909"/>
    <w:rsid w:val="00780E88"/>
    <w:rsid w:val="00791FE8"/>
    <w:rsid w:val="00794B9D"/>
    <w:rsid w:val="00795B94"/>
    <w:rsid w:val="0079610B"/>
    <w:rsid w:val="007A58CB"/>
    <w:rsid w:val="007C7B7A"/>
    <w:rsid w:val="007E722F"/>
    <w:rsid w:val="007F29BC"/>
    <w:rsid w:val="007F2D65"/>
    <w:rsid w:val="007F5EBD"/>
    <w:rsid w:val="007F7A95"/>
    <w:rsid w:val="00802A21"/>
    <w:rsid w:val="0080374F"/>
    <w:rsid w:val="00811C8E"/>
    <w:rsid w:val="00815642"/>
    <w:rsid w:val="00820214"/>
    <w:rsid w:val="00825AA5"/>
    <w:rsid w:val="00831C95"/>
    <w:rsid w:val="008407F5"/>
    <w:rsid w:val="008414AB"/>
    <w:rsid w:val="008423AA"/>
    <w:rsid w:val="008447F9"/>
    <w:rsid w:val="00845ACE"/>
    <w:rsid w:val="00851F2E"/>
    <w:rsid w:val="00854C22"/>
    <w:rsid w:val="008550E2"/>
    <w:rsid w:val="0085528D"/>
    <w:rsid w:val="008632A2"/>
    <w:rsid w:val="0086586A"/>
    <w:rsid w:val="0086715D"/>
    <w:rsid w:val="00870850"/>
    <w:rsid w:val="008772E1"/>
    <w:rsid w:val="00877B44"/>
    <w:rsid w:val="00885D8F"/>
    <w:rsid w:val="00886883"/>
    <w:rsid w:val="00897562"/>
    <w:rsid w:val="008A30C3"/>
    <w:rsid w:val="008A6B42"/>
    <w:rsid w:val="008B00E9"/>
    <w:rsid w:val="008B1374"/>
    <w:rsid w:val="008C090F"/>
    <w:rsid w:val="008C0A59"/>
    <w:rsid w:val="008C4F38"/>
    <w:rsid w:val="008C75DB"/>
    <w:rsid w:val="008C7CE4"/>
    <w:rsid w:val="008D1004"/>
    <w:rsid w:val="008D1B55"/>
    <w:rsid w:val="008D43E8"/>
    <w:rsid w:val="008E18BD"/>
    <w:rsid w:val="008E28F0"/>
    <w:rsid w:val="008E5349"/>
    <w:rsid w:val="008E6C70"/>
    <w:rsid w:val="008F542C"/>
    <w:rsid w:val="00901532"/>
    <w:rsid w:val="00901DB1"/>
    <w:rsid w:val="00912365"/>
    <w:rsid w:val="00916E34"/>
    <w:rsid w:val="009177A9"/>
    <w:rsid w:val="00924781"/>
    <w:rsid w:val="00924D4C"/>
    <w:rsid w:val="00933065"/>
    <w:rsid w:val="0093528D"/>
    <w:rsid w:val="00942D44"/>
    <w:rsid w:val="009447DF"/>
    <w:rsid w:val="0094727B"/>
    <w:rsid w:val="0095084C"/>
    <w:rsid w:val="009572C9"/>
    <w:rsid w:val="009579F6"/>
    <w:rsid w:val="00973820"/>
    <w:rsid w:val="00973F8F"/>
    <w:rsid w:val="0097546F"/>
    <w:rsid w:val="00981A57"/>
    <w:rsid w:val="00984051"/>
    <w:rsid w:val="00993AAD"/>
    <w:rsid w:val="00993CED"/>
    <w:rsid w:val="00994099"/>
    <w:rsid w:val="0099554F"/>
    <w:rsid w:val="009A232D"/>
    <w:rsid w:val="009A33E4"/>
    <w:rsid w:val="009A3C24"/>
    <w:rsid w:val="009A7204"/>
    <w:rsid w:val="009A7947"/>
    <w:rsid w:val="009A7BF9"/>
    <w:rsid w:val="009B0B5D"/>
    <w:rsid w:val="009B21C4"/>
    <w:rsid w:val="009B78D3"/>
    <w:rsid w:val="009C1044"/>
    <w:rsid w:val="009C74DC"/>
    <w:rsid w:val="009D12E9"/>
    <w:rsid w:val="009E248B"/>
    <w:rsid w:val="009E44FE"/>
    <w:rsid w:val="00A04908"/>
    <w:rsid w:val="00A0491B"/>
    <w:rsid w:val="00A05C63"/>
    <w:rsid w:val="00A1060E"/>
    <w:rsid w:val="00A113EE"/>
    <w:rsid w:val="00A11DC3"/>
    <w:rsid w:val="00A17F30"/>
    <w:rsid w:val="00A2201B"/>
    <w:rsid w:val="00A22125"/>
    <w:rsid w:val="00A24E00"/>
    <w:rsid w:val="00A3134D"/>
    <w:rsid w:val="00A36ABC"/>
    <w:rsid w:val="00A37370"/>
    <w:rsid w:val="00A37C3F"/>
    <w:rsid w:val="00A405E1"/>
    <w:rsid w:val="00A448E2"/>
    <w:rsid w:val="00A47567"/>
    <w:rsid w:val="00A5318F"/>
    <w:rsid w:val="00A54A12"/>
    <w:rsid w:val="00A601CB"/>
    <w:rsid w:val="00A70682"/>
    <w:rsid w:val="00A71047"/>
    <w:rsid w:val="00A77B81"/>
    <w:rsid w:val="00A8276D"/>
    <w:rsid w:val="00A84860"/>
    <w:rsid w:val="00A84CFC"/>
    <w:rsid w:val="00A906B3"/>
    <w:rsid w:val="00A93B73"/>
    <w:rsid w:val="00A95F44"/>
    <w:rsid w:val="00AA1E15"/>
    <w:rsid w:val="00AA7B1A"/>
    <w:rsid w:val="00AB05DF"/>
    <w:rsid w:val="00AB2E82"/>
    <w:rsid w:val="00AB2F6E"/>
    <w:rsid w:val="00AB349F"/>
    <w:rsid w:val="00AB4B51"/>
    <w:rsid w:val="00AB7DC0"/>
    <w:rsid w:val="00AC15B9"/>
    <w:rsid w:val="00AC32D7"/>
    <w:rsid w:val="00AC4F99"/>
    <w:rsid w:val="00AD3618"/>
    <w:rsid w:val="00AD69C2"/>
    <w:rsid w:val="00AE0BD9"/>
    <w:rsid w:val="00AE7A4E"/>
    <w:rsid w:val="00AF2D9A"/>
    <w:rsid w:val="00B178D6"/>
    <w:rsid w:val="00B2063C"/>
    <w:rsid w:val="00B23DEB"/>
    <w:rsid w:val="00B25986"/>
    <w:rsid w:val="00B36270"/>
    <w:rsid w:val="00B40ADE"/>
    <w:rsid w:val="00B41522"/>
    <w:rsid w:val="00B42281"/>
    <w:rsid w:val="00B55150"/>
    <w:rsid w:val="00B60D88"/>
    <w:rsid w:val="00B66111"/>
    <w:rsid w:val="00B66227"/>
    <w:rsid w:val="00B902E7"/>
    <w:rsid w:val="00B9165D"/>
    <w:rsid w:val="00B94800"/>
    <w:rsid w:val="00B970F2"/>
    <w:rsid w:val="00B97112"/>
    <w:rsid w:val="00B971BA"/>
    <w:rsid w:val="00B97CD5"/>
    <w:rsid w:val="00B97FAA"/>
    <w:rsid w:val="00BA0601"/>
    <w:rsid w:val="00BA1673"/>
    <w:rsid w:val="00BB29AB"/>
    <w:rsid w:val="00BC38B8"/>
    <w:rsid w:val="00BC4B35"/>
    <w:rsid w:val="00BD0FA7"/>
    <w:rsid w:val="00BD1F70"/>
    <w:rsid w:val="00BD5702"/>
    <w:rsid w:val="00BE1FAB"/>
    <w:rsid w:val="00BF786F"/>
    <w:rsid w:val="00C05E39"/>
    <w:rsid w:val="00C05FF2"/>
    <w:rsid w:val="00C07566"/>
    <w:rsid w:val="00C14474"/>
    <w:rsid w:val="00C32594"/>
    <w:rsid w:val="00C325DB"/>
    <w:rsid w:val="00C34ABD"/>
    <w:rsid w:val="00C447CA"/>
    <w:rsid w:val="00C45D03"/>
    <w:rsid w:val="00C525EC"/>
    <w:rsid w:val="00C64E27"/>
    <w:rsid w:val="00C650A1"/>
    <w:rsid w:val="00C7000F"/>
    <w:rsid w:val="00C75509"/>
    <w:rsid w:val="00C84402"/>
    <w:rsid w:val="00C84DBE"/>
    <w:rsid w:val="00C90C49"/>
    <w:rsid w:val="00C91A7F"/>
    <w:rsid w:val="00C92802"/>
    <w:rsid w:val="00C94E79"/>
    <w:rsid w:val="00C97A51"/>
    <w:rsid w:val="00CA3F93"/>
    <w:rsid w:val="00CB0F72"/>
    <w:rsid w:val="00CB1921"/>
    <w:rsid w:val="00CC5CBA"/>
    <w:rsid w:val="00CD4028"/>
    <w:rsid w:val="00CE2489"/>
    <w:rsid w:val="00CF29BF"/>
    <w:rsid w:val="00CF5B32"/>
    <w:rsid w:val="00D00AE0"/>
    <w:rsid w:val="00D11E58"/>
    <w:rsid w:val="00D13040"/>
    <w:rsid w:val="00D219F6"/>
    <w:rsid w:val="00D22336"/>
    <w:rsid w:val="00D230BF"/>
    <w:rsid w:val="00D2431C"/>
    <w:rsid w:val="00D2795D"/>
    <w:rsid w:val="00D27BA4"/>
    <w:rsid w:val="00D30632"/>
    <w:rsid w:val="00D33B14"/>
    <w:rsid w:val="00D45053"/>
    <w:rsid w:val="00D46940"/>
    <w:rsid w:val="00D62B0F"/>
    <w:rsid w:val="00D67496"/>
    <w:rsid w:val="00D85683"/>
    <w:rsid w:val="00D90D9C"/>
    <w:rsid w:val="00D91C2B"/>
    <w:rsid w:val="00D91D9C"/>
    <w:rsid w:val="00D962A5"/>
    <w:rsid w:val="00DA1763"/>
    <w:rsid w:val="00DA213C"/>
    <w:rsid w:val="00DB0E98"/>
    <w:rsid w:val="00DB67DB"/>
    <w:rsid w:val="00DC230D"/>
    <w:rsid w:val="00DE1200"/>
    <w:rsid w:val="00DE6BDB"/>
    <w:rsid w:val="00DF7F80"/>
    <w:rsid w:val="00E000B9"/>
    <w:rsid w:val="00E00BAA"/>
    <w:rsid w:val="00E03198"/>
    <w:rsid w:val="00E031F1"/>
    <w:rsid w:val="00E06F80"/>
    <w:rsid w:val="00E07380"/>
    <w:rsid w:val="00E12C6E"/>
    <w:rsid w:val="00E15BC9"/>
    <w:rsid w:val="00E22D95"/>
    <w:rsid w:val="00E267F7"/>
    <w:rsid w:val="00E323B4"/>
    <w:rsid w:val="00E3567D"/>
    <w:rsid w:val="00E44578"/>
    <w:rsid w:val="00E455A2"/>
    <w:rsid w:val="00E539DF"/>
    <w:rsid w:val="00E565DE"/>
    <w:rsid w:val="00E567FC"/>
    <w:rsid w:val="00E60FCD"/>
    <w:rsid w:val="00E7659B"/>
    <w:rsid w:val="00E917CF"/>
    <w:rsid w:val="00E91F25"/>
    <w:rsid w:val="00E96F99"/>
    <w:rsid w:val="00EA24B4"/>
    <w:rsid w:val="00EB0722"/>
    <w:rsid w:val="00EB6B46"/>
    <w:rsid w:val="00EB71E6"/>
    <w:rsid w:val="00EC03A9"/>
    <w:rsid w:val="00EC37C6"/>
    <w:rsid w:val="00EE09A0"/>
    <w:rsid w:val="00EE416B"/>
    <w:rsid w:val="00EE5B3D"/>
    <w:rsid w:val="00EE6855"/>
    <w:rsid w:val="00EF304D"/>
    <w:rsid w:val="00EF4DE6"/>
    <w:rsid w:val="00F0050E"/>
    <w:rsid w:val="00F05D0D"/>
    <w:rsid w:val="00F0607F"/>
    <w:rsid w:val="00F128F7"/>
    <w:rsid w:val="00F15DAF"/>
    <w:rsid w:val="00F17965"/>
    <w:rsid w:val="00F225E8"/>
    <w:rsid w:val="00F22871"/>
    <w:rsid w:val="00F259F2"/>
    <w:rsid w:val="00F35338"/>
    <w:rsid w:val="00F43673"/>
    <w:rsid w:val="00F44F90"/>
    <w:rsid w:val="00F51B49"/>
    <w:rsid w:val="00F64360"/>
    <w:rsid w:val="00F66D8C"/>
    <w:rsid w:val="00F71A0D"/>
    <w:rsid w:val="00F727A3"/>
    <w:rsid w:val="00F75CFC"/>
    <w:rsid w:val="00F842ED"/>
    <w:rsid w:val="00F877CE"/>
    <w:rsid w:val="00F93484"/>
    <w:rsid w:val="00F96161"/>
    <w:rsid w:val="00F971DD"/>
    <w:rsid w:val="00FA0898"/>
    <w:rsid w:val="00FA1EA3"/>
    <w:rsid w:val="00FA347D"/>
    <w:rsid w:val="00FB5B1A"/>
    <w:rsid w:val="00FB7D13"/>
    <w:rsid w:val="00FC003B"/>
    <w:rsid w:val="00FC389D"/>
    <w:rsid w:val="00FC544E"/>
    <w:rsid w:val="00FC6020"/>
    <w:rsid w:val="00FD3396"/>
    <w:rsid w:val="00FE00F8"/>
    <w:rsid w:val="00FE6600"/>
    <w:rsid w:val="00FF0431"/>
    <w:rsid w:val="01A17AD0"/>
    <w:rsid w:val="03ED3E80"/>
    <w:rsid w:val="05441916"/>
    <w:rsid w:val="060C0715"/>
    <w:rsid w:val="0649083C"/>
    <w:rsid w:val="0695448B"/>
    <w:rsid w:val="07312F1B"/>
    <w:rsid w:val="07837E23"/>
    <w:rsid w:val="088C7F76"/>
    <w:rsid w:val="08E26F0C"/>
    <w:rsid w:val="09646A02"/>
    <w:rsid w:val="0A2E3526"/>
    <w:rsid w:val="0A596E75"/>
    <w:rsid w:val="0AD05F14"/>
    <w:rsid w:val="0C4843B9"/>
    <w:rsid w:val="0C87482E"/>
    <w:rsid w:val="0CA47A45"/>
    <w:rsid w:val="0D101CE8"/>
    <w:rsid w:val="0D1C5CFD"/>
    <w:rsid w:val="0F757D18"/>
    <w:rsid w:val="100E7B17"/>
    <w:rsid w:val="112C2388"/>
    <w:rsid w:val="114B36C6"/>
    <w:rsid w:val="116E55E7"/>
    <w:rsid w:val="13467FAF"/>
    <w:rsid w:val="14467F1C"/>
    <w:rsid w:val="15C745A0"/>
    <w:rsid w:val="17CFD3C5"/>
    <w:rsid w:val="19E65884"/>
    <w:rsid w:val="1B645F55"/>
    <w:rsid w:val="1BE340FE"/>
    <w:rsid w:val="1D3D5847"/>
    <w:rsid w:val="1D9C647F"/>
    <w:rsid w:val="1E2F1ED3"/>
    <w:rsid w:val="1EFE0BD9"/>
    <w:rsid w:val="1F6C0A09"/>
    <w:rsid w:val="20146634"/>
    <w:rsid w:val="20B459EF"/>
    <w:rsid w:val="210C37AF"/>
    <w:rsid w:val="220123D8"/>
    <w:rsid w:val="22274D44"/>
    <w:rsid w:val="223618C7"/>
    <w:rsid w:val="22947974"/>
    <w:rsid w:val="22D857D0"/>
    <w:rsid w:val="233F2BBE"/>
    <w:rsid w:val="25576BA0"/>
    <w:rsid w:val="25A93CC2"/>
    <w:rsid w:val="265C75F8"/>
    <w:rsid w:val="26CA5C9B"/>
    <w:rsid w:val="27220408"/>
    <w:rsid w:val="272E20CC"/>
    <w:rsid w:val="27712AF4"/>
    <w:rsid w:val="27D85C3E"/>
    <w:rsid w:val="28750E72"/>
    <w:rsid w:val="2AE937F8"/>
    <w:rsid w:val="2C06665D"/>
    <w:rsid w:val="2CFA2ED8"/>
    <w:rsid w:val="2DEBA09C"/>
    <w:rsid w:val="2F4C244B"/>
    <w:rsid w:val="2F8C200A"/>
    <w:rsid w:val="2F9D12FC"/>
    <w:rsid w:val="2FB16233"/>
    <w:rsid w:val="311B481E"/>
    <w:rsid w:val="327F0E48"/>
    <w:rsid w:val="33C10B7E"/>
    <w:rsid w:val="35163753"/>
    <w:rsid w:val="3598450B"/>
    <w:rsid w:val="366762EF"/>
    <w:rsid w:val="37862EF5"/>
    <w:rsid w:val="3A2D3702"/>
    <w:rsid w:val="3AD2390C"/>
    <w:rsid w:val="3DA650E1"/>
    <w:rsid w:val="3EBE23FC"/>
    <w:rsid w:val="3FBDFB55"/>
    <w:rsid w:val="3FCB5920"/>
    <w:rsid w:val="442B7956"/>
    <w:rsid w:val="452F1280"/>
    <w:rsid w:val="457968D7"/>
    <w:rsid w:val="48190138"/>
    <w:rsid w:val="498559CA"/>
    <w:rsid w:val="49F90FE1"/>
    <w:rsid w:val="4CD10930"/>
    <w:rsid w:val="4CE63B69"/>
    <w:rsid w:val="4ED26529"/>
    <w:rsid w:val="4F8A40DA"/>
    <w:rsid w:val="4FEB1908"/>
    <w:rsid w:val="50340BBB"/>
    <w:rsid w:val="503442B1"/>
    <w:rsid w:val="532D474F"/>
    <w:rsid w:val="54772D63"/>
    <w:rsid w:val="566A4F14"/>
    <w:rsid w:val="56D51DDC"/>
    <w:rsid w:val="5732112B"/>
    <w:rsid w:val="57E79AC3"/>
    <w:rsid w:val="588E60C4"/>
    <w:rsid w:val="593E101D"/>
    <w:rsid w:val="5A5F6122"/>
    <w:rsid w:val="5C760B5F"/>
    <w:rsid w:val="5C7FEE9F"/>
    <w:rsid w:val="5C8F7650"/>
    <w:rsid w:val="5D8C7E48"/>
    <w:rsid w:val="5F1F53AA"/>
    <w:rsid w:val="5F75272C"/>
    <w:rsid w:val="62246D78"/>
    <w:rsid w:val="62E247E3"/>
    <w:rsid w:val="63B3701C"/>
    <w:rsid w:val="64004D98"/>
    <w:rsid w:val="64C411EE"/>
    <w:rsid w:val="65B23EAD"/>
    <w:rsid w:val="670544F5"/>
    <w:rsid w:val="6884144A"/>
    <w:rsid w:val="689F131E"/>
    <w:rsid w:val="6C2246DA"/>
    <w:rsid w:val="6CFECDA0"/>
    <w:rsid w:val="6D38682B"/>
    <w:rsid w:val="6E0C43BB"/>
    <w:rsid w:val="6E1E74DB"/>
    <w:rsid w:val="6E323459"/>
    <w:rsid w:val="6E9A14FB"/>
    <w:rsid w:val="6FAE6EB9"/>
    <w:rsid w:val="72AE655E"/>
    <w:rsid w:val="72FF3C85"/>
    <w:rsid w:val="74BE0F53"/>
    <w:rsid w:val="77B92D43"/>
    <w:rsid w:val="77FA34D6"/>
    <w:rsid w:val="784F4D5D"/>
    <w:rsid w:val="795E391A"/>
    <w:rsid w:val="7BED1365"/>
    <w:rsid w:val="7C7E0F82"/>
    <w:rsid w:val="7CD71568"/>
    <w:rsid w:val="7D6F49A9"/>
    <w:rsid w:val="7DB36338"/>
    <w:rsid w:val="7E3C053E"/>
    <w:rsid w:val="7EF54D4F"/>
    <w:rsid w:val="7FE27D34"/>
    <w:rsid w:val="7FFF58FF"/>
    <w:rsid w:val="8DEF3759"/>
    <w:rsid w:val="8FBF74BA"/>
    <w:rsid w:val="977F70B9"/>
    <w:rsid w:val="B5B7B877"/>
    <w:rsid w:val="BF6ABCAF"/>
    <w:rsid w:val="BFFE760A"/>
    <w:rsid w:val="CF77CDC3"/>
    <w:rsid w:val="CFF58A60"/>
    <w:rsid w:val="D6FF7A6B"/>
    <w:rsid w:val="DDF1EC4C"/>
    <w:rsid w:val="EAE576C0"/>
    <w:rsid w:val="F4D5EE7C"/>
    <w:rsid w:val="FBF2FD4C"/>
    <w:rsid w:val="FE714366"/>
    <w:rsid w:val="FEBE43E2"/>
    <w:rsid w:val="FEF172A8"/>
    <w:rsid w:val="FF16EE21"/>
    <w:rsid w:val="FFFC9502"/>
    <w:rsid w:val="FFFD47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next w:val="1"/>
    <w:qFormat/>
    <w:uiPriority w:val="0"/>
    <w:pPr>
      <w:spacing w:before="480" w:after="120"/>
      <w:outlineLvl w:val="0"/>
    </w:pPr>
    <w:rPr>
      <w:rFonts w:ascii="Times New Roman" w:hAnsi="Times New Roman" w:eastAsia="Times New Roman" w:cs="Times New Roman"/>
      <w:b/>
      <w:bCs/>
      <w:color w:val="000000"/>
      <w:sz w:val="40"/>
      <w:szCs w:val="40"/>
      <w:lang w:val="en-US" w:eastAsia="zh-CN" w:bidi="ar-SA"/>
    </w:rPr>
  </w:style>
  <w:style w:type="paragraph" w:styleId="3">
    <w:name w:val="heading 2"/>
    <w:next w:val="1"/>
    <w:qFormat/>
    <w:uiPriority w:val="0"/>
    <w:pPr>
      <w:spacing w:before="360" w:after="120"/>
      <w:outlineLvl w:val="1"/>
    </w:pPr>
    <w:rPr>
      <w:rFonts w:ascii="Times New Roman" w:hAnsi="Times New Roman" w:eastAsia="Times New Roman" w:cs="Times New Roman"/>
      <w:b/>
      <w:bCs/>
      <w:color w:val="000000"/>
      <w:sz w:val="36"/>
      <w:szCs w:val="36"/>
      <w:lang w:val="en-US" w:eastAsia="zh-CN" w:bidi="ar-SA"/>
    </w:rPr>
  </w:style>
  <w:style w:type="paragraph" w:styleId="4">
    <w:name w:val="heading 3"/>
    <w:basedOn w:val="1"/>
    <w:next w:val="1"/>
    <w:qFormat/>
    <w:uiPriority w:val="0"/>
    <w:pPr>
      <w:spacing w:beforeAutospacing="1" w:afterAutospacing="1"/>
      <w:jc w:val="left"/>
      <w:outlineLvl w:val="2"/>
    </w:pPr>
    <w:rPr>
      <w:rFonts w:hint="eastAsia" w:ascii="宋体" w:hAnsi="宋体"/>
      <w:b/>
      <w:bCs/>
      <w:kern w:val="0"/>
      <w:sz w:val="27"/>
      <w:szCs w:val="27"/>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Document Map"/>
    <w:basedOn w:val="1"/>
    <w:link w:val="16"/>
    <w:unhideWhenUsed/>
    <w:qFormat/>
    <w:uiPriority w:val="99"/>
    <w:rPr>
      <w:rFonts w:ascii="宋体"/>
      <w:sz w:val="18"/>
      <w:szCs w:val="18"/>
    </w:rPr>
  </w:style>
  <w:style w:type="paragraph" w:styleId="6">
    <w:name w:val="annotation text"/>
    <w:basedOn w:val="1"/>
    <w:link w:val="17"/>
    <w:unhideWhenUsed/>
    <w:qFormat/>
    <w:uiPriority w:val="99"/>
    <w:pPr>
      <w:jc w:val="left"/>
    </w:pPr>
  </w:style>
  <w:style w:type="paragraph" w:styleId="7">
    <w:name w:val="Balloon Text"/>
    <w:basedOn w:val="1"/>
    <w:link w:val="18"/>
    <w:unhideWhenUsed/>
    <w:qFormat/>
    <w:uiPriority w:val="99"/>
    <w:rPr>
      <w:sz w:val="18"/>
      <w:szCs w:val="18"/>
    </w:rPr>
  </w:style>
  <w:style w:type="paragraph" w:styleId="8">
    <w:name w:val="footer"/>
    <w:basedOn w:val="1"/>
    <w:link w:val="19"/>
    <w:qFormat/>
    <w:uiPriority w:val="99"/>
    <w:pPr>
      <w:tabs>
        <w:tab w:val="center" w:pos="4153"/>
        <w:tab w:val="right" w:pos="8306"/>
      </w:tabs>
      <w:snapToGrid w:val="0"/>
      <w:jc w:val="left"/>
    </w:pPr>
    <w:rPr>
      <w:sz w:val="18"/>
      <w:szCs w:val="18"/>
    </w:rPr>
  </w:style>
  <w:style w:type="paragraph" w:styleId="9">
    <w:name w:val="header"/>
    <w:basedOn w:val="1"/>
    <w:link w:val="20"/>
    <w:qFormat/>
    <w:uiPriority w:val="99"/>
    <w:pPr>
      <w:pBdr>
        <w:bottom w:val="single" w:color="auto" w:sz="6" w:space="1"/>
      </w:pBdr>
      <w:tabs>
        <w:tab w:val="center" w:pos="4153"/>
        <w:tab w:val="right" w:pos="8306"/>
      </w:tabs>
      <w:snapToGrid w:val="0"/>
      <w:jc w:val="center"/>
    </w:pPr>
    <w:rPr>
      <w:sz w:val="18"/>
      <w:szCs w:val="18"/>
    </w:rPr>
  </w:style>
  <w:style w:type="paragraph" w:styleId="10">
    <w:name w:val="annotation subject"/>
    <w:basedOn w:val="6"/>
    <w:next w:val="6"/>
    <w:link w:val="21"/>
    <w:unhideWhenUsed/>
    <w:qFormat/>
    <w:uiPriority w:val="99"/>
    <w:rPr>
      <w:b/>
      <w:bCs/>
    </w:rPr>
  </w:style>
  <w:style w:type="table" w:styleId="12">
    <w:name w:val="Table Grid"/>
    <w:basedOn w:val="11"/>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qFormat/>
    <w:uiPriority w:val="99"/>
    <w:rPr>
      <w:color w:val="0000FF"/>
      <w:u w:val="single"/>
    </w:rPr>
  </w:style>
  <w:style w:type="character" w:styleId="15">
    <w:name w:val="annotation reference"/>
    <w:unhideWhenUsed/>
    <w:qFormat/>
    <w:uiPriority w:val="99"/>
    <w:rPr>
      <w:sz w:val="21"/>
      <w:szCs w:val="21"/>
    </w:rPr>
  </w:style>
  <w:style w:type="character" w:customStyle="1" w:styleId="16">
    <w:name w:val="文档结构图 字符"/>
    <w:link w:val="5"/>
    <w:semiHidden/>
    <w:qFormat/>
    <w:uiPriority w:val="99"/>
    <w:rPr>
      <w:rFonts w:ascii="宋体"/>
      <w:kern w:val="2"/>
      <w:sz w:val="18"/>
      <w:szCs w:val="18"/>
    </w:rPr>
  </w:style>
  <w:style w:type="character" w:customStyle="1" w:styleId="17">
    <w:name w:val="批注文字 字符"/>
    <w:link w:val="6"/>
    <w:semiHidden/>
    <w:qFormat/>
    <w:uiPriority w:val="99"/>
    <w:rPr>
      <w:kern w:val="2"/>
      <w:sz w:val="21"/>
      <w:szCs w:val="21"/>
    </w:rPr>
  </w:style>
  <w:style w:type="character" w:customStyle="1" w:styleId="18">
    <w:name w:val="批注框文本 字符"/>
    <w:link w:val="7"/>
    <w:semiHidden/>
    <w:qFormat/>
    <w:uiPriority w:val="99"/>
    <w:rPr>
      <w:kern w:val="2"/>
      <w:sz w:val="18"/>
      <w:szCs w:val="18"/>
    </w:rPr>
  </w:style>
  <w:style w:type="character" w:customStyle="1" w:styleId="19">
    <w:name w:val="页脚 字符"/>
    <w:link w:val="8"/>
    <w:qFormat/>
    <w:uiPriority w:val="99"/>
    <w:rPr>
      <w:kern w:val="2"/>
      <w:sz w:val="18"/>
      <w:szCs w:val="18"/>
    </w:rPr>
  </w:style>
  <w:style w:type="character" w:customStyle="1" w:styleId="20">
    <w:name w:val="页眉 字符"/>
    <w:link w:val="9"/>
    <w:qFormat/>
    <w:uiPriority w:val="99"/>
    <w:rPr>
      <w:kern w:val="2"/>
      <w:sz w:val="18"/>
      <w:szCs w:val="18"/>
    </w:rPr>
  </w:style>
  <w:style w:type="character" w:customStyle="1" w:styleId="21">
    <w:name w:val="批注主题 字符"/>
    <w:link w:val="10"/>
    <w:semiHidden/>
    <w:qFormat/>
    <w:uiPriority w:val="99"/>
    <w:rPr>
      <w:b/>
      <w:bCs/>
      <w:kern w:val="2"/>
      <w:sz w:val="21"/>
      <w:szCs w:val="21"/>
    </w:rPr>
  </w:style>
  <w:style w:type="paragraph" w:styleId="22">
    <w:name w:val="List Paragraph"/>
    <w:basedOn w:val="1"/>
    <w:qFormat/>
    <w:uiPriority w:val="99"/>
    <w:pPr>
      <w:ind w:firstLine="420" w:firstLineChars="200"/>
    </w:pPr>
  </w:style>
  <w:style w:type="paragraph" w:customStyle="1" w:styleId="23">
    <w:name w:val="_Style 13"/>
    <w:basedOn w:val="1"/>
    <w:next w:val="22"/>
    <w:qFormat/>
    <w:uiPriority w:val="34"/>
    <w:pPr>
      <w:widowControl/>
      <w:spacing w:line="560" w:lineRule="exact"/>
      <w:ind w:firstLine="420" w:firstLineChars="200"/>
    </w:pPr>
    <w:rPr>
      <w:rFonts w:eastAsia="仿宋"/>
      <w:sz w:val="32"/>
      <w:szCs w:val="22"/>
    </w:rPr>
  </w:style>
  <w:style w:type="character" w:customStyle="1" w:styleId="24">
    <w:name w:val="1HT 字符"/>
    <w:link w:val="25"/>
    <w:qFormat/>
    <w:uiPriority w:val="0"/>
    <w:rPr>
      <w:rFonts w:ascii="Times New Roman bold" w:hAnsi="Times New Roman bold" w:eastAsia="方正黑体_GBK"/>
    </w:rPr>
  </w:style>
  <w:style w:type="paragraph" w:customStyle="1" w:styleId="25">
    <w:name w:val="1HT"/>
    <w:basedOn w:val="1"/>
    <w:link w:val="24"/>
    <w:qFormat/>
    <w:uiPriority w:val="0"/>
    <w:pPr>
      <w:ind w:firstLine="422"/>
    </w:pPr>
    <w:rPr>
      <w:rFonts w:ascii="Times New Roman bold" w:hAnsi="Times New Roman bold" w:eastAsia="方正黑体_GBK"/>
    </w:rPr>
  </w:style>
  <w:style w:type="paragraph" w:customStyle="1" w:styleId="26">
    <w:name w:val="_Style 25"/>
    <w:unhideWhenUsed/>
    <w:qFormat/>
    <w:uiPriority w:val="99"/>
    <w:rPr>
      <w:rFonts w:ascii="Times New Roman" w:hAnsi="Times New Roman" w:eastAsia="宋体" w:cs="Times New Roman"/>
      <w:kern w:val="2"/>
      <w:sz w:val="21"/>
      <w:szCs w:val="21"/>
      <w:lang w:val="en-US" w:eastAsia="zh-CN" w:bidi="ar-SA"/>
    </w:rPr>
  </w:style>
  <w:style w:type="paragraph" w:customStyle="1" w:styleId="27">
    <w:name w:val="Block Math"/>
    <w:basedOn w:val="1"/>
    <w:next w:val="1"/>
    <w:qFormat/>
    <w:uiPriority w:val="0"/>
    <w:pPr>
      <w:spacing w:before="300" w:after="300" w:line="360" w:lineRule="auto"/>
      <w:jc w:val="center"/>
    </w:pPr>
    <w:rPr>
      <w:rFonts w:ascii="Cambria Math" w:hAnsi="Cambria Math" w:eastAsia="Cambria Math" w:cs="Cambria Math"/>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nsfc</Company>
  <Pages>30</Pages>
  <Words>7903</Words>
  <Characters>11436</Characters>
  <Lines>215</Lines>
  <Paragraphs>60</Paragraphs>
  <TotalTime>2</TotalTime>
  <ScaleCrop>false</ScaleCrop>
  <LinksUpToDate>false</LinksUpToDate>
  <CharactersWithSpaces>12056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2026-03-18T11:02:00Z</dcterms:created>
  <dc:creator>刘容光</dc:creator>
  <cp:lastModifiedBy>只会刷朋友圈的lo</cp:lastModifiedBy>
  <cp:lastPrinted>2026-03-16T10:15:00Z</cp:lastPrinted>
  <dcterms:modified xsi:type="dcterms:W3CDTF">2026-07-06T10:05:56Z</dcterms:modified>
  <dc:title>面上项目申请书撰写提纲</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AFB08268240E42C48ADA715240766226_13</vt:lpwstr>
  </property>
  <property fmtid="{D5CDD505-2E9C-101B-9397-08002B2CF9AE}" pid="4" name="KSOTemplateDocerSaveRecord">
    <vt:lpwstr>eyJoZGlkIjoiNDdiOWI3YzMyMzhkNGIyMWE5MWYyYjg2NWNmYTQ1OTAiLCJ1c2VySWQiOiI5NzE0NzA1MzMifQ==</vt:lpwstr>
  </property>
</Properties>
</file>