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merge-1-image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core.xml" Type="http://schemas.openxmlformats.org/package/2006/relationships/metadata/core-properties" Id="rId3"/>
    <Relationship Target="docProps/app.xml" Type="http://schemas.openxmlformats.org/officeDocument/2006/relationships/extended-properties" Id="rId4"/>
    <Relationship Target="word/document.xml" Type="http://schemas.openxmlformats.org/officeDocument/2006/relationships/officeDocument" Id="rId1"/>
    <Relationship Target="docProps/thumbnail.jpeg" Type="http://schemas.openxmlformats.org/package/2006/relationships/metadata/thumbnail" Id="rId2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body>
    <!-- Modified by docx4j 11.5.14 (Apache licensed) using REFERENCE JAXB in Oracle Java 21.0.2 on Windows 11 -->
    <w:p>
      <w:pPr>
        <w:pStyle w:val="Title"/>
        <w:jc w:val="center"/>
      </w:pPr>
      <w:r>
        <w:t>一号车间设备检测报告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w="2160" w:type="dxa"/>
            <w:shd w:fill="D9E2F3"/>
          </w:tcPr>
          <w:p>
            <w:r/>
            <w:r>
              <w:rPr>
                <w:b/>
                <w:sz w:val="18"/>
              </w:rPr>
              <w:t>受检单位</w:t>
            </w:r>
          </w:p>
        </w:tc>
        <w:tc>
          <w:tcPr>
            <w:tcW w:w="2160" w:type="dxa"/>
            <w:shd w:fill="D9E2F3"/>
          </w:tcPr>
          <w:p>
            <w:r/>
            <w:r>
              <w:rPr>
                <w:b/>
                <w:sz w:val="18"/>
              </w:rPr>
              <w:t>生产保障部</w:t>
            </w:r>
          </w:p>
        </w:tc>
        <w:tc>
          <w:tcPr>
            <w:tcW w:w="2160" w:type="dxa"/>
            <w:shd w:fill="D9E2F3"/>
          </w:tcPr>
          <w:p>
            <w:r/>
            <w:r>
              <w:rPr>
                <w:b/>
                <w:sz w:val="18"/>
              </w:rPr>
              <w:t>检测日期</w:t>
            </w:r>
          </w:p>
        </w:tc>
        <w:tc>
          <w:tcPr>
            <w:tcW w:w="2160" w:type="dxa"/>
            <w:shd w:fill="D9E2F3"/>
          </w:tcPr>
          <w:p>
            <w:r/>
            <w:r>
              <w:rPr>
                <w:b/>
                <w:sz w:val="18"/>
              </w:rPr>
              <w:t>2026-10-19 至 2026-10-21</w:t>
            </w:r>
          </w:p>
        </w:tc>
      </w:tr>
      <w:tr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编制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张明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审核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李工</w:t>
            </w:r>
          </w:p>
        </w:tc>
      </w:tr>
      <w:tr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检测地点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一号车间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记录人</w:t>
            </w:r>
          </w:p>
        </w:tc>
        <w:tc>
          <w:tcPr>
            <w:tcW w:w="2160" w:type="dxa"/>
          </w:tcPr>
          <w:p>
            <w:r/>
            <w:r>
              <w:rPr>
                <w:b w:val="false"/>
                <w:sz w:val="18"/>
              </w:rPr>
              <w:t>王磊</w:t>
            </w:r>
          </w:p>
        </w:tc>
      </w:tr>
    </w:tbl>
    <w:p/>
    <w:p>
      <w:pPr>
        <w:pStyle w:val="TOCHeading"/>
      </w:pPr>
      <w:r>
        <w:t xml:space="preserve">目录</w:t>
      </w:r>
    </w:p>
    <w:p>
      <w:pPr>
        <w:pStyle w:val="TOC1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 xml:space="preserve">（目录将在 Word 中更新：Ctrl+A 后按 F9）</w:t>
      </w:r>
      <w:r>
        <w:fldChar w:fldCharType="end"/>
      </w:r>
    </w:p>
    <w:p>
      <w:r>
        <w:br w:type="page"/>
      </w:r>
    </w:p>
    <w:p>
      <w:pPr>
        <w:pStyle w:val="Heading1"/>
      </w:pPr>
      <w:r>
        <w:t>检测概况</w:t>
      </w:r>
    </w:p>
    <w:p>
      <w:r>
        <w:t>本次检测对象为一号车间东侧的配电柜、控制柜、循环风机和空调机组。检测安排在交接班期间进行，现场设备按作业票要求停电或切换至安全状态。</w:t>
      </w:r>
    </w:p>
    <w:p>
      <w:r>
        <w:t>报告中的运行参数来自现场仪表读数和设备自带显示值。原始记录由检测人和复核人签字，报告结论仅对本次受检设备有效。</w:t>
      </w:r>
    </w:p>
    <w:p>
      <w:pPr>
        <w:pStyle w:val="ListBullet"/>
      </w:pPr>
      <w:r>
        <w:t>检测依据：设备说明书、作业许可单和公司例行巡检规定。</w:t>
      </w:r>
    </w:p>
    <w:p>
      <w:pPr>
        <w:pStyle w:val="ListBullet"/>
      </w:pPr>
      <w:r>
        <w:t>检测内容：外观、运行参数、保护功能及异常项复核。</w:t>
      </w:r>
    </w:p>
    <w:p>
      <w:pPr>
        <w:pStyle w:val="ListBullet"/>
      </w:pPr>
      <w:r>
        <w:t>记录方式：现场填写原始记录表，异常位置补充照片。</w:t>
      </w:r>
    </w:p>
    <w:p>
      <w:pPr>
        <w:pStyle w:val="Heading1"/>
      </w:pPr>
      <w:r>
        <w:t xml:space="preserve">检测范围</w:t>
      </w:r>
    </w:p>
    <w:p>
      <w:pPr>
        <w:pStyle w:val="MergeH3_Heading2"/>
      </w:pPr>
      <w:r>
        <w:t>检测对象</w:t>
      </w:r>
    </w:p>
    <w:p>
      <w:r>
        <w:t>受检设备位于一号车间东侧，包括 3 面配电柜、2 面控制柜、4 台循环风机和 2 台空调机组。设备编号以现场铭牌为准，检测前与设备清单逐台核对。</w:t>
      </w:r>
    </w:p>
    <w:p>
      <w:r>
        <w:drawing>
          <wp:inline>
            <wp:extent cx="5120640" cy="2425566"/>
            <wp:docPr id="10001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2" name="equipment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25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图 1  设备布置示意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设备</w:t>
            </w:r>
          </w:p>
        </w:tc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主要检测项目</w:t>
            </w:r>
          </w:p>
        </w:tc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记录要求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配电柜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电压、电流、温升和绝缘状态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记录各回路运行值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控制柜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控制回路、指示和保护功能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逐项操作确认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空调机组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送风量、回风温度和运行噪声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连续运行 30 分钟后记录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循环风机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电流、振动和轴承温度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异常时补充停机检查</w:t>
            </w:r>
          </w:p>
        </w:tc>
      </w:tr>
    </w:tbl>
    <w:p>
      <w:pPr>
        <w:pStyle w:val="MergeH3_Heading2"/>
      </w:pPr>
      <w:r>
        <w:t>检测项目与记录要求</w:t>
      </w:r>
    </w:p>
    <w:p>
      <w:pPr>
        <w:pStyle w:val="ListBullet"/>
      </w:pPr>
      <w:r>
        <w:t>检测前核对设备编号、额定参数和现场状态。</w:t>
      </w:r>
    </w:p>
    <w:p>
      <w:pPr>
        <w:pStyle w:val="ListBullet"/>
      </w:pPr>
      <w:r>
        <w:t>运行状态下记录电压、电流、温升、风量等参数。</w:t>
      </w:r>
    </w:p>
    <w:p>
      <w:pPr>
        <w:pStyle w:val="ListBullet"/>
      </w:pPr>
      <w:r>
        <w:t>发现异常时先停机确认，再补充照片和处理建议。</w:t>
      </w:r>
    </w:p>
    <w:p>
      <w:r>
        <w:br w:type="page"/>
      </w:r>
    </w:p>
    <w:p>
      <w:pPr>
        <w:pStyle w:val="Heading1"/>
      </w:pPr>
      <w:r>
        <w:t xml:space="preserve">实施计划</w:t>
      </w:r>
    </w:p>
    <w:p>
      <w:pPr>
        <w:pStyle w:val="MergeH3_Heading2"/>
      </w:pPr>
      <w:r>
        <w:t>时间安排</w:t>
      </w:r>
    </w:p>
    <w:tbl>
      <w:tblPr>
        <w:tblStyle w:val="TableGrid"/>
        <w:tblW w:w="0" w:type="auto"/>
        <w:jc w:val="center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工作内容</w:t>
            </w:r>
          </w:p>
        </w:tc>
        <w:tc>
          <w:tcPr>
            <w:tcW w:w="2880" w:type="dxa"/>
            <w:shd w:fill="D9E2F3"/>
          </w:tcPr>
          <w:p>
            <w:r/>
            <w:r>
              <w:rPr>
                <w:b/>
                <w:sz w:val="18"/>
              </w:rPr>
              <w:t>参与人员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10 月 19 日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核对设备清单，办理作业许可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张明、王磊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10 月 20 日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停电检查配电柜和控制柜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王磊、电气班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10 月 21 日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记录空调机组和循环风机运行参数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张明、王磊</w:t>
            </w:r>
          </w:p>
        </w:tc>
      </w:tr>
      <w:tr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10 月 22 日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复核异常项，整理原始记录</w:t>
            </w:r>
          </w:p>
        </w:tc>
        <w:tc>
          <w:tcPr>
            <w:tcW w:w="2880" w:type="dxa"/>
          </w:tcPr>
          <w:p>
            <w:r/>
            <w:r>
              <w:rPr>
                <w:b w:val="false"/>
                <w:sz w:val="18"/>
              </w:rPr>
              <w:t>李工、张明</w:t>
            </w:r>
          </w:p>
        </w:tc>
      </w:tr>
    </w:tbl>
    <w:p>
      <w:pPr>
        <w:pStyle w:val="MergeH3_Heading2"/>
      </w:pPr>
      <w:r>
        <w:t>现场要求</w:t>
      </w:r>
    </w:p>
    <w:p>
      <w:pPr>
        <w:pStyle w:val="ListBullet"/>
      </w:pPr>
      <w:r>
        <w:t>配电柜检查前由电气班确认断电并挂牌。</w:t>
      </w:r>
    </w:p>
    <w:p>
      <w:pPr>
        <w:pStyle w:val="ListBullet"/>
      </w:pPr>
      <w:r>
        <w:t>屋面作业系安全带，工具放入工具袋。</w:t>
      </w:r>
    </w:p>
    <w:p>
      <w:pPr>
        <w:pStyle w:val="ListBullet"/>
      </w:pPr>
      <w:r>
        <w:t>原始记录当天录入，修改处由记录人签字确认。</w:t>
      </w:r>
    </w:p>
    <w:p>
      <w:pPr>
        <w:pStyle w:val="Heading1"/>
      </w:pPr>
      <w:r>
        <w:t>附录：记录说明</w:t>
      </w:r>
    </w:p>
    <w:p>
      <w:r>
        <w:t>原始记录和现场照片存放在一号车间资料柜，复核时按设备名称查找。报告内容需要调整时，替换副文档后重新合并即可。</w:t>
      </w:r>
    </w:p>
    <w:p>
      <w:r>
        <w:t>合并完成后，目录页码需要在 Word 中按 Ctrl+A、F9 更新。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multilevel"/>
    <w:name w:val="MergeHeadingNumbering"/>
    <w:lvl w:ilvl="0">
      <w:start w:val="1"/>
      <w:numFmt w:val="decimal"/>
      <w:pStyle w:val="Heading1"/>
      <w:lvlText w:val="%1"/>
    </w:lvl>
    <w:lvl w:ilvl="1">
      <w:start w:val="1"/>
      <w:numFmt w:val="decimal"/>
      <w:pStyle w:val="Heading2"/>
      <w:lvlText w:val="%1.%2"/>
    </w:lvl>
    <w:lvl w:ilvl="2">
      <w:start w:val="1"/>
      <w:numFmt w:val="decimal"/>
      <w:pStyle w:val="Heading3"/>
      <w:lvlText w:val="%1.%2.%3"/>
    </w:lvl>
    <w:lvl w:ilvl="3">
      <w:start w:val="1"/>
      <w:numFmt w:val="decimal"/>
      <w:pStyle w:val="Heading4"/>
      <w:lvlText w:val="%1.%2.%3.%4"/>
    </w:lvl>
    <w:lvl w:ilvl="4">
      <w:start w:val="1"/>
      <w:numFmt w:val="decimal"/>
      <w:pStyle w:val="Heading5"/>
      <w:lvlText w:val="%1.%2.%3.%4.%5"/>
    </w:lvl>
    <w:lvl w:ilvl="5">
      <w:start w:val="1"/>
      <w:numFmt w:val="decimal"/>
      <w:pStyle w:val="Heading6"/>
      <w:lvlText w:val="%1.%2.%3.%4.%5.%6"/>
    </w:lvl>
    <w:lvl w:ilvl="6">
      <w:start w:val="1"/>
      <w:numFmt w:val="decimal"/>
      <w:pStyle w:val="Heading7"/>
      <w:lvlText w:val="%1.%2.%3.%4.%5.%6.%7"/>
    </w:lvl>
    <w:lvl w:ilvl="7">
      <w:start w:val="1"/>
      <w:numFmt w:val="decimal"/>
      <w:pStyle w:val="Heading8"/>
      <w:lvlText w:val="%1.%2.%3.%4.%5.%6.%7.%8"/>
    </w:lvl>
    <w:lvl w:ilvl="8">
      <w:start w:val="1"/>
      <w:numFmt w:val="decimal"/>
      <w:pStyle w:val="Heading9"/>
      <w:lvlText w:val="%1.%2.%3.%4.%5.%6.%7.%8.%9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76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  <w:rsid w:val="00FC693F"/>
    <w:pPr>
      <w:spacing w:after="120" w:line="324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10"/>
      </w:numPr>
      <w:spacing w:before="480" w:after="0"/>
      <w:outlineLvl w:val="0"/>
    </w:pPr>
    <w:rPr>
      <w:rFonts w:ascii="黑体" w:hAnsi="黑体" w:eastAsia="黑体"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="黑体" w:hAnsi="黑体" w:eastAsia="黑体" w:asciiTheme="majorHAnsi" w:hAnsiTheme="majorHAnsi"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="黑体" w:hAnsi="黑体" w:eastAsia="黑体" w:asciiTheme="majorHAnsi" w:hAnsiTheme="majorHAnsi" w:eastAsiaTheme="majorEastAsia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true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黑体" w:hAnsi="黑体" w:eastAsia="黑体" w:asciiTheme="majorHAnsi" w:hAnsiTheme="majorHAnsi" w:eastAsiaTheme="majorEastAsia" w:cstheme="majorBidi"/>
      <w:spacing w:val="5"/>
      <w:kern w:val="28"/>
      <w:sz w:val="36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true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true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true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true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true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true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pPr>
      <w:ind w:left="0"/>
    </w:pPr>
  </w:style>
  <w:style w:type="paragraph" w:styleId="TOC2">
    <w:name w:val="toc 2"/>
    <w:basedOn w:val="Normal"/>
    <w:pPr>
      <w:ind w:left="420"/>
    </w:pPr>
  </w:style>
  <w:style w:type="paragraph" w:styleId="TOC3">
    <w:name w:val="toc 3"/>
    <w:basedOn w:val="Normal"/>
    <w:pPr>
      <w:ind w:left="840"/>
    </w:pPr>
  </w:style>
  <w:style w:type="character" w:styleId="Hyperlink">
    <w:name w:val="Hyperlink"/>
    <w:rPr>
      <w:color w:val="0563C1"/>
      <w:u w:val="single"/>
    </w:rPr>
  </w:style>
  <w:style w:type="paragraph" w:styleId="MergeH3_Heading2">
    <w:name w:val="Merge Heading 3 (Heading2)"/>
    <w:basedOn w:val="Heading2"/>
    <w:pPr>
      <w:numPr>
        <w:ilvl w:val="2"/>
        <w:numId w:val="10"/>
      </w:numPr>
      <w:outlineLvl w:val="2"/>
    </w:pPr>
  </w:style>
</w:styles>
</file>

<file path=word/stylesWithEffects.xml><?xml version="1.0" encoding="utf-8"?>
<w:styles xmlns:w="http://schemas.openxmlformats.org/wordprocessingml/2006/main" xmlns:mc="http://schemas.openxmlformats.org/markup-compatibility/2006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3"/>
    <Relationship Target="stylesWithEffects.xml" Type="http://schemas.microsoft.com/office/2007/relationships/stylesWithEffects" Id="rId4"/>
    <Relationship Target="settings.xml" Type="http://schemas.openxmlformats.org/officeDocument/2006/relationships/settings" Id="rId5"/>
    <Relationship Target="webSettings.xml" Type="http://schemas.openxmlformats.org/officeDocument/2006/relationships/webSettings" Id="rId6"/>
    <Relationship Target="fontTable.xml" Type="http://schemas.openxmlformats.org/officeDocument/2006/relationships/fontTable" Id="rId7"/>
    <Relationship Target="theme/theme1.xml" Type="http://schemas.openxmlformats.org/officeDocument/2006/relationships/theme" Id="rId8"/>
    <Relationship Target="../customXml/item1.xml" Type="http://schemas.openxmlformats.org/officeDocument/2006/relationships/customXml" Id="rId1"/>
    <Relationship Target="numbering.xml" Type="http://schemas.openxmlformats.org/officeDocument/2006/relationships/numbering" Id="rId2"/>
    <Relationship Target="media/merge-1-image.png" Type="http://schemas.openxmlformats.org/officeDocument/2006/relationships/image" Id="rId9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