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merge-1-image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3"/>
    <Relationship Target="docProps/app.xml" Type="http://schemas.openxmlformats.org/officeDocument/2006/relationships/extended-properties" Id="rId4"/>
    <Relationship Target="word/document.xml" Type="http://schemas.openxmlformats.org/officeDocument/2006/relationships/officeDocument" Id="rId1"/>
    <Relationship Target="docProps/thumbnail.jpeg" Type="http://schemas.openxmlformats.org/package/2006/relationships/metadata/thumbnail" Id="rId2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body>
    <!-- Modified by docx4j 11.5.14 (Apache licensed) using REFERENCE JAXB in Oracle Java 21.0.2 on Windows 11 -->
    <w:p>
      <w:pPr>
        <w:pStyle w:val="Title"/>
        <w:jc w:val="center"/>
      </w:pPr>
      <w:r>
        <w:t>OpenHarness 交付文档</w:t>
      </w:r>
    </w:p>
    <w:p>
      <w:pPr>
        <w:jc w:val="center"/>
      </w:pPr>
      <w:r>
        <w:rPr>
          <w:color w:val="5B6474"/>
          <w:sz w:val="20"/>
        </w:rPr>
        <w:t>主文档 + 副文档自动合并示例</w:t>
      </w:r>
    </w:p>
    <w:p>
      <w:r>
        <w:t>本文档由主文档和多个副文档自动合并生成。目录、标题编号与页码可在 Word 中按 F9 更新。</w:t>
      </w:r>
    </w:p>
    <w:p>
      <w:pPr>
        <w:pStyle w:val="TOCHeading"/>
      </w:pPr>
      <w:r>
        <w:t xml:space="preserve">目录</w:t>
      </w:r>
    </w:p>
    <w:p>
      <w:pPr>
        <w:pStyle w:val="TOC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（目录将在 Word 中更新：Ctrl+A 后按 F9）</w:t>
      </w:r>
      <w:r>
        <w:fldChar w:fldCharType="end"/>
      </w:r>
    </w:p>
    <w:p>
      <w:r>
        <w:br w:type="page"/>
      </w:r>
    </w:p>
    <w:p>
      <w:pPr>
        <w:pStyle w:val="Heading1"/>
      </w:pPr>
      <w:r>
        <w:t>项目概述</w:t>
      </w:r>
    </w:p>
    <w:p>
      <w:r>
        <w:t>OpenHarness 是一套面向研发团队的智能体编排平台。本交付文档汇总产品能力与实施计划，用于演示按标记提取副文档内容并合并到主文档的完整流程。</w:t>
      </w:r>
    </w:p>
    <w:p>
      <w:pPr>
        <w:pStyle w:val="ListBullet"/>
      </w:pPr>
      <w:r>
        <w:t>主文档提供封面、目录、总体说明与附录。</w:t>
      </w:r>
    </w:p>
    <w:p>
      <w:pPr>
        <w:pStyle w:val="ListBullet"/>
      </w:pPr>
      <w:r>
        <w:t>副文档只贡献被 tag-start / tag-end 标记包裹的内容。</w:t>
      </w:r>
    </w:p>
    <w:p>
      <w:pPr>
        <w:pStyle w:val="ListBullet"/>
      </w:pPr>
      <w:r>
        <w:t>合并结果保留原有段落、表格、图片与样式。</w:t>
      </w:r>
    </w:p>
    <w:p>
      <w:pPr>
        <w:pStyle w:val="Heading1"/>
      </w:pPr>
      <w:r>
        <w:t xml:space="preserve">副文档-产品介绍</w:t>
      </w:r>
    </w:p>
    <w:p>
      <w:pPr>
        <w:pStyle w:val="MergeH3_Heading2"/>
      </w:pPr>
      <w:r>
        <w:t>核心能力</w:t>
      </w:r>
    </w:p>
    <w:p>
      <w:r>
        <w:t>平台以任务为中心组织模型、工具与知识库，支持可视化编排、运行追踪和结果沉淀。</w:t>
      </w:r>
    </w:p>
    <w:p>
      <w:r>
        <w:t>下图展示产品标识：</w:t>
      </w:r>
    </w:p>
    <w:p>
      <w:r>
        <w:drawing>
          <wp:inline>
            <wp:extent cx="2377440" cy="1188720"/>
            <wp:docPr id="10001" name="Picture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2" name="brand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c>
          <w:tcPr>
            <w:tcW w:w="2880" w:type="dxa"/>
            <w:shd w:fill="2457D8"/>
          </w:tcPr>
          <w:p>
            <w:r/>
            <w:r>
              <w:rPr>
                <w:b/>
                <w:color w:val="FFFFFF"/>
                <w:sz w:val="18"/>
              </w:rPr>
              <w:t>能力模块</w:t>
            </w:r>
          </w:p>
        </w:tc>
        <w:tc>
          <w:tcPr>
            <w:tcW w:w="2880" w:type="dxa"/>
            <w:shd w:fill="2457D8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2880" w:type="dxa"/>
            <w:shd w:fill="2457D8"/>
          </w:tcPr>
          <w:p>
            <w:r/>
            <w:r>
              <w:rPr>
                <w:b/>
                <w:color w:val="FFFFFF"/>
                <w:sz w:val="18"/>
              </w:rPr>
              <w:t>交付状态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任务编排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拖拽式流程设计，支持条件分支与并行执行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已交付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工具市场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内置文档、检索、代码执行等工具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已交付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运行观测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调用链、Token 与耗时统计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灰度中</w:t>
            </w:r>
          </w:p>
        </w:tc>
      </w:tr>
    </w:tbl>
    <w:p>
      <w:pPr>
        <w:pStyle w:val="MergeH3_Heading2"/>
      </w:pPr>
      <w:r>
        <w:t>适用场景</w:t>
      </w:r>
    </w:p>
    <w:p>
      <w:pPr>
        <w:pStyle w:val="ListBullet"/>
      </w:pPr>
      <w:r>
        <w:t>研发团队的知识检索与文档问答。</w:t>
      </w:r>
    </w:p>
    <w:p>
      <w:pPr>
        <w:pStyle w:val="ListBullet"/>
      </w:pPr>
      <w:r>
        <w:t>跨系统数据整理与定期报告生成。</w:t>
      </w:r>
    </w:p>
    <w:p>
      <w:pPr>
        <w:pStyle w:val="ListBullet"/>
      </w:pPr>
      <w:r>
        <w:t>面向业务人员的低代码智能助手搭建。</w:t>
      </w:r>
    </w:p>
    <w:p>
      <w:r>
        <w:br w:type="page"/>
      </w:r>
    </w:p>
    <w:p>
      <w:pPr>
        <w:pStyle w:val="Heading1"/>
      </w:pPr>
      <w:r>
        <w:t xml:space="preserve">副文档-实施计划</w:t>
      </w:r>
    </w:p>
    <w:p>
      <w:pPr>
        <w:pStyle w:val="MergeH3_Heading2"/>
      </w:pPr>
      <w:r>
        <w:t>阶段划分</w:t>
      </w:r>
    </w:p>
    <w:p>
      <w:pPr>
        <w:pStyle w:val="ListNumber"/>
      </w:pPr>
      <w:r>
        <w:t>第 1 周：环境准备、账号与权限梳理。</w:t>
      </w:r>
    </w:p>
    <w:p>
      <w:pPr>
        <w:pStyle w:val="ListNumber"/>
      </w:pPr>
      <w:r>
        <w:t>第 2-3 周：主数据接入与知识库初始化。</w:t>
      </w:r>
    </w:p>
    <w:p>
      <w:pPr>
        <w:pStyle w:val="ListNumber"/>
      </w:pPr>
      <w:r>
        <w:t>第 4 周：试点团队培训与流程试运行。</w:t>
      </w:r>
    </w:p>
    <w:p>
      <w:pPr>
        <w:pStyle w:val="ListNumber"/>
      </w:pPr>
      <w:r>
        <w:t>第 5 周：验收、问题收敛与正式上线。</w:t>
      </w:r>
    </w:p>
    <w:tbl>
      <w:tblPr>
        <w:tblStyle w:val="TableGrid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c>
          <w:tcPr>
            <w:tcW w:w="2880" w:type="dxa"/>
            <w:shd w:fill="2457D8"/>
          </w:tcPr>
          <w:p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2880" w:type="dxa"/>
            <w:shd w:fill="2457D8"/>
          </w:tcPr>
          <w:p>
            <w:r/>
            <w:r>
              <w:rPr>
                <w:b/>
                <w:color w:val="FFFFFF"/>
                <w:sz w:val="18"/>
              </w:rPr>
              <w:t>关键交付物</w:t>
            </w:r>
          </w:p>
        </w:tc>
        <w:tc>
          <w:tcPr>
            <w:tcW w:w="2880" w:type="dxa"/>
            <w:shd w:fill="2457D8"/>
          </w:tcPr>
          <w:p>
            <w:r/>
            <w:r>
              <w:rPr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准备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环境清单、权限矩阵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平台组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接入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数据源清单、知识库索引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数据组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试点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试运行报告、问题清单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业务组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上线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验收报告、运维手册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项目组</w:t>
            </w:r>
          </w:p>
        </w:tc>
      </w:tr>
    </w:tbl>
    <w:p>
      <w:pPr>
        <w:pStyle w:val="MergeH3_Heading2"/>
      </w:pPr>
      <w:r>
        <w:t>风险与应对</w:t>
      </w:r>
    </w:p>
    <w:p>
      <w:pPr>
        <w:pStyle w:val="ListBullet"/>
      </w:pPr>
      <w:r>
        <w:t>历史文档格式不统一：先做抽样清洗，再批量导入。</w:t>
      </w:r>
    </w:p>
    <w:p>
      <w:pPr>
        <w:pStyle w:val="ListBullet"/>
      </w:pPr>
      <w:r>
        <w:t>权限边界不清：上线前完成角色矩阵评审。</w:t>
      </w:r>
    </w:p>
    <w:p>
      <w:pPr>
        <w:pStyle w:val="ListBullet"/>
      </w:pPr>
      <w:r>
        <w:t>试点反馈集中：预留一周缓冲期处理问题。</w:t>
      </w:r>
    </w:p>
    <w:p>
      <w:pPr>
        <w:pStyle w:val="Heading1"/>
      </w:pPr>
      <w:r>
        <w:t>附录：使用说明</w:t>
      </w:r>
    </w:p>
    <w:p>
      <w:r>
        <w:t>在 Word 中打开合并结果后，按 Ctrl+A 再按 F9 即可刷新目录页码。如果希望重新生成，请回到上传页面替换文件后再次合并。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multiLevelType w:val="multilevel"/>
    <w:name w:val="MergeHeadingNumbering"/>
    <w:lvl w:ilvl="0">
      <w:start w:val="1"/>
      <w:numFmt w:val="decimal"/>
      <w:pStyle w:val="Heading1"/>
      <w:lvlText w:val="%1"/>
    </w:lvl>
    <w:lvl w:ilvl="1">
      <w:start w:val="1"/>
      <w:numFmt w:val="decimal"/>
      <w:pStyle w:val="Heading2"/>
      <w:lvlText w:val="%1.%2"/>
    </w:lvl>
    <w:lvl w:ilvl="2">
      <w:start w:val="1"/>
      <w:numFmt w:val="decimal"/>
      <w:pStyle w:val="Heading3"/>
      <w:lvlText w:val="%1.%2.%3"/>
    </w:lvl>
    <w:lvl w:ilvl="3">
      <w:start w:val="1"/>
      <w:numFmt w:val="decimal"/>
      <w:pStyle w:val="Heading4"/>
      <w:lvlText w:val="%1.%2.%3.%4"/>
    </w:lvl>
    <w:lvl w:ilvl="4">
      <w:start w:val="1"/>
      <w:numFmt w:val="decimal"/>
      <w:pStyle w:val="Heading5"/>
      <w:lvlText w:val="%1.%2.%3.%4.%5"/>
    </w:lvl>
    <w:lvl w:ilvl="5">
      <w:start w:val="1"/>
      <w:numFmt w:val="decimal"/>
      <w:pStyle w:val="Heading6"/>
      <w:lvlText w:val="%1.%2.%3.%4.%5.%6"/>
    </w:lvl>
    <w:lvl w:ilvl="6">
      <w:start w:val="1"/>
      <w:numFmt w:val="decimal"/>
      <w:pStyle w:val="Heading7"/>
      <w:lvlText w:val="%1.%2.%3.%4.%5.%6.%7"/>
    </w:lvl>
    <w:lvl w:ilvl="7">
      <w:start w:val="1"/>
      <w:numFmt w:val="decimal"/>
      <w:pStyle w:val="Heading8"/>
      <w:lvlText w:val="%1.%2.%3.%4.%5.%6.%7.%8"/>
    </w:lvl>
    <w:lvl w:ilvl="8">
      <w:start w:val="1"/>
      <w:numFmt w:val="decimal"/>
      <w:pStyle w:val="Heading9"/>
      <w:lvlText w:val="%1.%2.%3.%4.%5.%6.%7.%8.%9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76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Normal" w:default="true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0"/>
      </w:numPr>
      <w:spacing w:before="480" w:after="0"/>
      <w:outlineLvl w:val="0"/>
    </w:pPr>
    <w:rPr>
      <w:rFonts w:ascii="微软雅黑" w:hAnsi="微软雅黑" w:eastAsia="微软雅黑" w:asciiTheme="majorHAnsi" w:hAnsiTheme="majorHAnsi" w:eastAsiaTheme="majorEastAsia" w:cstheme="majorBidi"/>
      <w:b/>
      <w:bCs/>
      <w:color w:val="1C46A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="微软雅黑" w:hAnsi="微软雅黑" w:eastAsia="微软雅黑" w:asciiTheme="majorHAnsi" w:hAnsiTheme="majorHAnsi" w:eastAsiaTheme="majorEastAsia" w:cstheme="majorBidi"/>
      <w:b/>
      <w:bCs/>
      <w:color w:val="1C46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="微软雅黑" w:hAnsi="微软雅黑" w:eastAsia="微软雅黑" w:asciiTheme="majorHAnsi" w:hAnsiTheme="majorHAnsi" w:eastAsiaTheme="majorEastAsia" w:cstheme="majorBidi"/>
      <w:b/>
      <w:bCs/>
      <w:color w:val="1C46A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true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微软雅黑" w:hAnsi="微软雅黑" w:eastAsia="微软雅黑" w:asciiTheme="majorHAnsi" w:hAnsiTheme="majorHAnsi" w:eastAsiaTheme="majorEastAsia" w:cstheme="majorBidi"/>
      <w:color w:val="2457D8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true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true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true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true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true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true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pPr>
      <w:ind w:left="0"/>
    </w:pPr>
  </w:style>
  <w:style w:type="paragraph" w:styleId="TOC2">
    <w:name w:val="toc 2"/>
    <w:basedOn w:val="Normal"/>
    <w:pPr>
      <w:ind w:left="420"/>
    </w:pPr>
  </w:style>
  <w:style w:type="paragraph" w:styleId="TOC3">
    <w:name w:val="toc 3"/>
    <w:basedOn w:val="Normal"/>
    <w:pPr>
      <w:ind w:left="840"/>
    </w:pPr>
  </w:style>
  <w:style w:type="character" w:styleId="Hyperlink">
    <w:name w:val="Hyperlink"/>
    <w:rPr>
      <w:color w:val="0563C1"/>
      <w:u w:val="single"/>
    </w:rPr>
  </w:style>
  <w:style w:type="paragraph" w:styleId="MergeH3_Heading2">
    <w:name w:val="Merge Heading 3 (Heading2)"/>
    <w:basedOn w:val="Heading2"/>
    <w:pPr>
      <w:numPr>
        <w:ilvl w:val="2"/>
        <w:numId w:val="10"/>
      </w:numPr>
      <w:outlineLvl w:val="2"/>
    </w:pPr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3"/>
    <Relationship Target="stylesWithEffects.xml" Type="http://schemas.microsoft.com/office/2007/relationships/stylesWithEffects" Id="rId4"/>
    <Relationship Target="settings.xml" Type="http://schemas.openxmlformats.org/officeDocument/2006/relationships/settings" Id="rId5"/>
    <Relationship Target="webSettings.xml" Type="http://schemas.openxmlformats.org/officeDocument/2006/relationships/webSettings" Id="rId6"/>
    <Relationship Target="fontTable.xml" Type="http://schemas.openxmlformats.org/officeDocument/2006/relationships/fontTable" Id="rId7"/>
    <Relationship Target="theme/theme1.xml" Type="http://schemas.openxmlformats.org/officeDocument/2006/relationships/theme" Id="rId8"/>
    <Relationship Target="../customXml/item1.xml" Type="http://schemas.openxmlformats.org/officeDocument/2006/relationships/customXml" Id="rId1"/>
    <Relationship Target="numbering.xml" Type="http://schemas.openxmlformats.org/officeDocument/2006/relationships/numbering" Id="rId2"/>
    <Relationship Target="media/merge-1-image.png" Type="http://schemas.openxmlformats.org/officeDocument/2006/relationships/image" Id="rId9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