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1.0.2 on Windows 11 -->
    <w:p>
      <w:r>
        <w:t xml:space="preserve">这段在标记之外，不应出现在合并结果中。</w:t>
      </w:r>
    </w:p>
    <w:p>
      <w:r>
        <w:t xml:space="preserve">${design-</w:t>
      </w:r>
      <w:r>
        <w:t xml:space="preserve">start}</w:t>
      </w:r>
      <w:r>
        <w:t xml:space="preserve">本节从标记之后开始：</w:t>
      </w:r>
    </w:p>
    <w:p>
      <w:pPr>
        <w:pStyle w:val="Heading1"/>
      </w:pPr>
      <w:r>
        <w:t xml:space="preserve">总体设计</w:t>
      </w:r>
    </w:p>
    <w:p>
      <w:r>
        <w:t xml:space="preserve">系统由 </w:t>
      </w:r>
      <w:r>
        <w:rPr>
          <w:b w:val="true"/>
        </w:rPr>
        <w:t xml:space="preserve">前端</w:t>
      </w:r>
      <w:r>
        <w:t xml:space="preserve">、</w:t>
      </w:r>
      <w:r>
        <w:rPr>
          <w:i w:val="true"/>
        </w:rPr>
        <w:t xml:space="preserve">后端</w:t>
      </w:r>
      <w:r>
        <w:t xml:space="preserve"> 和存储层组成，支持按标识区域精确合并。</w:t>
      </w:r>
    </w:p>
    <w:p>
      <w:pPr>
        <w:pStyle w:val="Heading2"/>
      </w:pPr>
      <w:r>
        <w:t xml:space="preserve">关键指标</w:t>
      </w:r>
    </w:p>
    <w:p>
      <w:pPr>
        <w:numPr>
          <w:ilvl w:val="0"/>
          <w:numId w:val="1"/>
        </w:numPr>
      </w:pPr>
      <w:r>
        <w:t xml:space="preserve">合并成功率不低于 99.9%</w:t>
      </w:r>
    </w:p>
    <w:p>
      <w:pPr>
        <w:numPr>
          <w:ilvl w:val="0"/>
          <w:numId w:val="1"/>
        </w:numPr>
      </w:pPr>
      <w:r>
        <w:t xml:space="preserve">单次合并耗时小于 2 秒</w:t>
      </w:r>
    </w:p>
    <w:tbl>
      <w:tblPr>
        <w:tblW w:w="5000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r>
        <w:tc>
          <w:p>
            <w:r>
              <w:t xml:space="preserve">指标</w:t>
            </w:r>
          </w:p>
        </w:tc>
        <w:tc>
          <w:p>
            <w:r>
              <w:t xml:space="preserve">目标值</w:t>
            </w:r>
          </w:p>
        </w:tc>
      </w:tr>
      <w:tr>
        <w:tc>
          <w:p>
            <w:r>
              <w:t xml:space="preserve">吞吐量</w:t>
            </w:r>
          </w:p>
        </w:tc>
        <w:tc>
          <w:p>
            <w:r>
              <w:t xml:space="preserve">1000 次/天</w:t>
            </w:r>
          </w:p>
        </w:tc>
      </w:tr>
      <w:tr>
        <w:tc>
          <w:p>
            <w:r>
              <w:t xml:space="preserve">可用性</w:t>
            </w:r>
          </w:p>
        </w:tc>
        <w:tc>
          <w:p>
            <w:r>
              <w:t xml:space="preserve">99.9%</w:t>
            </w:r>
          </w:p>
        </w:tc>
      </w:tr>
    </w:tbl>
    <w:p>
      <w:r>
        <w:drawing>
          <wp:inline distT="0" distB="0" distL="0" distR="0">
            <wp:extent cx="2600000" cy="1200000"/>
            <wp:effectExtent l="0" t="0" r="0" b="0"/>
            <wp:docPr id="101" name="merge-demo.png" descr="合并示例图片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2" name="merge-dem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hyperlink r:id="rId5">
        <w:r>
          <w:rPr>
            <w:color w:val="0563C1"/>
            <w:u w:val="single"/>
          </w:rPr>
          <w:t xml:space="preserve">访问示例网站</w:t>
        </w:r>
      </w:hyperlink>
    </w:p>
    <w:p>
      <w:r>
        <w:t xml:space="preserve">本节结束。</w:t>
      </w:r>
      <w:r>
        <w:t xml:space="preserve">${design-end}</w:t>
      </w:r>
    </w:p>
    <w:p>
      <w:r>
        <w:t xml:space="preserve">这段也不应出现。</w:t>
      </w:r>
    </w:p>
    <w:p>
      <w:r>
        <w:t xml:space="preserve">${inline-start}</w:t>
      </w:r>
      <w:r>
        <w:rPr>
          <w:b w:val="true"/>
        </w:rPr>
        <w:t xml:space="preserve">同一段落内的内容</w:t>
      </w:r>
      <w:r>
        <w:t xml:space="preserve">${inline-end}</w:t>
      </w:r>
    </w:p>
    <w:p>
      <w:r>
        <w:t xml:space="preserve">${split-</w:t>
      </w:r>
      <w:r>
        <w:t xml:space="preserve">start}</w:t>
      </w:r>
      <w:r>
        <w:t xml:space="preserve">拆分 run 的标记也能识别</w:t>
      </w:r>
      <w:r>
        <w:t xml:space="preserve">${split-</w:t>
      </w:r>
      <w:r>
        <w:t xml:space="preserve">end}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hybridMultilevel"/>
    <w:name w:val="MergeTestDecimal"/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</w:abstractNum>
  <w:abstractNum w:abstractNumId="1">
    <w:multiLevelType w:val="hybridMultilevel"/>
    <w:name w:val="MergeTestBullet"/>
    <w:lvl w:ilvl="0">
      <w:start w:val="1"/>
      <w:numFmt w:val="bullet"/>
      <w:lvlText w:val="•"/>
    </w:lvl>
    <w:lvl w:ilvl="1">
      <w:start w:val="1"/>
      <w:numFmt w:val="bullet"/>
      <w:lvlText w:val="–"/>
    </w:lvl>
    <w:lvl w:ilvl="2">
      <w:start w:val="1"/>
      <w:numFmt w:val="bullet"/>
      <w:lvlText w:val="▪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media/document_image_rId4.png" Type="http://schemas.openxmlformats.org/officeDocument/2006/relationships/image" Id="rId4"/>
    <Relationship TargetMode="External" Target="https://example.com/docx-merge" Type="http://schemas.openxmlformats.org/officeDocument/2006/relationships/hyperlink" Id="rId5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