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PingFang SC" w:hAnsi="PingFang SC" w:eastAsia="PingFang SC"/>
          <w:b/>
          <w:color w:val="174C3D"/>
          <w:sz w:val="48"/>
        </w:rPr>
        <w:t>微控制器个性化实践教学平台建设与验证报告</w:t>
      </w:r>
    </w:p>
    <w:p>
      <w:pPr>
        <w:spacing w:before="320"/>
        <w:jc w:val="center"/>
      </w:pPr>
      <w:r>
        <w:rPr>
          <w:rFonts w:ascii="PingFang SC" w:hAnsi="PingFang SC"/>
          <w:color w:val="505050"/>
          <w:sz w:val="28"/>
        </w:rPr>
        <w:t>基于知识图谱与生成式人工智能</w:t>
      </w:r>
    </w:p>
    <w:p/>
    <w:p/>
    <w:p/>
    <w:p/>
    <w:p/>
    <w:p/>
    <w:p/>
    <w:p/>
    <w:p>
      <w:pPr>
        <w:jc w:val="center"/>
      </w:pPr>
      <w:r>
        <w:rPr>
          <w:rFonts w:ascii="PingFang SC" w:hAnsi="PingFang SC"/>
          <w:sz w:val="22"/>
        </w:rPr>
        <w:t>项目阶段：课堂试用准备与验证</w:t>
      </w:r>
    </w:p>
    <w:p>
      <w:pPr>
        <w:jc w:val="center"/>
      </w:pPr>
      <w:r>
        <w:rPr>
          <w:rFonts w:ascii="PingFang SC" w:hAnsi="PingFang SC"/>
          <w:sz w:val="22"/>
        </w:rPr>
        <w:t>报告日期：2026年9月20日</w:t>
      </w:r>
    </w:p>
    <w:p>
      <w:r>
        <w:br w:type="page"/>
      </w:r>
    </w:p>
    <w:p>
      <w:pPr>
        <w:pStyle w:val="Heading1"/>
      </w:pPr>
      <w:r>
        <w:t>一、项目概况与申报要求</w:t>
      </w:r>
    </w:p>
    <w:p>
      <w:r>
        <w:t>本项目面向《微控制器原理及应用技术》课程，建设一个由知识图谱约束、教师复核把关、学生分层实践和过程数据记录共同支撑的虚拟工程师平台。平台服务于对话学习、个性化学习、学习分析、课件制作、课堂评价和作业反馈等申报场景，重点解决实践教学中指导难以及时覆盖、故障机理不易理解、代码评价周期较长等问题。</w:t>
      </w:r>
    </w:p>
    <w:p>
      <w:r>
        <w:t>申报书提出的建设主线包括：以知识点及依赖关系组织诊疗参考；配置基础、综合、拓展三级实训任务；由模型进行代码初评并由教师审核后发布；形成班级知识点画像；建设不少于6件可视化课件；提交不少于2000字的结项总结报告，并以真实课堂数据说明实施效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申报要求</w:t>
            </w:r>
          </w:p>
        </w:tc>
        <w:tc>
          <w:tcPr>
            <w:tcW w:type="dxa" w:w="3192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本报告对应内容</w:t>
            </w:r>
          </w:p>
        </w:tc>
        <w:tc>
          <w:tcPr>
            <w:tcW w:type="dxa" w:w="3192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当前状态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知识图谱约束诊疗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第二、四、五节；279个节点、202条依赖边及真实边绘制检查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已实现，课堂试用范围为三类故障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教师复核后下发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第三节审核流程、第四节权限与版本验证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已实现，服务端门禁已验证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三级实训任务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第三节学生流程、第五节任务验证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已实现模板，真实班级配置待补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AI代码批改与评价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第三节代码提交、第四节量规与验证边界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已实现初评结构；真实模型和教师复核数据待补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知识点画像与过程记录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第四、五节统计口径与事件记录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已实现记录框架；掌握度结论待真实测评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课件及成果材料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第六节材料清单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尚未完成全量建设，列为下一阶段</w:t>
            </w:r>
          </w:p>
        </w:tc>
      </w:tr>
    </w:tbl>
    <w:p>
      <w:pPr>
        <w:spacing w:after="0"/>
      </w:pPr>
    </w:p>
    <w:p>
      <w:pPr>
        <w:pStyle w:val="Heading1"/>
      </w:pPr>
      <w:r>
        <w:t>二、平台建设内容与组成</w:t>
      </w:r>
    </w:p>
    <w:p>
      <w:r>
        <w:t>平台由学生工作区、教师工作台、知识图谱与诊疗参考、任务与评价、统计与导出五部分组成。当前课堂试用版将范围收敛到“中断不触发、串口乱码、定时不准”三类典型故障，既覆盖寄存器配置、时序计算和通信参数等关键知识点，也便于在实际课堂中形成可复核的故障—假设—验证—修订记录。</w:t>
      </w:r>
    </w:p>
    <w:p>
      <w:pPr>
        <w:pStyle w:val="ListBullet"/>
        <w:spacing w:after="60"/>
      </w:pPr>
      <w:r>
        <w:t>知识图谱：导入279个节点和202条依赖边。图谱按真实依赖边绘制，节点可查看名称、类型、截取范围及关联关系，避免按页面顺序自动连线造成虚假关系。</w:t>
      </w:r>
    </w:p>
    <w:p>
      <w:pPr>
        <w:pStyle w:val="ListBullet"/>
        <w:spacing w:after="60"/>
      </w:pPr>
      <w:r>
        <w:t>诊疗与审核：学生提交观察、代码和问题描述后只获得受理状态；模型初稿由教师修改、保存、发布或退回，未发布内容不向学生开放。</w:t>
      </w:r>
    </w:p>
    <w:p>
      <w:pPr>
        <w:pStyle w:val="ListBullet"/>
        <w:spacing w:after="60"/>
      </w:pPr>
      <w:r>
        <w:t>任务与评价：每类故障提供基础、综合、拓展三级模板，评价按目标、条件、提交物、验证办法和分项量规记录；没有编译或硬件运行依据时不显示“运行正确”。</w:t>
      </w:r>
    </w:p>
    <w:p>
      <w:pPr>
        <w:pStyle w:val="ListBullet"/>
        <w:spacing w:after="60"/>
      </w:pPr>
      <w:r>
        <w:t>数据与审计：记录教师会话、班级、匿名学习编号、实验、任务尝试、评价版本和关键事件；演示、测试、课堂和历史待核实来源分开，历史记录默认不计入课堂统计。</w:t>
      </w:r>
    </w:p>
    <w:p>
      <w:pPr>
        <w:pStyle w:val="ListBullet"/>
        <w:spacing w:after="60"/>
      </w:pPr>
      <w:r>
        <w:t>界面：采用浅色教学工作区，代码区保持深色背景；主要操作有明确状态、保存结果和焦点提示，适配390、768和1440像素宽度。</w:t>
      </w:r>
    </w:p>
    <w:p>
      <w:pPr>
        <w:pStyle w:val="Heading1"/>
      </w:pPr>
      <w:r>
        <w:t>三、平台使用说明</w:t>
      </w:r>
    </w:p>
    <w:p>
      <w:pPr>
        <w:pStyle w:val="Heading2"/>
      </w:pPr>
      <w:r>
        <w:t>（一）教师开课与配置</w:t>
      </w:r>
    </w:p>
    <w:p>
      <w:r>
        <w:t>教师以独立账号登录后创建班级和实验，确认芯片型号、晶振频率、分频方式、工作模式、验证方式和评分量规。教师为参与者发放班级码、匿名学习编号及私密恢复码。班级码只用于加入课堂，编号、单号或公开链接均不能单独授权读取或修改个人记录。</w:t>
      </w:r>
    </w:p>
    <w:p>
      <w:pPr>
        <w:pStyle w:val="Heading2"/>
      </w:pPr>
      <w:r>
        <w:t>（二）学生加入与诊疗</w:t>
      </w:r>
    </w:p>
    <w:p>
      <w:r>
        <w:t>学生使用班级码加入实验，进入当前故障任务。首屏显示实验、当前状态和唯一主要操作。学生填写现象、初步假设、关键代码或参数，并提交诊疗单；提交后页面收起录入区，优先显示“等待教师审核”状态。</w:t>
      </w:r>
    </w:p>
    <w:p>
      <w:pPr>
        <w:pStyle w:val="Heading2"/>
      </w:pPr>
      <w:r>
        <w:t>（三）教师审核与下发</w:t>
      </w:r>
    </w:p>
    <w:p>
      <w:r>
        <w:t>教师工作台按班级、实验、状态、单号和工位筛选待办。审核页分区显示原提交、模型初稿和教师修改稿；教师保存时进行版本检查，发布前确认指导内容、任务条件和验证办法。保存、发布、退回和导出都在服务端校验教师身份与班级归属。</w:t>
      </w:r>
    </w:p>
    <w:p>
      <w:pPr>
        <w:pStyle w:val="Heading2"/>
      </w:pPr>
      <w:r>
        <w:t>（四）学生执行与多轮修订</w:t>
      </w:r>
    </w:p>
    <w:p>
      <w:r>
        <w:t>学生只能看到批准版本。完成基础验证后提交观察结果或修改后的代码；基础验证通过才进入综合任务，综合通过才进入拓展任务。学生遇到困难时提交“求助”，进入细化提示或教师帮助，不因连续点击“卡住”自动越级。一次诊疗可保存多轮观察、代码、指导和修订结果。</w:t>
      </w:r>
    </w:p>
    <w:p>
      <w:pPr>
        <w:pStyle w:val="Heading2"/>
      </w:pPr>
      <w:r>
        <w:t>（五）统计与导出</w:t>
      </w:r>
    </w:p>
    <w:p>
      <w:r>
        <w:t>教师可查看提交、待审、求助、修订通过及教师确认错误等指标。完成率按“教师确认完成的有效学习编号数÷有效参与编号数”计算，并按班级、实验、时间和匿名编号去重。没有前后测或验证依据时不显示“掌握率”。案例导出包含实际发布内容、前后代码和验证记录；缺少学生反馈时保留为空，不生成效果描述。</w:t>
      </w:r>
    </w:p>
    <w:p>
      <w:pPr>
        <w:pStyle w:val="Heading1"/>
      </w:pPr>
      <w:r>
        <w:t>四、生成式人工智能使用规范与提示词说明</w:t>
      </w:r>
    </w:p>
    <w:p>
      <w:r>
        <w:t>平台使用生成式人工智能完成检索辅助、诊疗初稿和代码初评，模型不直接替代教师判断。当前配置采用用户指定的 GLM-4.7-Flash 接口；本报告不记录密钥。真实课堂启用前，须由教师确认芯片、晶振、分频和实验目标，参数不足时只给出定性排查，不自行猜值。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3192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提示词核心要求</w:t>
            </w:r>
          </w:p>
        </w:tc>
        <w:tc>
          <w:tcPr>
            <w:tcW w:type="dxa" w:w="3192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教师控制点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范围判断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先判断问题是否属于课程与当前实验范围；课程外问题只说明不支持范围及可转向的课程资源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确认知识点、实验和芯片范围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知识检索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只召回相关节点、依赖关系和易错点；结果去重并限制数量，引用节点名称与截取范围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确认图谱版本和节点准确性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诊疗初稿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按现象—假设—依据—验证—下一步组织，不直接给出绕过验证的答案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修改诊断边界、验证步骤和措辞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代码初评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标出代码位置、问题类型、知识点、分项初评和理由；没有运行证据不得宣称运行正确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依据评分量规确认或改写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脱敏检查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识别中文自述、英文署名、字母数字学号及疑似身份信息；保留晶振频率等技术数字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确认删除身份信息后再发布</w:t>
            </w:r>
          </w:p>
        </w:tc>
      </w:tr>
    </w:tbl>
    <w:p>
      <w:pPr>
        <w:spacing w:after="0"/>
      </w:pPr>
    </w:p>
    <w:p>
      <w:r>
        <w:t>数值计算由程序执行，模型负责解释。以11.0592 MHz、每次计数12个时钟周期、50 ms为例，计数次数为0.05×11059200÷12＝46080，定时初值为65536−46080＝19456，即0x4C00。实际芯片、晶振、分频和实验目标不确定时，平台不得把模型猜测写成定论。</w:t>
      </w:r>
    </w:p>
    <w:p>
      <w:pPr>
        <w:pStyle w:val="Heading1"/>
      </w:pPr>
      <w:r>
        <w:t>五、最终验证结果</w:t>
      </w:r>
    </w:p>
    <w:p>
      <w:r>
        <w:t>本节记录的是当前平台代码和课堂试用流程的验证结果。结果分为功能验证、工程验证和模型/课堂边界三类，不能替代真实课堂成效报告。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验证项目</w:t>
            </w:r>
          </w:p>
        </w:tc>
        <w:tc>
          <w:tcPr>
            <w:tcW w:type="dxa" w:w="3192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192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证据与边界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单元与流程测试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通过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31项单元测试、27组集成流程通过；覆盖权限、发布门禁、版本冲突、幂等和统计分母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数据迁移与恢复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通过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备份恢复后保留原有7条诊疗、5条复核、2条易错点记录；原文与关联关系保留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并发读取基线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通过（本地）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40个独立会话读取无失败；p50约67 ms、p95约102 ms、最大约103 ms；为本地读取路径基线，不代表真实模型吞吐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生产构建与页面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通过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生产构建通过，页面HTTP 200；已检查390、768、1440像素布局和键盘焦点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真实模型调用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未通过本轮外部验证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GLM-4.7-Flash测试返回429“当前访问量过大”；因此不宣称真实模型稳定性或课堂生成效果</w:t>
            </w:r>
          </w:p>
        </w:tc>
      </w:tr>
      <w:tr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真实课堂成效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待补证</w:t>
            </w:r>
          </w:p>
        </w:tc>
        <w:tc>
          <w:tcPr>
            <w:tcW w:type="dxa" w:w="3192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尚无真实班级参与数、对照班完成率、反馈周期、学生反馈和教师复核一致率，不写成已取得成效</w:t>
            </w:r>
          </w:p>
        </w:tc>
      </w:tr>
    </w:tbl>
    <w:p>
      <w:pPr>
        <w:spacing w:after="0"/>
      </w:pPr>
    </w:p>
    <w:p>
      <w:pPr>
        <w:pStyle w:val="Heading1"/>
      </w:pPr>
      <w:r>
        <w:t>六、申报书要求与当前完成度核对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94"/>
        <w:gridCol w:w="2394"/>
        <w:gridCol w:w="2394"/>
        <w:gridCol w:w="2394"/>
      </w:tblGrid>
      <w:tr>
        <w:tc>
          <w:tcPr>
            <w:tcW w:type="dxa" w:w="2394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要求</w:t>
            </w:r>
          </w:p>
        </w:tc>
        <w:tc>
          <w:tcPr>
            <w:tcW w:type="dxa" w:w="2394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当前证据</w:t>
            </w:r>
          </w:p>
        </w:tc>
        <w:tc>
          <w:tcPr>
            <w:tcW w:type="dxa" w:w="2394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完成度判断</w:t>
            </w:r>
          </w:p>
        </w:tc>
        <w:tc>
          <w:tcPr>
            <w:tcW w:type="dxa" w:w="2394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补证动作</w:t>
            </w:r>
          </w:p>
        </w:tc>
      </w:tr>
      <w:tr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三类典型故障课堂试用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中断不触发、串口乱码、定时不准的模板与流程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已具备试用条件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教师确认硬件参数和验证办法</w:t>
            </w:r>
          </w:p>
        </w:tc>
      </w:tr>
      <w:tr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不少于3个完整七要素案例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平台可记录七要素字段，但尚未形成真实课堂成件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部分实现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每类故障形成1个经教师确认的完整案例</w:t>
            </w:r>
          </w:p>
        </w:tc>
      </w:tr>
      <w:tr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不少于6件可视化课件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已有寄存器提示卡与图谱参考，不足6件独立课件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未完成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按知识点、故障、验证和复盘补齐课件并登记版本</w:t>
            </w:r>
          </w:p>
        </w:tc>
      </w:tr>
      <w:tr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20—30分钟教学视频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当前平台未提供成片证据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未完成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录制并核对时长、字幕、教学目标和平台操作</w:t>
            </w:r>
          </w:p>
        </w:tc>
      </w:tr>
      <w:tr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结项总结报告不少于2000字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本报告已覆盖平台、使用和验证；真实成效章节需课堂数据后更新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报告框架完成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补入经核对的课堂统计与学生反馈</w:t>
            </w:r>
          </w:p>
        </w:tc>
      </w:tr>
      <w:tr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国内合规模型与私有部署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已提供GLM配置入口和密钥外置；本轮模型调用受429影响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技术路径具备，运行效果待验证</w:t>
            </w:r>
          </w:p>
        </w:tc>
        <w:tc>
          <w:tcPr>
            <w:tcW w:type="dxa" w:w="2394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按部署位置和学院审查形式补记录</w:t>
            </w:r>
          </w:p>
        </w:tc>
      </w:tr>
    </w:tbl>
    <w:p>
      <w:pPr>
        <w:spacing w:after="0"/>
      </w:pPr>
    </w:p>
    <w:p>
      <w:pPr>
        <w:pStyle w:val="Heading1"/>
      </w:pPr>
      <w:r>
        <w:t>七、当前风险、边界与下一步</w:t>
      </w:r>
    </w:p>
    <w:p>
      <w:pPr>
        <w:pStyle w:val="ListBullet"/>
        <w:spacing w:after="60"/>
      </w:pPr>
      <w:r>
        <w:t>真实教学效果尚未形成证据：不得把演示记录、测试记录、提交数量或模型初稿数量解释为参与人数、完成率或掌握率。</w:t>
      </w:r>
    </w:p>
    <w:p>
      <w:pPr>
        <w:pStyle w:val="ListBullet"/>
        <w:spacing w:after="60"/>
      </w:pPr>
      <w:r>
        <w:t>模型调用受服务负载影响：课堂试用前应准备人工诊疗回退、重试与失败提示，并对模型版本、调用时间和返回状态留痕。</w:t>
      </w:r>
    </w:p>
    <w:p>
      <w:pPr>
        <w:pStyle w:val="ListBullet"/>
        <w:spacing w:after="60"/>
      </w:pPr>
      <w:r>
        <w:t>申报书中的全课程覆盖、六件课件、三件完整案例、教学视频和对照班指标尚未全部完成，应作为后续建设和结项补证项。</w:t>
      </w:r>
    </w:p>
    <w:p>
      <w:r>
        <w:t>建议按“权限与发布门禁—三类故障课堂试用—真实数据复核—成果材料补齐”的顺序推进。每一轮试用结束后由教师核对有效参与编号数、教师确认完成数、验证记录和学生反馈，再更新统计和总结报告。</w:t>
      </w:r>
    </w:p>
    <w:p>
      <w:pPr>
        <w:pStyle w:val="Heading1"/>
      </w:pPr>
      <w:r>
        <w:t>八、结论</w:t>
      </w:r>
    </w:p>
    <w:p>
      <w:r>
        <w:t>截至本报告日期，平台已经形成可演示、可审核、可记录和可回溯的课堂试用原型，三类典型故障的教师复核流程、三级任务框架、脱敏、版本控制、统计口径和响应式界面已完成验证。平台与申报书的核心建设方向相符，但全课程覆盖、六件可视化课件、完整七要素案例、教学视频以及真实课堂成效仍需补证。后续只有在教师完成实验配置、模型服务恢复并取得真实课堂记录后，才可将“试用准备结果”更新为“项目实施成效”。</w:t>
      </w:r>
    </w:p>
    <w:p>
      <w:pPr>
        <w:pStyle w:val="Heading1"/>
      </w:pPr>
      <w:r>
        <w:t>附录：配套材料清单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88"/>
        <w:gridCol w:w="4788"/>
      </w:tblGrid>
      <w:tr>
        <w:tc>
          <w:tcPr>
            <w:tcW w:type="dxa" w:w="4788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材料</w:t>
            </w:r>
          </w:p>
        </w:tc>
        <w:tc>
          <w:tcPr>
            <w:tcW w:type="dxa" w:w="4788"/>
            <w:vAlign w:val="center"/>
            <w:shd w:fill="176B5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788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平台使用说明</w:t>
            </w:r>
          </w:p>
        </w:tc>
        <w:tc>
          <w:tcPr>
            <w:tcW w:type="dxa" w:w="4788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面向教师和学生的登录、开课、诊疗、审核、修订、统计操作说明</w:t>
            </w:r>
          </w:p>
        </w:tc>
      </w:tr>
      <w:tr>
        <w:tc>
          <w:tcPr>
            <w:tcW w:type="dxa" w:w="4788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项目成果对应关系表</w:t>
            </w:r>
          </w:p>
        </w:tc>
        <w:tc>
          <w:tcPr>
            <w:tcW w:type="dxa" w:w="4788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将申报书目标、平台功能、证据材料和后续补证项逐项对应</w:t>
            </w:r>
          </w:p>
        </w:tc>
      </w:tr>
      <w:tr>
        <w:tc>
          <w:tcPr>
            <w:tcW w:type="dxa" w:w="4788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提示词规范</w:t>
            </w:r>
          </w:p>
        </w:tc>
        <w:tc>
          <w:tcPr>
            <w:tcW w:type="dxa" w:w="4788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范围判断、图谱检索、诊疗初稿、代码初评和脱敏规则</w:t>
            </w:r>
          </w:p>
        </w:tc>
      </w:tr>
      <w:tr>
        <w:tc>
          <w:tcPr>
            <w:tcW w:type="dxa" w:w="4788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试用验证记录</w:t>
            </w:r>
          </w:p>
        </w:tc>
        <w:tc>
          <w:tcPr>
            <w:tcW w:type="dxa" w:w="4788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测试结果、性能基线、迁移恢复、模型边界和课堂试用验收项</w:t>
            </w:r>
          </w:p>
        </w:tc>
      </w:tr>
      <w:tr>
        <w:tc>
          <w:tcPr>
            <w:tcW w:type="dxa" w:w="4788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本报告</w:t>
            </w:r>
          </w:p>
        </w:tc>
        <w:tc>
          <w:tcPr>
            <w:tcW w:type="dxa" w:w="4788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对平台、使用方法、申报要求匹配度和最终验证结果的综合说明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/>
        <w:color w:val="6E6E6E"/>
        <w:sz w:val="16"/>
      </w:rPr>
      <w:t>课堂试用版　｜　2026年9月20日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SC" w:hAnsi="PingFang SC"/>
        <w:color w:val="6E6E6E"/>
        <w:sz w:val="16"/>
      </w:rPr>
      <w:t>微控制器个性化实践教学平台建设与验证报告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74C3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55B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3C3C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  <w:jc w:val="center"/>
    </w:pPr>
    <w:rPr>
      <w:rFonts w:asciiTheme="majorHAnsi" w:eastAsiaTheme="majorEastAsia" w:hAnsiTheme="majorHAnsi" w:cstheme="majorBidi" w:ascii="PingFang SC" w:hAnsi="PingFang SC" w:eastAsia="PingFang SC"/>
      <w:b/>
      <w:color w:val="174C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24" w:lineRule="auto"/>
    </w:pPr>
    <w:rPr>
      <w:rFonts w:ascii="PingFang SC" w:hAnsi="PingFang SC" w:eastAsia="PingFang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