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PingFang SC" w:hAnsi="PingFang SC" w:eastAsia="PingFang SC"/>
          <w:b/>
          <w:color w:val="174C3D"/>
          <w:sz w:val="48"/>
        </w:rPr>
        <w:t>虚拟工程师平台建设与验证报告</w:t>
      </w:r>
    </w:p>
    <w:p>
      <w:pPr>
        <w:spacing w:before="320"/>
        <w:jc w:val="center"/>
      </w:pPr>
      <w:r>
        <w:rPr>
          <w:rFonts w:ascii="PingFang SC" w:hAnsi="PingFang SC"/>
          <w:color w:val="505050"/>
          <w:sz w:val="28"/>
        </w:rPr>
        <w:t>基于知识图谱与生成式人工智能</w:t>
      </w:r>
    </w:p>
    <w:p/>
    <w:p/>
    <w:p/>
    <w:p/>
    <w:p/>
    <w:p/>
    <w:p/>
    <w:p/>
    <w:p>
      <w:pPr>
        <w:jc w:val="center"/>
      </w:pPr>
      <w:r>
        <w:rPr>
          <w:rFonts w:ascii="PingFang SC" w:hAnsi="PingFang SC"/>
          <w:sz w:val="22"/>
        </w:rPr>
        <w:t>项目阶段：正式上线前功能与材料核验</w:t>
      </w:r>
    </w:p>
    <w:p>
      <w:pPr>
        <w:jc w:val="center"/>
      </w:pPr>
      <w:r>
        <w:rPr>
          <w:rFonts w:ascii="PingFang SC" w:hAnsi="PingFang SC"/>
          <w:sz w:val="22"/>
        </w:rPr>
        <w:t>报告日期：2026年9月25日</w:t>
      </w:r>
    </w:p>
    <w:p>
      <w:r>
        <w:br w:type="page"/>
      </w:r>
    </w:p>
    <w:p>
      <w:pPr>
        <w:pStyle w:val="Heading1"/>
      </w:pPr>
      <w:r>
        <w:t>一、项目概况与申报要求</w:t>
      </w:r>
    </w:p>
    <w:p>
      <w:r>
        <w:t>本项目面向《微控制器原理及应用技术》课程，建设一个由知识图谱约束、教师复核把关、学生分层实践和过程数据记录共同支撑的虚拟工程师平台。平台服务于对话学习、个性化学习、学习分析、课件制作、课堂评价和作业反馈等申报场景，重点解决实践教学中指导难以及时覆盖、故障机理不易理解、代码评价周期较长等问题。</w:t>
      </w:r>
    </w:p>
    <w:p>
      <w:r>
        <w:t>申报书提出的建设主线包括：以知识点及依赖关系组织诊疗参考；配置基础、综合、拓展三级实训任务；由模型进行代码初评并由教师审核后发布；形成班级知识点画像；建设不少于6件可视化课件；提交不少于2000字的结项总结报告，并以真实课堂数据说明实施效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  <w:vAlign w:val="center"/>
            <w:shd w:fill="176B57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申报要求</w:t>
            </w:r>
          </w:p>
        </w:tc>
        <w:tc>
          <w:tcPr>
            <w:tcW w:type="dxa" w:w="3192"/>
            <w:vAlign w:val="center"/>
            <w:shd w:fill="176B57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本报告对应内容</w:t>
            </w:r>
          </w:p>
        </w:tc>
        <w:tc>
          <w:tcPr>
            <w:tcW w:type="dxa" w:w="3192"/>
            <w:vAlign w:val="center"/>
            <w:shd w:fill="176B57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当前状态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知识图谱约束诊疗</w:t>
            </w:r>
          </w:p>
        </w:tc>
        <w:tc>
          <w:tcPr>
            <w:tcW w:type="dxa" w:w="3192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第二、四、五节；279个节点、202条依赖边及真实边绘制检查</w:t>
            </w:r>
          </w:p>
        </w:tc>
        <w:tc>
          <w:tcPr>
            <w:tcW w:type="dxa" w:w="3192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已实现，课堂试用范围为三类故障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教师复核后下发</w:t>
            </w:r>
          </w:p>
        </w:tc>
        <w:tc>
          <w:tcPr>
            <w:tcW w:type="dxa" w:w="3192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第三节审核流程、第四节权限与版本验证</w:t>
            </w:r>
          </w:p>
        </w:tc>
        <w:tc>
          <w:tcPr>
            <w:tcW w:type="dxa" w:w="3192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已实现，服务端门禁已验证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三级实训任务</w:t>
            </w:r>
          </w:p>
        </w:tc>
        <w:tc>
          <w:tcPr>
            <w:tcW w:type="dxa" w:w="3192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第三节学生流程、第五节任务验证</w:t>
            </w:r>
          </w:p>
        </w:tc>
        <w:tc>
          <w:tcPr>
            <w:tcW w:type="dxa" w:w="3192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已实现模板，真实班级配置待补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AI代码批改与评价</w:t>
            </w:r>
          </w:p>
        </w:tc>
        <w:tc>
          <w:tcPr>
            <w:tcW w:type="dxa" w:w="3192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第三节代码提交、第四节量规与验证边界</w:t>
            </w:r>
          </w:p>
        </w:tc>
        <w:tc>
          <w:tcPr>
            <w:tcW w:type="dxa" w:w="3192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已实现初评结构；真实模型和教师复核数据待补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知识点画像与过程记录</w:t>
            </w:r>
          </w:p>
        </w:tc>
        <w:tc>
          <w:tcPr>
            <w:tcW w:type="dxa" w:w="3192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第四、五节统计口径与事件记录</w:t>
            </w:r>
          </w:p>
        </w:tc>
        <w:tc>
          <w:tcPr>
            <w:tcW w:type="dxa" w:w="3192"/>
            <w:vAlign w:val="center"/>
          </w:tcPr>
          <w:p>
            <w:pPr>
              <w:spacing w:after="0"/>
            </w:pPr>
            <w:r>
              <w:t>已实现记录框架，教师确认问题可统计；无真实测评时不输出掌握率</w:t>
            </w:r>
            <w:r>
              <w:rPr>
                <w:rFonts w:ascii="PingFang SC" w:hAnsi="PingFang SC" w:eastAsia="PingFang SC"/>
                <w:b w:val="0"/>
                <w:sz w:val="18"/>
              </w:rPr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课件及成果材料</w:t>
            </w:r>
          </w:p>
        </w:tc>
        <w:tc>
          <w:tcPr>
            <w:tcW w:type="dxa" w:w="3192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第六节材料清单</w:t>
            </w:r>
          </w:p>
        </w:tc>
        <w:tc>
          <w:tcPr>
            <w:tcW w:type="dxa" w:w="3192"/>
            <w:vAlign w:val="center"/>
          </w:tcPr>
          <w:p>
            <w:pPr>
              <w:spacing w:after="0"/>
            </w:pPr>
            <w:r>
              <w:t>6件交互式原理课件已建成；真实课堂案例、教学视频和成效数据待补</w:t>
            </w:r>
            <w:r>
              <w:rPr>
                <w:rFonts w:ascii="PingFang SC" w:hAnsi="PingFang SC" w:eastAsia="PingFang SC"/>
                <w:b w:val="0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t>二、平台建设内容与组成</w:t>
      </w:r>
    </w:p>
    <w:p>
      <w:r>
        <w:t>平台由按原报告顺序组织的八个实验指导、教师工作台、知识图谱约束诊疗、三级任务与评价、课堂统计及六件交互式原理课件组成。八项实验均可在学生端编译并运行8051汇编，观察机器状态；另将模型辅助诊疗限定为“中断不触发、串口乱码、定时不准”三类典型故障。八项实验指导不等于八项故障均已自动诊疗，六件原理课件也不等于六次真实实验。</w:t>
      </w:r>
    </w:p>
    <w:p>
      <w:pPr>
        <w:pStyle w:val="ListBullet"/>
        <w:spacing w:after="60"/>
      </w:pPr>
      <w:r>
        <w:t>知识图谱：导入279个节点和202条依赖边。图谱按真实依赖边绘制，节点可查看名称、类型、截取范围及关联关系，避免按页面顺序自动连线造成虚假关系。</w:t>
      </w:r>
    </w:p>
    <w:p>
      <w:pPr>
        <w:pStyle w:val="ListBullet"/>
        <w:spacing w:after="60"/>
      </w:pPr>
      <w:r>
        <w:t>诊疗与审核：学生提交观察、代码和问题描述后只获得受理状态；模型初稿由教师修改、保存、发布或退回，未发布内容不向学生开放。</w:t>
      </w:r>
    </w:p>
    <w:p>
      <w:pPr>
        <w:pStyle w:val="ListBullet"/>
        <w:spacing w:after="60"/>
      </w:pPr>
      <w:r>
        <w:t>任务与评价：每类故障提供基础、综合、拓展三级模板，评价按目标、条件、提交物、验证办法和分项量规记录；没有编译或硬件运行依据时不显示“运行正确”。</w:t>
      </w:r>
    </w:p>
    <w:p>
      <w:pPr>
        <w:pStyle w:val="ListBullet"/>
        <w:spacing w:after="60"/>
      </w:pPr>
      <w:r>
        <w:t>数据与审计：记录教师会话、班级、匿名学习编号、实验、任务尝试、评价版本和关键事件；演示、测试、课堂和历史待核实来源分开，历史记录默认不计入课堂统计。</w:t>
      </w:r>
    </w:p>
    <w:p>
      <w:pPr>
        <w:pStyle w:val="ListBullet"/>
        <w:spacing w:after="60"/>
      </w:pPr>
      <w:r>
        <w:t>界面：采用浅色教学工作区，代码区保持深色背景；主要操作有明确状态、保存结果和焦点提示，适配390、768和1440像素宽度。</w:t>
      </w:r>
    </w:p>
    <w:p>
      <w:pPr/>
      <w:r>
        <w:t>资料归属：原始八实验报告可供已登录师生下载；教师可按班级和实验上传图片、说明书、PPT及报告，核对后发布。实验八报告中的“四线双极型电机＋ULN2003”表述与普中手册的两套驱动连接不一致，尚需本班设备清单或接线照片确定物理映射。</w:t>
      </w:r>
    </w:p>
    <w:p>
      <w:pPr/>
      <w:r>
        <w:t>8051虚拟调试：学生代码由AS31汇编为Intel HEX，再由SDCC ucSim/s51运行机器码。实验五校正版可解码0—7八位扫描；实验六可比较两段蜂鸣器控制脚节奏；实验七历史时钟从Keil列表文件恢复，重编译的183字节与留存HEX逐地址一致，扩展示例可观察跨分钟显示与报警；实验八可比较30%/70%控制脚采样及八状态抽象相序。这些是数字信号层结果，不代表数码管光学、蜂鸣器声音、电机机械响应或本班接线已获实物验证。</w:t>
      </w:r>
    </w:p>
    <w:p>
      <w:pPr>
        <w:pStyle w:val="Heading1"/>
      </w:pPr>
      <w:r>
        <w:t>三、平台使用说明</w:t>
      </w:r>
    </w:p>
    <w:p>
      <w:pPr>
        <w:pStyle w:val="Heading2"/>
      </w:pPr>
      <w:r>
        <w:t>（一）教师开课与配置</w:t>
      </w:r>
    </w:p>
    <w:p>
      <w:r>
        <w:t>教师以独立账号登录后创建班级和实验，确认芯片型号、晶振频率、分频方式、工作模式、验证方式和评分量规。教师为参与者发放班级码、匿名学习编号及私密恢复码。班级码只用于加入课堂，编号、单号或公开链接均不能单独授权读取或修改个人记录。</w:t>
      </w:r>
    </w:p>
    <w:p>
      <w:pPr>
        <w:pStyle w:val="Heading2"/>
      </w:pPr>
      <w:r>
        <w:t>学生凭班级码、匿名编号和私密恢复码进入工作区，按实验一至八查看目标、准备、程序运行及验证要求。学生可选用真实汇编与虚拟调试；遇到问题时，只须描述实际现象，代码为可选补充。八实验求助生成教师待复核检查草稿；三类故障专项才调用图谱约束模型。提交后页面只显示单号和受理状态。</w:t>
      </w:r>
    </w:p>
    <w:p>
      <w:r>
        <w:t>学生使用班级码加入实验，进入当前故障任务。首屏显示实验、当前状态和唯一主要操作。学生填写现象、初步假设、关键代码或参数，并提交诊疗单；提交后页面收起录入区，优先显示“等待教师审核”状态。</w:t>
      </w:r>
    </w:p>
    <w:p>
      <w:pPr>
        <w:pStyle w:val="Heading2"/>
      </w:pPr>
      <w:r>
        <w:t>（三）教师审核与下发</w:t>
      </w:r>
    </w:p>
    <w:p>
      <w:r>
        <w:t>教师工作台按班级、实验、状态、单号和工位筛选待办。审核页分区显示原提交、模型初稿和教师修改稿；教师保存时进行版本检查，发布前确认指导内容、任务条件和验证办法。保存、发布、退回和导出都在服务端校验教师身份与班级归属。</w:t>
      </w:r>
    </w:p>
    <w:p>
      <w:pPr>
        <w:pStyle w:val="Heading2"/>
      </w:pPr>
      <w:r>
        <w:t>（四）学生执行与多轮修订</w:t>
      </w:r>
    </w:p>
    <w:p>
      <w:r>
        <w:t>学生只能看到批准版本。完成基础验证后提交观察结果或修改后的代码；基础验证通过才进入综合任务，综合通过才进入拓展任务。学生遇到困难时提交“求助”，进入细化提示或教师帮助，不因连续点击“卡住”自动越级。一次诊疗可保存多轮观察、代码、指导和修订结果。</w:t>
      </w:r>
    </w:p>
    <w:p>
      <w:pPr>
        <w:pStyle w:val="Heading2"/>
      </w:pPr>
      <w:r>
        <w:t>（五）统计与导出</w:t>
      </w:r>
    </w:p>
    <w:p>
      <w:r>
        <w:t>教师可查看提交、待审、求助、修订通过及教师确认错误等指标。完成率按“教师确认完成的有效学习编号数÷有效参与编号数”计算，并按班级、实验、时间和匿名编号去重。没有前后测或验证依据时不显示“掌握率”。案例导出包含实际发布内容、前后代码和验证记录；缺少学生反馈时保留为空，不生成效果描述。</w:t>
      </w:r>
    </w:p>
    <w:p>
      <w:pPr>
        <w:pStyle w:val="Heading1"/>
      </w:pPr>
      <w:r>
        <w:t>四、生成式人工智能使用规范与提示词说明</w:t>
      </w:r>
    </w:p>
    <w:p>
      <w:r>
        <w:t>平台将课程范围判断、图谱检索、程序计算、模型初稿和教师复核分开。当前环境配置为 GLM-4.7-Flash；密钥不写入报告。2026年9月25日无学生信息的最小连通性请求取得回复，但三类典型故障的真实模型输出未通过严格内容校验，后续请求还出现服务端429繁忙。不能认定自动诊疗稳定可用；接口失败时记录转入教师人工待办。真实课堂启用前，还须确认供应商数据处理条件、芯片、晶振、分频和实验目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  <w:vAlign w:val="center"/>
            <w:shd w:fill="176B57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环节</w:t>
            </w:r>
          </w:p>
        </w:tc>
        <w:tc>
          <w:tcPr>
            <w:tcW w:type="dxa" w:w="3192"/>
            <w:vAlign w:val="center"/>
            <w:shd w:fill="176B57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提示词核心要求</w:t>
            </w:r>
          </w:p>
        </w:tc>
        <w:tc>
          <w:tcPr>
            <w:tcW w:type="dxa" w:w="3192"/>
            <w:vAlign w:val="center"/>
            <w:shd w:fill="176B57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教师控制点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范围判断</w:t>
            </w:r>
          </w:p>
        </w:tc>
        <w:tc>
          <w:tcPr>
            <w:tcW w:type="dxa" w:w="3192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先判断问题是否属于课程与当前实验范围；课程外问题只说明不支持范围及可转向的课程资源</w:t>
            </w:r>
          </w:p>
        </w:tc>
        <w:tc>
          <w:tcPr>
            <w:tcW w:type="dxa" w:w="3192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确认知识点、实验和芯片范围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知识检索</w:t>
            </w:r>
          </w:p>
        </w:tc>
        <w:tc>
          <w:tcPr>
            <w:tcW w:type="dxa" w:w="3192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只召回相关节点、依赖关系和易错点；结果去重并限制数量，引用节点名称与截取范围</w:t>
            </w:r>
          </w:p>
        </w:tc>
        <w:tc>
          <w:tcPr>
            <w:tcW w:type="dxa" w:w="3192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确认图谱版本和节点准确性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诊疗初稿</w:t>
            </w:r>
          </w:p>
        </w:tc>
        <w:tc>
          <w:tcPr>
            <w:tcW w:type="dxa" w:w="3192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按现象—假设—依据—验证—下一步组织，不直接给出绕过验证的答案</w:t>
            </w:r>
          </w:p>
        </w:tc>
        <w:tc>
          <w:tcPr>
            <w:tcW w:type="dxa" w:w="3192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修改诊断边界、验证步骤和措辞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代码初评</w:t>
            </w:r>
          </w:p>
        </w:tc>
        <w:tc>
          <w:tcPr>
            <w:tcW w:type="dxa" w:w="3192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标出代码位置、问题类型、知识点、分项初评和理由；没有运行证据不得宣称运行正确</w:t>
            </w:r>
          </w:p>
        </w:tc>
        <w:tc>
          <w:tcPr>
            <w:tcW w:type="dxa" w:w="3192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依据评分量规确认或改写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脱敏检查</w:t>
            </w:r>
          </w:p>
        </w:tc>
        <w:tc>
          <w:tcPr>
            <w:tcW w:type="dxa" w:w="3192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识别中文自述、英文署名、字母数字学号及疑似身份信息；保留晶振频率等技术数字</w:t>
            </w:r>
          </w:p>
        </w:tc>
        <w:tc>
          <w:tcPr>
            <w:tcW w:type="dxa" w:w="3192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确认删除身份信息后再发布</w:t>
            </w:r>
          </w:p>
        </w:tc>
      </w:tr>
    </w:tbl>
    <w:p>
      <w:pPr>
        <w:spacing w:after="0"/>
      </w:pPr>
    </w:p>
    <w:p>
      <w:r>
        <w:t>数值计算由程序执行，模型负责解释。以11.0592 MHz、每次计数12个时钟周期、50 ms为例，计数次数为0.05×11059200÷12＝46080，定时初值为65536−46080＝19456，即0x4C00。实际芯片、晶振、分频和实验目标不确定时，平台不得把模型猜测写成定论。</w:t>
      </w:r>
    </w:p>
    <w:p>
      <w:pPr>
        <w:pStyle w:val="Heading1"/>
      </w:pPr>
      <w:r>
        <w:t>五、最终验证结果</w:t>
      </w:r>
    </w:p>
    <w:p>
      <w:r>
        <w:t>本节仅记录平台工程、模拟流程、数字信号及公开入口的核验，不代替真实课堂或硬件实测。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  <w:vAlign w:val="center"/>
            <w:shd w:fill="176B57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验证项目</w:t>
            </w:r>
          </w:p>
        </w:tc>
        <w:tc>
          <w:tcPr>
            <w:tcW w:type="dxa" w:w="3192"/>
            <w:vAlign w:val="center"/>
            <w:shd w:fill="176B57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3192"/>
            <w:vAlign w:val="center"/>
            <w:shd w:fill="176B57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证据与边界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单元与流程测试</w:t>
            </w:r>
          </w:p>
        </w:tc>
        <w:tc>
          <w:tcPr>
            <w:tcW w:type="dxa" w:w="3192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通过</w:t>
            </w:r>
          </w:p>
        </w:tc>
        <w:tc>
          <w:tcPr>
            <w:tcW w:type="dxa" w:w="3192"/>
            <w:vAlign w:val="center"/>
          </w:tcPr>
          <w:p>
            <w:r>
              <w:t>59项单元测试、34组隔离数据库接口流程通过；含12项真实AS31/s51工具链检查。测试模型为本地假服务，不计为真实GLM验收。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数据迁移与恢复</w:t>
            </w:r>
          </w:p>
        </w:tc>
        <w:tc>
          <w:tcPr>
            <w:tcW w:type="dxa" w:w="3192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通过</w:t>
            </w:r>
          </w:p>
        </w:tc>
        <w:tc>
          <w:tcPr>
            <w:tcW w:type="dxa" w:w="3192"/>
            <w:vAlign w:val="center"/>
          </w:tcPr>
          <w:p>
            <w:pPr>
              <w:spacing w:after="0"/>
            </w:pPr>
            <w:r>
              <w:t>SQLite在线备份并恢复到独立副本：教师1、班级3、诊疗10、复核5、资料28，完整性与外键检查均通过；备份仍在本机，离机保管待落实。</w:t>
            </w:r>
            <w:r>
              <w:rPr>
                <w:rFonts w:ascii="PingFang SC" w:hAnsi="PingFang SC" w:eastAsia="PingFang SC"/>
                <w:b w:val="0"/>
                <w:sz w:val="18"/>
              </w:rPr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并发读取基线</w:t>
            </w:r>
          </w:p>
        </w:tc>
        <w:tc>
          <w:tcPr>
            <w:tcW w:type="dxa" w:w="3192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通过（本地）</w:t>
            </w:r>
          </w:p>
        </w:tc>
        <w:tc>
          <w:tcPr>
            <w:tcW w:type="dxa" w:w="3192"/>
            <w:vAlign w:val="center"/>
          </w:tcPr>
          <w:p>
            <w:r>
              <w:t>40个独立已认证会话读取接口，0失败；P50 200ms、P95 310ms、最大313ms。只覆盖本机读取路径，模型使用假服务。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生产构建与页面</w:t>
            </w:r>
          </w:p>
        </w:tc>
        <w:tc>
          <w:tcPr>
            <w:tcW w:type="dxa" w:w="3192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通过</w:t>
            </w:r>
          </w:p>
        </w:tc>
        <w:tc>
          <w:tcPr>
            <w:tcW w:type="dxa" w:w="3192"/>
            <w:vAlign w:val="center"/>
          </w:tcPr>
          <w:p>
            <w:pPr>
              <w:spacing w:after="0"/>
            </w:pPr>
            <w:r>
              <w:t>生产构建、类型、零警告ESLint和图谱6项检查通过；公网学生页实验五运行50万条后解码0—7。390px调试页未出现整体横向溢出。</w:t>
            </w:r>
            <w:r>
              <w:rPr>
                <w:rFonts w:ascii="PingFang SC" w:hAnsi="PingFang SC" w:eastAsia="PingFang SC"/>
                <w:b w:val="0"/>
                <w:sz w:val="18"/>
              </w:rPr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真实模型调用</w:t>
            </w:r>
          </w:p>
        </w:tc>
        <w:tc>
          <w:tcPr>
            <w:tcW w:type="dxa" w:w="3192"/>
            <w:vAlign w:val="center"/>
          </w:tcPr>
          <w:p>
            <w:r>
              <w:t>外部模型输出未通过</w:t>
            </w:r>
          </w:p>
        </w:tc>
        <w:tc>
          <w:tcPr>
            <w:tcW w:type="dxa" w:w="3192"/>
            <w:vAlign w:val="center"/>
          </w:tcPr>
          <w:p>
            <w:r>
              <w:t>GLM-4.7-Flash最小连通性请求有回复；三类合成故障复测中，一次输出含无依据的数值结论，后两次返回429繁忙。平台拦截不合格输出并转教师人工待办。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真实课堂成效</w:t>
            </w:r>
          </w:p>
        </w:tc>
        <w:tc>
          <w:tcPr>
            <w:tcW w:type="dxa" w:w="3192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待补证</w:t>
            </w:r>
          </w:p>
        </w:tc>
        <w:tc>
          <w:tcPr>
            <w:tcW w:type="dxa" w:w="3192"/>
            <w:vAlign w:val="center"/>
          </w:tcPr>
          <w:p>
            <w:pPr>
              <w:spacing w:after="0"/>
            </w:pPr>
            <w:r>
              <w:t>尚无真实课堂参与、对照班完成率、反馈周期或学生反馈数据；演示与历史记录均不写成课堂成效。</w:t>
            </w:r>
            <w:r>
              <w:rPr>
                <w:rFonts w:ascii="PingFang SC" w:hAnsi="PingFang SC" w:eastAsia="PingFang SC"/>
                <w:b w:val="0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t>六、申报书要求与当前完成度核对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94"/>
        <w:gridCol w:w="2394"/>
        <w:gridCol w:w="2394"/>
        <w:gridCol w:w="2394"/>
      </w:tblGrid>
      <w:tr>
        <w:tc>
          <w:tcPr>
            <w:tcW w:type="dxa" w:w="2394"/>
            <w:vAlign w:val="center"/>
            <w:shd w:fill="176B57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要求</w:t>
            </w:r>
          </w:p>
        </w:tc>
        <w:tc>
          <w:tcPr>
            <w:tcW w:type="dxa" w:w="2394"/>
            <w:vAlign w:val="center"/>
            <w:shd w:fill="176B57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当前证据</w:t>
            </w:r>
          </w:p>
        </w:tc>
        <w:tc>
          <w:tcPr>
            <w:tcW w:type="dxa" w:w="2394"/>
            <w:vAlign w:val="center"/>
            <w:shd w:fill="176B57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完成度判断</w:t>
            </w:r>
          </w:p>
        </w:tc>
        <w:tc>
          <w:tcPr>
            <w:tcW w:type="dxa" w:w="2394"/>
            <w:vAlign w:val="center"/>
            <w:shd w:fill="176B57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补证动作</w:t>
            </w:r>
          </w:p>
        </w:tc>
      </w:tr>
      <w:tr>
        <w:tc>
          <w:tcPr>
            <w:tcW w:type="dxa" w:w="2394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三类典型故障课堂试用</w:t>
            </w:r>
          </w:p>
        </w:tc>
        <w:tc>
          <w:tcPr>
            <w:tcW w:type="dxa" w:w="2394"/>
            <w:vAlign w:val="center"/>
          </w:tcPr>
          <w:p>
            <w:r>
              <w:t>三类故障模板、图谱检索及教师复核接口通过隔离测试；真实模型输出尚未通过严格校验</w:t>
            </w:r>
          </w:p>
        </w:tc>
        <w:tc>
          <w:tcPr>
            <w:tcW w:type="dxa" w:w="2394"/>
            <w:vAlign w:val="center"/>
          </w:tcPr>
          <w:p>
            <w:r>
              <w:t>教师人工复核试用可进行；自动诊疗可用性待验证</w:t>
            </w:r>
          </w:p>
        </w:tc>
        <w:tc>
          <w:tcPr>
            <w:tcW w:type="dxa" w:w="2394"/>
            <w:vAlign w:val="center"/>
          </w:tcPr>
          <w:p>
            <w:pPr>
              <w:spacing w:after="0"/>
            </w:pPr>
            <w:r>
              <w:t>以无学生信息的三类样例重试模型；教师确认芯片、晶振、量规及验证办法</w:t>
            </w:r>
            <w:r>
              <w:rPr>
                <w:rFonts w:ascii="PingFang SC" w:hAnsi="PingFang SC" w:eastAsia="PingFang SC"/>
                <w:b w:val="0"/>
                <w:sz w:val="18"/>
              </w:rPr>
            </w:r>
          </w:p>
        </w:tc>
      </w:tr>
      <w:tr>
        <w:tc>
          <w:tcPr>
            <w:tcW w:type="dxa" w:w="2394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不少于3个完整七要素案例</w:t>
            </w:r>
          </w:p>
        </w:tc>
        <w:tc>
          <w:tcPr>
            <w:tcW w:type="dxa" w:w="2394"/>
            <w:vAlign w:val="center"/>
          </w:tcPr>
          <w:p>
            <w:pPr>
              <w:spacing w:after="0"/>
            </w:pPr>
            <w:r>
              <w:t>平台具备七要素字段及案例导出；未形成真实课堂成件</w:t>
            </w:r>
            <w:r>
              <w:rPr>
                <w:rFonts w:ascii="PingFang SC" w:hAnsi="PingFang SC" w:eastAsia="PingFang SC"/>
                <w:b w:val="0"/>
                <w:sz w:val="18"/>
              </w:rPr>
            </w:r>
          </w:p>
        </w:tc>
        <w:tc>
          <w:tcPr>
            <w:tcW w:type="dxa" w:w="2394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部分实现</w:t>
            </w:r>
          </w:p>
        </w:tc>
        <w:tc>
          <w:tcPr>
            <w:tcW w:type="dxa" w:w="2394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每类故障形成1个经教师确认的完整案例</w:t>
            </w:r>
          </w:p>
        </w:tc>
      </w:tr>
      <w:tr>
        <w:tc>
          <w:tcPr>
            <w:tcW w:type="dxa" w:w="2394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不少于6件可视化课件</w:t>
            </w:r>
          </w:p>
        </w:tc>
        <w:tc>
          <w:tcPr>
            <w:tcW w:type="dxa" w:w="2394"/>
            <w:vAlign w:val="center"/>
          </w:tcPr>
          <w:p>
            <w:pPr>
              <w:spacing w:after="0"/>
            </w:pPr>
            <w:r>
              <w:t>6件独立交互页面已建成并可打开</w:t>
            </w:r>
            <w:r>
              <w:rPr>
                <w:rFonts w:ascii="PingFang SC" w:hAnsi="PingFang SC" w:eastAsia="PingFang SC"/>
                <w:b w:val="0"/>
                <w:sz w:val="18"/>
              </w:rPr>
            </w:r>
          </w:p>
        </w:tc>
        <w:tc>
          <w:tcPr>
            <w:tcW w:type="dxa" w:w="2394"/>
            <w:vAlign w:val="center"/>
          </w:tcPr>
          <w:p>
            <w:pPr>
              <w:spacing w:after="0"/>
            </w:pPr>
            <w:r>
              <w:t>建设目标中的数量已达到；教师内容审定待补</w:t>
            </w:r>
            <w:r>
              <w:rPr>
                <w:rFonts w:ascii="PingFang SC" w:hAnsi="PingFang SC" w:eastAsia="PingFang SC"/>
                <w:b w:val="0"/>
                <w:sz w:val="18"/>
              </w:rPr>
            </w:r>
          </w:p>
        </w:tc>
        <w:tc>
          <w:tcPr>
            <w:tcW w:type="dxa" w:w="2394"/>
            <w:vAlign w:val="center"/>
          </w:tcPr>
          <w:p>
            <w:pPr>
              <w:spacing w:after="0"/>
            </w:pPr>
            <w:r>
              <w:t>逐件核对原理、实验设备、参数边界及发布版本</w:t>
            </w:r>
            <w:r>
              <w:rPr>
                <w:rFonts w:ascii="PingFang SC" w:hAnsi="PingFang SC" w:eastAsia="PingFang SC"/>
                <w:b w:val="0"/>
                <w:sz w:val="18"/>
              </w:rPr>
            </w:r>
          </w:p>
        </w:tc>
      </w:tr>
      <w:tr>
        <w:tc>
          <w:tcPr>
            <w:tcW w:type="dxa" w:w="2394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20—30分钟教学视频</w:t>
            </w:r>
          </w:p>
        </w:tc>
        <w:tc>
          <w:tcPr>
            <w:tcW w:type="dxa" w:w="2394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当前平台未提供成片证据</w:t>
            </w:r>
          </w:p>
        </w:tc>
        <w:tc>
          <w:tcPr>
            <w:tcW w:type="dxa" w:w="2394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未完成</w:t>
            </w:r>
          </w:p>
        </w:tc>
        <w:tc>
          <w:tcPr>
            <w:tcW w:type="dxa" w:w="2394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录制并核对时长、字幕、教学目标和平台操作</w:t>
            </w:r>
          </w:p>
        </w:tc>
      </w:tr>
      <w:tr>
        <w:tc>
          <w:tcPr>
            <w:tcW w:type="dxa" w:w="2394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结项总结报告不少于2000字</w:t>
            </w:r>
          </w:p>
        </w:tc>
        <w:tc>
          <w:tcPr>
            <w:tcW w:type="dxa" w:w="2394"/>
            <w:vAlign w:val="center"/>
          </w:tcPr>
          <w:p>
            <w:pPr>
              <w:spacing w:after="0"/>
            </w:pPr>
            <w:r>
              <w:t>本报告已更新平台建设与验证事实；真实教学成效尚无数据</w:t>
            </w:r>
            <w:r>
              <w:rPr>
                <w:rFonts w:ascii="PingFang SC" w:hAnsi="PingFang SC" w:eastAsia="PingFang SC"/>
                <w:b w:val="0"/>
                <w:sz w:val="18"/>
              </w:rPr>
            </w:r>
          </w:p>
        </w:tc>
        <w:tc>
          <w:tcPr>
            <w:tcW w:type="dxa" w:w="2394"/>
            <w:vAlign w:val="center"/>
          </w:tcPr>
          <w:p>
            <w:pPr>
              <w:spacing w:after="0"/>
            </w:pPr>
            <w:r>
              <w:t>建设与验证报告已更新；结项总结待真实课堂补证</w:t>
            </w:r>
            <w:r>
              <w:rPr>
                <w:rFonts w:ascii="PingFang SC" w:hAnsi="PingFang SC" w:eastAsia="PingFang SC"/>
                <w:b w:val="0"/>
                <w:sz w:val="18"/>
              </w:rPr>
            </w:r>
          </w:p>
        </w:tc>
        <w:tc>
          <w:tcPr>
            <w:tcW w:type="dxa" w:w="2394"/>
            <w:vAlign w:val="center"/>
          </w:tcPr>
          <w:p>
            <w:pPr>
              <w:spacing w:after="0"/>
            </w:pPr>
            <w:r>
              <w:t>课堂试用后补入经核对的参与、完成、反馈及教师复核数据</w:t>
            </w:r>
            <w:r>
              <w:rPr>
                <w:rFonts w:ascii="PingFang SC" w:hAnsi="PingFang SC" w:eastAsia="PingFang SC"/>
                <w:b w:val="0"/>
                <w:sz w:val="18"/>
              </w:rPr>
            </w:r>
          </w:p>
        </w:tc>
      </w:tr>
      <w:tr>
        <w:tc>
          <w:tcPr>
            <w:tcW w:type="dxa" w:w="2394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国内合规模型与私有部署</w:t>
            </w:r>
          </w:p>
        </w:tc>
        <w:tc>
          <w:tcPr>
            <w:tcW w:type="dxa" w:w="2394"/>
            <w:vAlign w:val="center"/>
          </w:tcPr>
          <w:p>
            <w:r>
              <w:t>GLM配置外置、人工处理回退已实现；三类真实模型复测未通过；当前公网仍由本机Cloudflare Tunnel提供</w:t>
            </w:r>
          </w:p>
        </w:tc>
        <w:tc>
          <w:tcPr>
            <w:tcW w:type="dxa" w:w="2394"/>
            <w:vAlign w:val="center"/>
          </w:tcPr>
          <w:p>
            <w:r>
              <w:t>模型稳定性、数据处理条件与独立服务器上线待核实</w:t>
            </w:r>
          </w:p>
        </w:tc>
        <w:tc>
          <w:tcPr>
            <w:tcW w:type="dxa" w:w="2394"/>
            <w:vAlign w:val="center"/>
          </w:tcPr>
          <w:p>
            <w:r>
              <w:t>在独立常开服务器恢复数据库并复测；确认学校模型与数据要求，完成三类故障的供应商可用性验证</w:t>
            </w:r>
          </w:p>
        </w:tc>
      </w:tr>
    </w:tbl>
    <w:p>
      <w:pPr>
        <w:spacing w:after="0"/>
      </w:pPr>
    </w:p>
    <w:p>
      <w:pPr>
        <w:pStyle w:val="Heading1"/>
      </w:pPr>
      <w:r>
        <w:t>七、当前风险、边界与下一步</w:t>
      </w:r>
    </w:p>
    <w:p>
      <w:pPr>
        <w:pStyle w:val="ListBullet"/>
        <w:spacing w:after="60"/>
      </w:pPr>
      <w:r>
        <w:t>真实教学效果尚无证据：现有10条诊疗中7条归为历史待核实、3条为演示；不得把这些记录解释为实际参与人数、完成率或掌握率。</w:t>
      </w:r>
    </w:p>
    <w:p>
      <w:pPr>
        <w:pStyle w:val="ListBullet"/>
        <w:spacing w:after="60"/>
      </w:pPr>
      <w:r>
        <w:t>模型服务尚未通过三类故障的外部有效性复验：一次输出含未经教师参数支持的数值结论，后两次返回429繁忙。平台会阻止不合格内容下发并转人工待办；自动诊疗作为正式课堂依赖前，须经真实模型复测和教师复核验证。</w:t>
      </w:r>
    </w:p>
    <w:p>
      <w:pPr>
        <w:pStyle w:val="ListBullet"/>
        <w:spacing w:after="60"/>
      </w:pPr>
      <w:r>
        <w:t>申报书要求的真实课堂数据、至少3件七要素案例、20—30分钟教学视频、对照班指标和学院审查记录尚未形成。六件独立原理课件已建成，仍须任课教师确认与本班实验设备的一致性。</w:t>
      </w:r>
    </w:p>
    <w:p>
      <w:r>
        <w:t>上线后先用演示班完成师生流程联调；真实班级开课前确认设备清单、驱动接线、实验参数、量规、学院审查记录及异地网络可用性。每轮使用后再按有效学习编号、教师确认完成和实际验证记录更新统计。</w:t>
      </w:r>
    </w:p>
    <w:p>
      <w:pPr>
        <w:pStyle w:val="Heading1"/>
      </w:pPr>
      <w:r>
        <w:t>八、结论</w:t>
      </w:r>
    </w:p>
    <w:p>
      <w:r>
        <w:t>截至2026年9月25日，平台的八实验指导、六件原理课件、三类故障教师复核流程、权限与版本控制、匿名学习卡、统计口径和真实8051汇编/数字信号仿真均通过相应工程检查；公开入口可访问并已完成实验五远程运行冒烟。平台可以开展受控演示与人工复核试用。由于真实GLM请求未通过本轮可用性检查、本班板卡及驱动尚未确认，且没有真实课堂成效数据，不能表述为申报项目已经结项或八项实物实验已完成等效仿真。</w:t>
      </w:r>
    </w:p>
    <w:p>
      <w:pPr>
        <w:pStyle w:val="Heading1"/>
      </w:pPr>
      <w:r>
        <w:t>附录：配套材料清单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88"/>
        <w:gridCol w:w="4788"/>
      </w:tblGrid>
      <w:tr>
        <w:tc>
          <w:tcPr>
            <w:tcW w:type="dxa" w:w="4788"/>
            <w:vAlign w:val="center"/>
            <w:shd w:fill="176B57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材料</w:t>
            </w:r>
          </w:p>
        </w:tc>
        <w:tc>
          <w:tcPr>
            <w:tcW w:type="dxa" w:w="4788"/>
            <w:vAlign w:val="center"/>
            <w:shd w:fill="176B57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4788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平台使用说明</w:t>
            </w:r>
          </w:p>
        </w:tc>
        <w:tc>
          <w:tcPr>
            <w:tcW w:type="dxa" w:w="4788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面向教师和学生的登录、开课、诊疗、审核、修订、统计操作说明</w:t>
            </w:r>
          </w:p>
        </w:tc>
      </w:tr>
      <w:tr>
        <w:tc>
          <w:tcPr>
            <w:tcW w:type="dxa" w:w="4788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项目成果对应关系表</w:t>
            </w:r>
          </w:p>
        </w:tc>
        <w:tc>
          <w:tcPr>
            <w:tcW w:type="dxa" w:w="4788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将申报书目标、平台功能、证据材料和后续补证项逐项对应</w:t>
            </w:r>
          </w:p>
        </w:tc>
      </w:tr>
      <w:tr>
        <w:tc>
          <w:tcPr>
            <w:tcW w:type="dxa" w:w="4788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提示词规范</w:t>
            </w:r>
          </w:p>
        </w:tc>
        <w:tc>
          <w:tcPr>
            <w:tcW w:type="dxa" w:w="4788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范围判断、图谱检索、诊疗初稿、代码初评和脱敏规则</w:t>
            </w:r>
          </w:p>
        </w:tc>
      </w:tr>
      <w:tr>
        <w:tc>
          <w:tcPr>
            <w:tcW w:type="dxa" w:w="4788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试用验证记录</w:t>
            </w:r>
          </w:p>
        </w:tc>
        <w:tc>
          <w:tcPr>
            <w:tcW w:type="dxa" w:w="4788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测试结果、性能基线、迁移恢复、模型边界和课堂试用验收项</w:t>
            </w:r>
          </w:p>
        </w:tc>
      </w:tr>
      <w:tr>
        <w:tc>
          <w:tcPr>
            <w:tcW w:type="dxa" w:w="4788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本报告</w:t>
            </w:r>
          </w:p>
        </w:tc>
        <w:tc>
          <w:tcPr>
            <w:tcW w:type="dxa" w:w="4788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对平台、使用方法、申报要求匹配度和最终验证结果的综合说明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PingFang SC" w:hAnsi="PingFang SC"/>
        <w:color w:val="6E6E6E"/>
        <w:sz w:val="16"/>
      </w:rPr>
      <w:t>正式上线前核验　｜　2026年9月25日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PingFang SC" w:hAnsi="PingFang SC"/>
        <w:color w:val="6E6E6E"/>
        <w:sz w:val="16"/>
      </w:rPr>
      <w:t>虚拟工程师平台建设与验证报告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PingFang SC" w:hAnsi="PingFang SC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174C3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255B4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PingFang SC" w:hAnsi="PingFang SC" w:eastAsia="PingFang SC"/>
      <w:b/>
      <w:bCs/>
      <w:color w:val="3C3C3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40"/>
      <w:contextualSpacing/>
      <w:jc w:val="center"/>
    </w:pPr>
    <w:rPr>
      <w:rFonts w:asciiTheme="majorHAnsi" w:eastAsiaTheme="majorEastAsia" w:hAnsiTheme="majorHAnsi" w:cstheme="majorBidi" w:ascii="PingFang SC" w:hAnsi="PingFang SC" w:eastAsia="PingFang SC"/>
      <w:b/>
      <w:color w:val="174C3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324" w:lineRule="auto"/>
    </w:pPr>
    <w:rPr>
      <w:rFonts w:ascii="PingFang SC" w:hAnsi="PingFang SC" w:eastAsia="PingFang S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