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svg" ContentType="image/svg+xml"/>
  <Override PartName="/word/media/rId4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Tutorial</w:t>
      </w:r>
      <w:r>
        <w:t xml:space="preserve"> </w:t>
      </w:r>
      <w:r>
        <w:t xml:space="preserve">2</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February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2nd Analysis 1B Tutorial on the 13th February.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5" w:name="lecture-recap"/>
    <w:p>
      <w:pPr>
        <w:pStyle w:val="Heading1"/>
      </w:pPr>
      <w:r>
        <w:t xml:space="preserve">Lecture Recap</w:t>
      </w:r>
    </w:p>
    <w:p>
      <w:pPr>
        <w:pStyle w:val="FirstParagraph"/>
      </w:pPr>
      <w:r>
        <w:t xml:space="preserve">The course has finally begun proper! For the next few weeks, we’re going to see the first section: limits and continuity of functions. Despite another complicated definition to work with, it will turn out that many of the concepts can be made eerily similar to stuff you saw from Semester 1.</w:t>
      </w:r>
    </w:p>
    <w:bookmarkStart w:id="35" w:name="definition-of-a-limit"/>
    <w:p>
      <w:pPr>
        <w:pStyle w:val="Heading2"/>
      </w:pPr>
      <w:r>
        <w:t xml:space="preserve">Definition of a Limit</w:t>
      </w:r>
    </w:p>
    <w:bookmarkStart w:id="27" w:name="functions"/>
    <w:p>
      <w:pPr>
        <w:pStyle w:val="Heading3"/>
      </w:pPr>
      <w:r>
        <w:t xml:space="preserve">Functions</w:t>
      </w:r>
    </w:p>
    <w:p>
      <w:pPr>
        <w:pStyle w:val="FirstParagraph"/>
      </w:pPr>
      <w:r>
        <w:t xml:space="preserve">To begin, we pick up where Analysis 1A left off, and start talking about functions.</w:t>
      </w:r>
      <w:r>
        <w:t xml:space="preserve"> </w:t>
      </w:r>
    </w:p>
    <w:bookmarkStart w:id="24" w:name="def:def1"/>
    <w:p>
      <w:pPr>
        <w:pStyle w:val="DefinitionStyle"/>
      </w:pPr>
      <w:bookmarkStart w:id="23" w:name="def:def1"/>
      <w:bookmarkEnd w:id="23"/>
      <w:r>
        <w:rPr>
          <w:rStyle w:val="NameStyle"/>
        </w:rPr>
        <w:t xml:space="preserve">Definition 1.1 (Function)</w:t>
      </w:r>
      <w:r>
        <w:rPr>
          <w:rStyle w:val="NameStyle"/>
        </w:rPr>
        <w:t xml:space="preserve"> </w:t>
      </w:r>
    </w:p>
    <w:p>
      <w:pPr>
        <w:pStyle w:val="DefinitionStyle"/>
      </w:pPr>
      <w:r>
        <w:t xml:space="preserve">Let</w:t>
      </w:r>
      <w:r>
        <w:t xml:space="preserve"> </w:t>
      </w:r>
      <m:oMath>
        <m:r>
          <m:t>A</m:t>
        </m:r>
      </m:oMath>
      <w:r>
        <w:t xml:space="preserve"> </w:t>
      </w:r>
      <w:r>
        <w:t xml:space="preserve">and</w:t>
      </w:r>
      <w:r>
        <w:t xml:space="preserve"> </w:t>
      </w:r>
      <m:oMath>
        <m:r>
          <m:t>B</m:t>
        </m:r>
      </m:oMath>
      <w:r>
        <w:t xml:space="preserve"> </w:t>
      </w:r>
      <w:r>
        <w:t xml:space="preserve">be sets. A function from</w:t>
      </w:r>
      <w:r>
        <w:t xml:space="preserve"> </w:t>
      </w:r>
      <m:oMath>
        <m:r>
          <m:t>A</m:t>
        </m:r>
      </m:oMath>
      <w:r>
        <w:t xml:space="preserve"> </w:t>
      </w:r>
      <w:r>
        <w:t xml:space="preserve">to</w:t>
      </w:r>
      <w:r>
        <w:t xml:space="preserve"> </w:t>
      </w:r>
      <m:oMath>
        <m:r>
          <m:t>B</m:t>
        </m:r>
      </m:oMath>
      <w:r>
        <w:t xml:space="preserve"> </w:t>
      </w:r>
      <w:r>
        <w:t xml:space="preserve">is a rule that assigns to each element of</w:t>
      </w:r>
      <w:r>
        <w:t xml:space="preserve"> </w:t>
      </w:r>
      <m:oMath>
        <m:r>
          <m:t>A</m:t>
        </m:r>
      </m:oMath>
      <w:r>
        <w:t xml:space="preserve"> </w:t>
      </w:r>
      <w:r>
        <w:t xml:space="preserve">a unique element of</w:t>
      </w:r>
      <w:r>
        <w:t xml:space="preserve"> </w:t>
      </w:r>
      <m:oMath>
        <m:r>
          <m:t>B</m:t>
        </m:r>
      </m:oMath>
      <w:r>
        <w:t xml:space="preserve">. The set</w:t>
      </w:r>
      <w:r>
        <w:t xml:space="preserve"> </w:t>
      </w:r>
      <m:oMath>
        <m:r>
          <m:t>A</m:t>
        </m:r>
      </m:oMath>
      <w:r>
        <w:t xml:space="preserve"> </w:t>
      </w:r>
      <w:r>
        <w:t xml:space="preserve">is called the domain of the function, and</w:t>
      </w:r>
      <w:r>
        <w:t xml:space="preserve"> </w:t>
      </w:r>
      <m:oMath>
        <m:r>
          <m:t>B</m:t>
        </m:r>
      </m:oMath>
      <w:r>
        <w:t xml:space="preserve"> </w:t>
      </w:r>
      <w:r>
        <w:t xml:space="preserve">is called the codomain of the function.</w:t>
      </w:r>
    </w:p>
    <w:bookmarkEnd w:id="24"/>
    <w:p>
      <w:pPr>
        <w:pStyle w:val="BodyText"/>
      </w:pPr>
      <w:r>
        <w:t xml:space="preserve">So, to specify a function, we need a domain, codomain and a rule that tells us how to get between the two. We can write a function</w:t>
      </w:r>
      <w:r>
        <w:t xml:space="preserve"> </w:t>
      </w:r>
      <m:oMath>
        <m:r>
          <m:t>f</m:t>
        </m:r>
      </m:oMath>
      <w:r>
        <w:t xml:space="preserve"> </w:t>
      </w:r>
      <w:r>
        <w:t xml:space="preserve">symbolically as follows:</w:t>
      </w:r>
    </w:p>
    <w:p>
      <w:pPr>
        <w:pStyle w:val="BodyText"/>
      </w:pPr>
      <m:oMathPara>
        <m:oMathParaPr>
          <m:jc m:val="center"/>
        </m:oMathParaPr>
        <m:oMath>
          <m:m>
            <m:mPr>
              <m:baseJc m:val="center"/>
              <m:plcHide m:val="1"/>
              <m:mcs>
                <m:mc>
                  <m:mcPr>
                    <m:mcJc m:val="right"/>
                    <m:count m:val="1"/>
                  </m:mcPr>
                </m:mc>
                <m:mc>
                  <m:mcPr>
                    <m:mcJc m:val="left"/>
                    <m:count m:val="1"/>
                  </m:mcPr>
                </m:mc>
              </m:mcs>
            </m:mPr>
            <m:mr>
              <m:e>
                <m:r>
                  <m:t>f</m:t>
                </m:r>
                <m:r>
                  <m:rPr>
                    <m:sty m:val="p"/>
                  </m:rPr>
                  <m:t>:</m:t>
                </m:r>
                <m:r>
                  <m:t> </m:t>
                </m:r>
              </m:e>
              <m:e>
                <m:r>
                  <m:t>A</m:t>
                </m:r>
                <m:r>
                  <m:rPr>
                    <m:sty m:val="p"/>
                  </m:rPr>
                  <m:t>→</m:t>
                </m:r>
                <m:r>
                  <m:t>B</m:t>
                </m:r>
                <m:r>
                  <m:rPr>
                    <m:sty m:val="p"/>
                  </m:rPr>
                  <m:t>,</m:t>
                </m:r>
              </m:e>
            </m:mr>
            <m:mr>
              <m:e/>
              <m:e>
                <m:r>
                  <m:t>x</m:t>
                </m:r>
                <m:r>
                  <m:rPr>
                    <m:sty m:val="p"/>
                  </m:rPr>
                  <m:t>↦</m:t>
                </m:r>
                <m:r>
                  <m:t>f</m:t>
                </m:r>
                <m:d>
                  <m:dPr>
                    <m:begChr m:val="("/>
                    <m:endChr m:val=")"/>
                    <m:sepChr m:val=""/>
                    <m:grow/>
                  </m:dPr>
                  <m:e>
                    <m:r>
                      <m:t>x</m:t>
                    </m:r>
                  </m:e>
                </m:d>
                <m:r>
                  <m:rPr>
                    <m:sty m:val="p"/>
                  </m:rPr>
                  <m:t>.</m:t>
                </m:r>
              </m:e>
            </m:mr>
          </m:m>
        </m:oMath>
      </m:oMathPara>
    </w:p>
    <w:p>
      <w:pPr>
        <w:pStyle w:val="FirstParagraph"/>
      </w:pPr>
      <w:r>
        <w:t xml:space="preserve">A specific type of domain we are going to need in the near future is that of a</w:t>
      </w:r>
      <w:r>
        <w:t xml:space="preserve"> </w:t>
      </w:r>
      <w:r>
        <w:rPr>
          <w:iCs/>
          <w:i/>
        </w:rPr>
        <w:t xml:space="preserve">punctured neighbourhood</w:t>
      </w:r>
      <w:r>
        <w:t xml:space="preserve">.</w:t>
      </w:r>
      <w:r>
        <w:t xml:space="preserve"> </w:t>
      </w:r>
    </w:p>
    <w:bookmarkStart w:id="26" w:name="def:def2"/>
    <w:p>
      <w:pPr>
        <w:pStyle w:val="DefinitionStyle"/>
      </w:pPr>
      <w:bookmarkStart w:id="25" w:name="def:def2"/>
      <w:bookmarkEnd w:id="25"/>
      <w:r>
        <w:rPr>
          <w:rStyle w:val="NameStyle"/>
        </w:rPr>
        <w:t xml:space="preserve">Definition 1.2 (Punctured Neighbourhood)</w:t>
      </w:r>
      <w:r>
        <w:rPr>
          <w:rStyle w:val="NameStyle"/>
        </w:rPr>
        <w:t xml:space="preserve"> </w:t>
      </w:r>
    </w:p>
    <w:p>
      <w:pPr>
        <w:pStyle w:val="DefinitionStyle"/>
      </w:pPr>
      <w:r>
        <w:t xml:space="preserve">Let</w:t>
      </w:r>
      <w:r>
        <w:t xml:space="preserve"> </w:t>
      </w:r>
      <m:oMath>
        <m:r>
          <m:t>c</m:t>
        </m:r>
        <m:r>
          <m:rPr>
            <m:sty m:val="p"/>
          </m:rPr>
          <m:t>∈</m:t>
        </m:r>
        <m:r>
          <m:rPr>
            <m:sty m:val="p"/>
            <m:scr m:val="double-struck"/>
          </m:rPr>
          <m:t>R</m:t>
        </m:r>
      </m:oMath>
      <w:r>
        <w:t xml:space="preserve">, and</w:t>
      </w:r>
      <w:r>
        <w:t xml:space="preserve"> </w:t>
      </w:r>
      <m:oMath>
        <m:r>
          <m:t>D</m:t>
        </m:r>
        <m:r>
          <m:rPr>
            <m:sty m:val="p"/>
          </m:rPr>
          <m:t>⊆</m:t>
        </m:r>
        <m:r>
          <m:rPr>
            <m:sty m:val="p"/>
            <m:scr m:val="double-struck"/>
          </m:rPr>
          <m:t>R</m:t>
        </m:r>
      </m:oMath>
      <w:r>
        <w:t xml:space="preserve">. Then</w:t>
      </w:r>
      <w:r>
        <w:t xml:space="preserve"> </w:t>
      </w:r>
      <m:oMath>
        <m:r>
          <m:t>D</m:t>
        </m:r>
      </m:oMath>
      <w:r>
        <w:t xml:space="preserve"> </w:t>
      </w:r>
      <w:r>
        <w:t xml:space="preserve">is a punctured neighbourhood of</w:t>
      </w:r>
      <w:r>
        <w:t xml:space="preserve"> </w:t>
      </w:r>
      <m:oMath>
        <m:r>
          <m:t>c</m:t>
        </m:r>
      </m:oMath>
      <w:r>
        <w:t xml:space="preserve"> </w:t>
      </w:r>
      <w:r>
        <w:t xml:space="preserve">if there exists a</w:t>
      </w:r>
      <w:r>
        <w:t xml:space="preserve"> </w:t>
      </w:r>
      <m:oMath>
        <m:sSub>
          <m:e>
            <m:r>
              <m:t>δ</m:t>
            </m:r>
          </m:e>
          <m:sub>
            <m:r>
              <m:t>0</m:t>
            </m:r>
          </m:sub>
        </m:sSub>
      </m:oMath>
      <w:r>
        <w:t xml:space="preserve"> </w:t>
      </w:r>
      <w:r>
        <w:t xml:space="preserve">such that the set</w:t>
      </w:r>
      <w:r>
        <w:t xml:space="preserve"> </w:t>
      </w:r>
      <m:oMath>
        <m:d>
          <m:dPr>
            <m:begChr m:val="("/>
            <m:endChr m:val=")"/>
            <m:sepChr m:val=""/>
            <m:grow/>
          </m:dPr>
          <m:e>
            <m:r>
              <m:t>c</m:t>
            </m:r>
            <m:r>
              <m:rPr>
                <m:sty m:val="p"/>
              </m:rPr>
              <m:t>−</m:t>
            </m:r>
            <m:sSub>
              <m:e>
                <m:r>
                  <m:t>δ</m:t>
                </m:r>
              </m:e>
              <m:sub>
                <m:r>
                  <m:t>0</m:t>
                </m:r>
              </m:sub>
            </m:sSub>
            <m:r>
              <m:rPr>
                <m:sty m:val="p"/>
              </m:rPr>
              <m:t>,</m:t>
            </m:r>
            <m:r>
              <m:t>c</m:t>
            </m:r>
          </m:e>
        </m:d>
        <m:r>
          <m:rPr>
            <m:sty m:val="p"/>
          </m:rPr>
          <m:t>∪</m:t>
        </m:r>
        <m:d>
          <m:dPr>
            <m:begChr m:val="("/>
            <m:endChr m:val=")"/>
            <m:sepChr m:val=""/>
            <m:grow/>
          </m:dPr>
          <m:e>
            <m:r>
              <m:t>c</m:t>
            </m:r>
            <m:r>
              <m:rPr>
                <m:sty m:val="p"/>
              </m:rPr>
              <m:t>,</m:t>
            </m:r>
            <m:r>
              <m:t>c</m:t>
            </m:r>
            <m:r>
              <m:rPr>
                <m:sty m:val="p"/>
              </m:rPr>
              <m:t>+</m:t>
            </m:r>
            <m:sSub>
              <m:e>
                <m:r>
                  <m:t>δ</m:t>
                </m:r>
              </m:e>
              <m:sub>
                <m:r>
                  <m:t>0</m:t>
                </m:r>
              </m:sub>
            </m:sSub>
          </m:e>
        </m:d>
        <m:r>
          <m:rPr>
            <m:sty m:val="p"/>
          </m:rPr>
          <m:t>⊆</m:t>
        </m:r>
        <m:r>
          <m:t>D</m:t>
        </m:r>
        <m:r>
          <m:rPr>
            <m:sty m:val="p"/>
          </m:rPr>
          <m:t>.</m:t>
        </m:r>
      </m:oMath>
    </w:p>
    <w:bookmarkEnd w:id="26"/>
    <w:p>
      <w:pPr>
        <w:pStyle w:val="BodyText"/>
      </w:pPr>
      <w:r>
        <w:t xml:space="preserve">For example, if we take</w:t>
      </w:r>
      <w:r>
        <w:t xml:space="preserve"> </w:t>
      </w:r>
      <m:oMath>
        <m:r>
          <m:t>c</m:t>
        </m:r>
        <m:r>
          <m:rPr>
            <m:sty m:val="p"/>
          </m:rPr>
          <m:t>=</m:t>
        </m:r>
        <m:r>
          <m:t>0</m:t>
        </m:r>
      </m:oMath>
      <w:r>
        <w:t xml:space="preserve">, potential punctured neighbourhoods include:</w:t>
      </w:r>
    </w:p>
    <w:p>
      <w:pPr>
        <w:numPr>
          <w:ilvl w:val="0"/>
          <w:numId w:val="1001"/>
        </w:numPr>
        <w:pStyle w:val="Compact"/>
      </w:pPr>
      <m:oMath>
        <m:r>
          <m:t>D</m:t>
        </m:r>
        <m:r>
          <m:rPr>
            <m:sty m:val="p"/>
          </m:rPr>
          <m:t>=</m:t>
        </m:r>
        <m:d>
          <m:dPr>
            <m:begChr m:val="("/>
            <m:endChr m:val=")"/>
            <m:sepChr m:val=""/>
            <m:grow/>
          </m:dPr>
          <m:e>
            <m:r>
              <m:rPr>
                <m:sty m:val="p"/>
              </m:rPr>
              <m:t>−</m:t>
            </m:r>
            <m:r>
              <m:t>2</m:t>
            </m:r>
            <m:r>
              <m:rPr>
                <m:sty m:val="p"/>
              </m:rPr>
              <m:t>,</m:t>
            </m:r>
            <m:r>
              <m:t>2</m:t>
            </m:r>
          </m:e>
        </m:d>
      </m:oMath>
      <w:r>
        <w:t xml:space="preserve"> </w:t>
      </w:r>
      <w:r>
        <w:t xml:space="preserve">(This works with any</w:t>
      </w:r>
      <w:r>
        <w:t xml:space="preserve"> </w:t>
      </w:r>
      <m:oMath>
        <m:r>
          <m:t>0</m:t>
        </m:r>
        <m:r>
          <m:rPr>
            <m:sty m:val="p"/>
          </m:rPr>
          <m:t>&lt;</m:t>
        </m:r>
        <m:sSub>
          <m:e>
            <m:r>
              <m:t>δ</m:t>
            </m:r>
          </m:e>
          <m:sub>
            <m:r>
              <m:t>0</m:t>
            </m:r>
          </m:sub>
        </m:sSub>
        <m:r>
          <m:rPr>
            <m:sty m:val="p"/>
          </m:rPr>
          <m:t>&lt;</m:t>
        </m:r>
        <m:r>
          <m:t>2</m:t>
        </m:r>
      </m:oMath>
      <w:r>
        <w:t xml:space="preserve">)</w:t>
      </w:r>
    </w:p>
    <w:p>
      <w:pPr>
        <w:numPr>
          <w:ilvl w:val="0"/>
          <w:numId w:val="1001"/>
        </w:numPr>
        <w:pStyle w:val="Compact"/>
      </w:pPr>
      <m:oMath>
        <m:r>
          <m:t>D</m:t>
        </m:r>
        <m:r>
          <m:rPr>
            <m:sty m:val="p"/>
          </m:rPr>
          <m:t>=</m:t>
        </m:r>
        <m:d>
          <m:dPr>
            <m:begChr m:val="("/>
            <m:endChr m:val=")"/>
            <m:sepChr m:val=""/>
            <m:grow/>
          </m:dPr>
          <m:e>
            <m:r>
              <m:rPr>
                <m:sty m:val="p"/>
              </m:rPr>
              <m:t>−</m:t>
            </m:r>
            <m:r>
              <m:t>3</m:t>
            </m:r>
            <m:r>
              <m:rPr>
                <m:sty m:val="p"/>
              </m:rPr>
              <m:t>,</m:t>
            </m:r>
            <m:r>
              <m:t>5</m:t>
            </m:r>
          </m:e>
        </m:d>
        <m:r>
          <m:rPr>
            <m:sty m:val="p"/>
          </m:rPr>
          <m:t>\</m:t>
        </m:r>
        <m:r>
          <m:rPr>
            <m:sty m:val="p"/>
          </m:rPr>
          <m:t>{</m:t>
        </m:r>
        <m:r>
          <m:t>0</m:t>
        </m:r>
        <m:r>
          <m:rPr>
            <m:sty m:val="p"/>
          </m:rPr>
          <m:t>,</m:t>
        </m:r>
        <m:r>
          <m:t>1</m:t>
        </m:r>
        <m:r>
          <m:rPr>
            <m:sty m:val="p"/>
          </m:rPr>
          <m:t>}</m:t>
        </m:r>
      </m:oMath>
      <w:r>
        <w:t xml:space="preserve"> </w:t>
      </w:r>
      <w:r>
        <w:t xml:space="preserve">(This works with any</w:t>
      </w:r>
      <w:r>
        <w:t xml:space="preserve"> </w:t>
      </w:r>
      <m:oMath>
        <m:r>
          <m:t>0</m:t>
        </m:r>
        <m:r>
          <m:rPr>
            <m:sty m:val="p"/>
          </m:rPr>
          <m:t>&lt;</m:t>
        </m:r>
        <m:sSub>
          <m:e>
            <m:r>
              <m:t>δ</m:t>
            </m:r>
          </m:e>
          <m:sub>
            <m:r>
              <m:t>0</m:t>
            </m:r>
          </m:sub>
        </m:sSub>
        <m:r>
          <m:rPr>
            <m:sty m:val="p"/>
          </m:rPr>
          <m:t>&lt;</m:t>
        </m:r>
        <m:r>
          <m:t>1</m:t>
        </m:r>
      </m:oMath>
      <w:r>
        <w:t xml:space="preserve">)</w:t>
      </w:r>
    </w:p>
    <w:p>
      <w:pPr>
        <w:numPr>
          <w:ilvl w:val="0"/>
          <w:numId w:val="1001"/>
        </w:numPr>
        <w:pStyle w:val="Compact"/>
      </w:pPr>
      <m:oMath>
        <m:r>
          <m:t>D</m:t>
        </m:r>
        <m:r>
          <m:rPr>
            <m:sty m:val="p"/>
          </m:rPr>
          <m:t>=</m:t>
        </m:r>
        <m:r>
          <m:rPr>
            <m:sty m:val="p"/>
            <m:scr m:val="double-struck"/>
          </m:rPr>
          <m:t>R</m:t>
        </m:r>
      </m:oMath>
      <w:r>
        <w:t xml:space="preserve"> </w:t>
      </w:r>
      <w:r>
        <w:t xml:space="preserve">(This works with</w:t>
      </w:r>
      <w:r>
        <w:t xml:space="preserve"> </w:t>
      </w:r>
      <w:r>
        <w:rPr>
          <w:iCs/>
          <w:i/>
        </w:rPr>
        <w:t xml:space="preserve">any</w:t>
      </w:r>
      <w:r>
        <w:t xml:space="preserve"> </w:t>
      </w:r>
      <w:r>
        <w:t xml:space="preserve">positive</w:t>
      </w:r>
      <w:r>
        <w:t xml:space="preserve"> </w:t>
      </w:r>
      <m:oMath>
        <m:sSub>
          <m:e>
            <m:r>
              <m:t>δ</m:t>
            </m:r>
          </m:e>
          <m:sub>
            <m:r>
              <m:t>0</m:t>
            </m:r>
          </m:sub>
        </m:sSub>
      </m:oMath>
      <w:r>
        <w:t xml:space="preserve">)</w:t>
      </w:r>
    </w:p>
    <w:bookmarkEnd w:id="27"/>
    <w:bookmarkStart w:id="32" w:name="the-definition"/>
    <w:p>
      <w:pPr>
        <w:pStyle w:val="Heading3"/>
      </w:pPr>
      <w:r>
        <w:t xml:space="preserve">The Definition</w:t>
      </w:r>
    </w:p>
    <w:p>
      <w:pPr>
        <w:pStyle w:val="FirstParagraph"/>
      </w:pPr>
      <w:r>
        <w:t xml:space="preserve">One thing we may be interested in for a function is what happens as we approach a particular value from inside the domain. More specifically, we are interested in what happens to the corresponding codomain values: do they approach something finite, oscillate wildly, or behave even more bizarrely? In the first case, we can talk about a limiting value, of which the precise definition is formulated below:</w:t>
      </w:r>
      <w:r>
        <w:t xml:space="preserve"> </w:t>
      </w:r>
    </w:p>
    <w:bookmarkStart w:id="29" w:name="def:def3"/>
    <w:p>
      <w:pPr>
        <w:pStyle w:val="DefinitionStyle"/>
      </w:pPr>
      <w:bookmarkStart w:id="28" w:name="def:def3"/>
      <w:bookmarkEnd w:id="28"/>
      <w:r>
        <w:rPr>
          <w:rStyle w:val="NameStyle"/>
        </w:rPr>
        <w:t xml:space="preserve">Definition 1.3 (Limit of a Function)</w:t>
      </w:r>
      <w:r>
        <w:rPr>
          <w:rStyle w:val="NameStyle"/>
        </w:rPr>
        <w:t xml:space="preserve"> </w:t>
      </w:r>
    </w:p>
    <w:p>
      <w:pPr>
        <w:pStyle w:val="DefinitionStyle"/>
      </w:pPr>
      <w:r>
        <w:t xml:space="preserve">Let</w:t>
      </w:r>
      <w:r>
        <w:t xml:space="preserve"> </w:t>
      </w:r>
      <m:oMath>
        <m:r>
          <m:t>c</m:t>
        </m:r>
        <m:r>
          <m:rPr>
            <m:sty m:val="p"/>
          </m:rPr>
          <m:t>,</m:t>
        </m:r>
        <m:r>
          <m:t>L</m:t>
        </m:r>
        <m:r>
          <m:rPr>
            <m:sty m:val="p"/>
          </m:rPr>
          <m:t>∈</m:t>
        </m:r>
        <m:r>
          <m:rPr>
            <m:sty m:val="p"/>
            <m:scr m:val="double-struck"/>
          </m:rPr>
          <m:t>R</m:t>
        </m:r>
      </m:oMath>
      <w:r>
        <w:t xml:space="preserve">, and let</w:t>
      </w:r>
      <w:r>
        <w:t xml:space="preserve"> </w:t>
      </w:r>
      <m:oMath>
        <m:r>
          <m:t>f</m:t>
        </m:r>
        <m:r>
          <m:rPr>
            <m:sty m:val="p"/>
          </m:rPr>
          <m:t>:</m:t>
        </m:r>
        <m:r>
          <m:t>D</m:t>
        </m:r>
        <m:r>
          <m:rPr>
            <m:sty m:val="p"/>
          </m:rPr>
          <m:t>→</m:t>
        </m:r>
        <m:r>
          <m:rPr>
            <m:sty m:val="p"/>
            <m:scr m:val="double-struck"/>
          </m:rPr>
          <m:t>R</m:t>
        </m:r>
      </m:oMath>
      <w:r>
        <w:t xml:space="preserve"> </w:t>
      </w:r>
      <w:r>
        <w:t xml:space="preserve">be a function defined on a punctured neighbourhood of</w:t>
      </w:r>
      <w:r>
        <w:t xml:space="preserve"> </w:t>
      </w:r>
      <m:oMath>
        <m:r>
          <m:t>c</m:t>
        </m:r>
      </m:oMath>
      <w:r>
        <w:t xml:space="preserve">. Then</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L</m:t>
        </m:r>
      </m:oMath>
      <w:r>
        <w:t xml:space="preserve"> </w:t>
      </w:r>
      <w:r>
        <w:t xml:space="preserve">means</w:t>
      </w:r>
    </w:p>
    <w:p>
      <w:pPr>
        <w:pStyle w:val="DefinitionStyle"/>
      </w:pPr>
      <m:oMathPara>
        <m:oMathParaPr>
          <m:jc m:val="center"/>
        </m:oMathParaPr>
        <m:oMath>
          <m:r>
            <m:rPr>
              <m:sty m:val="p"/>
            </m:rPr>
            <m:t>∀</m:t>
          </m:r>
          <m:r>
            <m:t>ϵ</m:t>
          </m:r>
          <m:r>
            <m:rPr>
              <m:sty m:val="p"/>
            </m:rPr>
            <m:t>&gt;</m:t>
          </m:r>
          <m:r>
            <m:t>0</m:t>
          </m:r>
          <m:r>
            <m:t> </m:t>
          </m:r>
          <m:r>
            <m:t> </m:t>
          </m:r>
          <m:r>
            <m:rPr>
              <m:sty m:val="p"/>
            </m:rPr>
            <m:t>∃</m:t>
          </m:r>
          <m:r>
            <m:t>δ</m:t>
          </m:r>
          <m:r>
            <m:rPr>
              <m:sty m:val="p"/>
            </m:rPr>
            <m:t>&gt;</m:t>
          </m:r>
          <m:r>
            <m:t>0</m:t>
          </m:r>
          <m:r>
            <m:t> </m:t>
          </m:r>
          <m:r>
            <m:t> </m:t>
          </m:r>
          <m:r>
            <m:rPr>
              <m:nor/>
              <m:sty m:val="p"/>
            </m:rPr>
            <m:t>s.t.</m:t>
          </m:r>
          <m:r>
            <m:t> </m:t>
          </m:r>
          <m:r>
            <m:t> </m:t>
          </m:r>
          <m:r>
            <m:rPr>
              <m:sty m:val="p"/>
            </m:rPr>
            <m:t>∀</m:t>
          </m:r>
          <m:r>
            <m:t>x</m:t>
          </m:r>
          <m:r>
            <m:rPr>
              <m:sty m:val="p"/>
            </m:rPr>
            <m:t>∈</m:t>
          </m:r>
          <m:r>
            <m:t>D</m:t>
          </m:r>
          <m:r>
            <m:rPr>
              <m:sty m:val="p"/>
            </m:rPr>
            <m:t>,</m:t>
          </m:r>
          <m:r>
            <m:t> </m:t>
          </m:r>
          <m:r>
            <m:t> </m:t>
          </m:r>
          <m:r>
            <m:t>0</m:t>
          </m:r>
          <m:r>
            <m:rPr>
              <m:sty m:val="p"/>
            </m:rPr>
            <m:t>&lt;</m:t>
          </m:r>
          <m:r>
            <m:rPr>
              <m:sty m:val="p"/>
            </m:rPr>
            <m:t>|</m:t>
          </m:r>
          <m:r>
            <m:t>x</m:t>
          </m:r>
          <m:r>
            <m:rPr>
              <m:sty m:val="p"/>
            </m:rPr>
            <m:t>−</m:t>
          </m:r>
          <m:r>
            <m:t>c</m:t>
          </m:r>
          <m:r>
            <m:rPr>
              <m:sty m:val="p"/>
            </m:rPr>
            <m:t>|</m:t>
          </m:r>
          <m:r>
            <m:rPr>
              <m:sty m:val="p"/>
            </m:rPr>
            <m:t>&lt;</m:t>
          </m:r>
          <m:r>
            <m:t>δ</m:t>
          </m:r>
          <m:r>
            <m:t> </m:t>
          </m:r>
          <m:r>
            <m:rPr>
              <m:sty m:val="p"/>
            </m:rPr>
            <m:t>⇒</m:t>
          </m:r>
          <m:r>
            <m:t> </m:t>
          </m:r>
          <m:r>
            <m:rPr>
              <m:sty m:val="p"/>
            </m:rPr>
            <m:t>|</m:t>
          </m:r>
          <m:r>
            <m:t>f</m:t>
          </m:r>
          <m:d>
            <m:dPr>
              <m:begChr m:val="("/>
              <m:endChr m:val=")"/>
              <m:sepChr m:val=""/>
              <m:grow/>
            </m:dPr>
            <m:e>
              <m:r>
                <m:t>x</m:t>
              </m:r>
            </m:e>
          </m:d>
          <m:r>
            <m:rPr>
              <m:sty m:val="p"/>
            </m:rPr>
            <m:t>−</m:t>
          </m:r>
          <m:r>
            <m:t>L</m:t>
          </m:r>
          <m:r>
            <m:rPr>
              <m:sty m:val="p"/>
            </m:rPr>
            <m:t>|</m:t>
          </m:r>
          <m:r>
            <m:rPr>
              <m:sty m:val="p"/>
            </m:rPr>
            <m:t>&lt;</m:t>
          </m:r>
          <m:r>
            <m:t>ϵ</m:t>
          </m:r>
          <m:r>
            <m:rPr>
              <m:sty m:val="p"/>
            </m:rPr>
            <m:t>.</m:t>
          </m:r>
        </m:oMath>
      </m:oMathPara>
    </w:p>
    <w:bookmarkEnd w:id="29"/>
    <w:p>
      <w:pPr>
        <w:pStyle w:val="FirstParagraph"/>
      </w:pPr>
      <w:r>
        <w:t xml:space="preserve">Alternatively, we can say that</w:t>
      </w:r>
      <w:r>
        <w:t xml:space="preserve"> </w:t>
      </w:r>
      <m:oMath>
        <m:r>
          <m:t>f</m:t>
        </m:r>
        <m:d>
          <m:dPr>
            <m:begChr m:val="("/>
            <m:endChr m:val=")"/>
            <m:sepChr m:val=""/>
            <m:grow/>
          </m:dPr>
          <m:e>
            <m:r>
              <m:t>x</m:t>
            </m:r>
          </m:e>
        </m:d>
        <m:r>
          <m:rPr>
            <m:sty m:val="p"/>
          </m:rPr>
          <m:t>→</m:t>
        </m:r>
        <m:r>
          <m:t>L</m:t>
        </m:r>
      </m:oMath>
      <w:r>
        <w:t xml:space="preserve"> </w:t>
      </w:r>
      <w:r>
        <w:t xml:space="preserve">as</w:t>
      </w:r>
      <w:r>
        <w:t xml:space="preserve"> </w:t>
      </w:r>
      <m:oMath>
        <m:r>
          <m:t>x</m:t>
        </m:r>
        <m:r>
          <m:rPr>
            <m:sty m:val="p"/>
          </m:rPr>
          <m:t>→</m:t>
        </m:r>
        <m:r>
          <m:t>c</m:t>
        </m:r>
      </m:oMath>
      <w:r>
        <w:t xml:space="preserve"> </w:t>
      </w:r>
      <w:r>
        <w:t xml:space="preserve">if this definition is satisfied. Loosely, this says that</w:t>
      </w:r>
      <w:r>
        <w:t xml:space="preserve"> </w:t>
      </w:r>
      <w:r>
        <w:t xml:space="preserve">“</w:t>
      </w:r>
      <w:r>
        <w:t xml:space="preserve">however close you want the function to be to</w:t>
      </w:r>
      <w:r>
        <w:t xml:space="preserve"> </w:t>
      </w:r>
      <m:oMath>
        <m:r>
          <m:t>L</m:t>
        </m:r>
      </m:oMath>
      <w:r>
        <w:t xml:space="preserve"> </w:t>
      </w:r>
      <w:r>
        <w:t xml:space="preserve">at</w:t>
      </w:r>
      <w:r>
        <w:t xml:space="preserve"> </w:t>
      </w:r>
      <m:oMath>
        <m:r>
          <m:t>x</m:t>
        </m:r>
        <m:r>
          <m:rPr>
            <m:sty m:val="p"/>
          </m:rPr>
          <m:t>=</m:t>
        </m:r>
        <m:r>
          <m:t>c</m:t>
        </m:r>
      </m:oMath>
      <w:r>
        <w:t xml:space="preserve">, you can always find a range of</w:t>
      </w:r>
      <w:r>
        <w:t xml:space="preserve"> </w:t>
      </w:r>
      <m:oMath>
        <m:r>
          <m:t>x</m:t>
        </m:r>
      </m:oMath>
      <w:r>
        <w:t xml:space="preserve"> </w:t>
      </w:r>
      <w:r>
        <w:t xml:space="preserve">values that make this possible.</w:t>
      </w:r>
      <w:r>
        <w:t xml:space="preserve">”</w:t>
      </w:r>
      <w:r>
        <w:t xml:space="preserve"> </w:t>
      </w:r>
      <w:r>
        <w:t xml:space="preserve">Graphically, we may be in a situation as in Figure</w:t>
      </w:r>
      <w:r>
        <w:t xml:space="preserve"> </w:t>
      </w:r>
      <w:r>
        <w:t xml:space="preserve">1.1</w:t>
      </w:r>
      <w:r>
        <w:t xml:space="preserve">.</w:t>
      </w:r>
    </w:p>
    <w:p>
      <w:pPr>
        <w:pStyle w:val="CaptionedFigure"/>
      </w:pPr>
      <w:r>
        <w:drawing>
          <wp:inline>
            <wp:extent cx="3810000" cy="2540000"/>
            <wp:effectExtent b="0" l="0" r="0" t="0"/>
            <wp:docPr descr="Figure 1.1: A diagram showing the limiting process for functions. For the given \epsilon in the diagram, we see that whenever we are within a distance \delta of c in the domain, evaluating the function leaves us within a distance \epsilon of L. Note that the function isn’t defined at c, but the limiting value L still exists." title="" id="1" name="Picture"/>
            <a:graphic>
              <a:graphicData uri="http://schemas.openxmlformats.org/drawingml/2006/picture">
                <pic:pic>
                  <pic:nvPicPr>
                    <pic:cNvPr descr="Functionlimit.svg" id="0" name="Picture"/>
                    <pic:cNvPicPr>
                      <a:picLocks noChangeArrowheads="1" noChangeAspect="1"/>
                    </pic:cNvPicPr>
                  </pic:nvPicPr>
                  <pic:blipFill>
                    <a:blip r:embed="rId3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1.1: A diagram showing the limiting process for functions. For the given</w:t>
      </w:r>
      <w:r>
        <w:t xml:space="preserve"> </w:t>
      </w:r>
      <m:oMath>
        <m:r>
          <m:t>ϵ</m:t>
        </m:r>
      </m:oMath>
      <w:r>
        <w:t xml:space="preserve"> </w:t>
      </w:r>
      <w:r>
        <w:t xml:space="preserve">in the diagram, we see that whenever we are within a distance</w:t>
      </w:r>
      <w:r>
        <w:t xml:space="preserve"> </w:t>
      </w:r>
      <m:oMath>
        <m:r>
          <m:t>δ</m:t>
        </m:r>
      </m:oMath>
      <w:r>
        <w:t xml:space="preserve"> </w:t>
      </w:r>
      <w:r>
        <w:t xml:space="preserve">of</w:t>
      </w:r>
      <w:r>
        <w:t xml:space="preserve"> </w:t>
      </w:r>
      <m:oMath>
        <m:r>
          <m:t>c</m:t>
        </m:r>
      </m:oMath>
      <w:r>
        <w:t xml:space="preserve"> </w:t>
      </w:r>
      <w:r>
        <w:t xml:space="preserve">in the domain, evaluating the function leaves us within a distance</w:t>
      </w:r>
      <w:r>
        <w:t xml:space="preserve"> </w:t>
      </w:r>
      <m:oMath>
        <m:r>
          <m:t>ϵ</m:t>
        </m:r>
      </m:oMath>
      <w:r>
        <w:t xml:space="preserve"> </w:t>
      </w:r>
      <w:r>
        <w:t xml:space="preserve">of</w:t>
      </w:r>
      <w:r>
        <w:t xml:space="preserve"> </w:t>
      </w:r>
      <m:oMath>
        <m:r>
          <m:t>L</m:t>
        </m:r>
      </m:oMath>
      <w:r>
        <w:t xml:space="preserve">. Note that the function isn’t defined at</w:t>
      </w:r>
      <w:r>
        <w:t xml:space="preserve"> </w:t>
      </w:r>
      <m:oMath>
        <m:r>
          <m:t>c</m:t>
        </m:r>
      </m:oMath>
      <w:r>
        <w:t xml:space="preserve">, but the limiting value</w:t>
      </w:r>
      <w:r>
        <w:t xml:space="preserve"> </w:t>
      </w:r>
      <m:oMath>
        <m:r>
          <m:t>L</m:t>
        </m:r>
      </m:oMath>
      <w:r>
        <w:t xml:space="preserve"> </w:t>
      </w:r>
      <w:r>
        <w:t xml:space="preserve">still exists.</w:t>
      </w:r>
    </w:p>
    <w:p>
      <w:pPr>
        <w:pStyle w:val="BodyText"/>
      </w:pPr>
      <w:r>
        <w:t xml:space="preserve">Once we have a definition, it makes sense to also consider its negation. Namely, we have that</w:t>
      </w:r>
      <w:r>
        <w:t xml:space="preserve"> </w:t>
      </w:r>
      <m:oMath>
        <m:r>
          <m:t>f</m:t>
        </m:r>
        <m:d>
          <m:dPr>
            <m:begChr m:val="("/>
            <m:endChr m:val=")"/>
            <m:sepChr m:val=""/>
            <m:grow/>
          </m:dPr>
          <m:e>
            <m:r>
              <m:t>x</m:t>
            </m:r>
          </m:e>
        </m:d>
      </m:oMath>
      <w:r>
        <w:t xml:space="preserve"> </w:t>
      </w:r>
      <w:r>
        <w:t xml:space="preserve">does not approach</w:t>
      </w:r>
      <w:r>
        <w:rPr>
          <w:rStyle w:val="FootnoteReference"/>
        </w:rPr>
        <w:footnoteReference w:id="31"/>
      </w:r>
      <w:r>
        <w:t xml:space="preserve"> </w:t>
      </w:r>
      <m:oMath>
        <m:r>
          <m:t>L</m:t>
        </m:r>
      </m:oMath>
      <w:r>
        <w:t xml:space="preserve"> </w:t>
      </w:r>
      <w:r>
        <w:t xml:space="preserve">as</w:t>
      </w:r>
      <w:r>
        <w:t xml:space="preserve"> </w:t>
      </w:r>
      <m:oMath>
        <m:r>
          <m:t>x</m:t>
        </m:r>
        <m:r>
          <m:rPr>
            <m:sty m:val="p"/>
          </m:rPr>
          <m:t>→</m:t>
        </m:r>
        <m:r>
          <m:t>c</m:t>
        </m:r>
      </m:oMath>
      <w:r>
        <w:t xml:space="preserve"> </w:t>
      </w:r>
      <w:r>
        <w:t xml:space="preserve">when</w:t>
      </w:r>
    </w:p>
    <w:p>
      <w:pPr>
        <w:pStyle w:val="BodyText"/>
      </w:pPr>
      <m:oMathPara>
        <m:oMathParaPr>
          <m:jc m:val="center"/>
        </m:oMathParaPr>
        <m:oMath>
          <m:r>
            <m:rPr>
              <m:sty m:val="p"/>
            </m:rPr>
            <m:t>∃</m:t>
          </m:r>
          <m:sSub>
            <m:e>
              <m:r>
                <m:t>ϵ</m:t>
              </m:r>
            </m:e>
            <m:sub>
              <m:r>
                <m:t>0</m:t>
              </m:r>
            </m:sub>
          </m:sSub>
          <m:r>
            <m:rPr>
              <m:sty m:val="p"/>
            </m:rPr>
            <m:t>&gt;</m:t>
          </m:r>
          <m:r>
            <m:t>0</m:t>
          </m:r>
          <m:r>
            <m:t> </m:t>
          </m:r>
          <m:r>
            <m:t> </m:t>
          </m:r>
          <m:r>
            <m:rPr>
              <m:nor/>
              <m:sty m:val="p"/>
            </m:rPr>
            <m:t>s.t</m:t>
          </m:r>
          <m:r>
            <m:t> </m:t>
          </m:r>
          <m:r>
            <m:t> </m:t>
          </m:r>
          <m:r>
            <m:rPr>
              <m:sty m:val="p"/>
            </m:rPr>
            <m:t>∀</m:t>
          </m:r>
          <m:r>
            <m:t>δ</m:t>
          </m:r>
          <m:r>
            <m:rPr>
              <m:sty m:val="p"/>
            </m:rPr>
            <m:t>&gt;</m:t>
          </m:r>
          <m:r>
            <m:t>0</m:t>
          </m:r>
          <m:r>
            <m:rPr>
              <m:sty m:val="p"/>
            </m:rPr>
            <m:t>,</m:t>
          </m:r>
          <m:r>
            <m:t> </m:t>
          </m:r>
          <m:r>
            <m:t> </m:t>
          </m:r>
          <m:r>
            <m:rPr>
              <m:sty m:val="p"/>
            </m:rPr>
            <m:t>∃</m:t>
          </m:r>
          <m:sSub>
            <m:e>
              <m:r>
                <m:t>x</m:t>
              </m:r>
            </m:e>
            <m:sub>
              <m:r>
                <m:t>0</m:t>
              </m:r>
            </m:sub>
          </m:sSub>
          <m:r>
            <m:rPr>
              <m:sty m:val="p"/>
            </m:rPr>
            <m:t>∈</m:t>
          </m:r>
          <m:r>
            <m:t>D</m:t>
          </m:r>
          <m:r>
            <m:t> </m:t>
          </m:r>
          <m:r>
            <m:t> </m:t>
          </m:r>
          <m:r>
            <m:rPr>
              <m:nor/>
              <m:sty m:val="p"/>
            </m:rPr>
            <m:t>s.t.</m:t>
          </m:r>
          <m:r>
            <m:t> </m:t>
          </m:r>
          <m:r>
            <m:t> </m:t>
          </m:r>
          <m:r>
            <m:t>0</m:t>
          </m:r>
          <m:r>
            <m:rPr>
              <m:sty m:val="p"/>
            </m:rPr>
            <m:t>&lt;</m:t>
          </m:r>
          <m:r>
            <m:rPr>
              <m:sty m:val="p"/>
            </m:rPr>
            <m:t>|</m:t>
          </m:r>
          <m:sSub>
            <m:e>
              <m:r>
                <m:t>x</m:t>
              </m:r>
            </m:e>
            <m:sub>
              <m:r>
                <m:t>0</m:t>
              </m:r>
            </m:sub>
          </m:sSub>
          <m:r>
            <m:rPr>
              <m:sty m:val="p"/>
            </m:rPr>
            <m:t>−</m:t>
          </m:r>
          <m:r>
            <m:t>c</m:t>
          </m:r>
          <m:r>
            <m:rPr>
              <m:sty m:val="p"/>
            </m:rPr>
            <m:t>|</m:t>
          </m:r>
          <m:r>
            <m:rPr>
              <m:sty m:val="p"/>
            </m:rPr>
            <m:t>&lt;</m:t>
          </m:r>
          <m:r>
            <m:t>δ</m:t>
          </m:r>
          <m:r>
            <m:t> </m:t>
          </m:r>
          <m:r>
            <m:t> </m:t>
          </m:r>
          <m:r>
            <m:rPr>
              <m:nor/>
              <m:sty m:val="p"/>
            </m:rPr>
            <m:t>and</m:t>
          </m:r>
          <m:r>
            <m:t> </m:t>
          </m:r>
          <m:r>
            <m:t> </m:t>
          </m:r>
          <m:r>
            <m:rPr>
              <m:sty m:val="p"/>
            </m:rPr>
            <m:t>|</m:t>
          </m:r>
          <m:r>
            <m:t>f</m:t>
          </m:r>
          <m:d>
            <m:dPr>
              <m:begChr m:val="("/>
              <m:endChr m:val=")"/>
              <m:sepChr m:val=""/>
              <m:grow/>
            </m:dPr>
            <m:e>
              <m:sSub>
                <m:e>
                  <m:r>
                    <m:t>x</m:t>
                  </m:r>
                </m:e>
                <m:sub>
                  <m:r>
                    <m:t>0</m:t>
                  </m:r>
                </m:sub>
              </m:sSub>
            </m:e>
          </m:d>
          <m:r>
            <m:rPr>
              <m:sty m:val="p"/>
            </m:rPr>
            <m:t>−</m:t>
          </m:r>
          <m:r>
            <m:t>L</m:t>
          </m:r>
          <m:r>
            <m:rPr>
              <m:sty m:val="p"/>
            </m:rPr>
            <m:t>|</m:t>
          </m:r>
          <m:r>
            <m:rPr>
              <m:sty m:val="p"/>
            </m:rPr>
            <m:t>≥</m:t>
          </m:r>
          <m:sSub>
            <m:e>
              <m:r>
                <m:t>ϵ</m:t>
              </m:r>
            </m:e>
            <m:sub>
              <m:r>
                <m:t>0</m:t>
              </m:r>
            </m:sub>
          </m:sSub>
          <m:r>
            <m:rPr>
              <m:sty m:val="p"/>
            </m:rPr>
            <m:t>.</m:t>
          </m:r>
        </m:oMath>
      </m:oMathPara>
    </w:p>
    <w:bookmarkEnd w:id="32"/>
    <w:bookmarkStart w:id="34" w:name="using-the-definition-in-practice"/>
    <w:p>
      <w:pPr>
        <w:pStyle w:val="Heading3"/>
      </w:pPr>
      <w:r>
        <w:t xml:space="preserve">Using the Definition in Practice</w:t>
      </w:r>
    </w:p>
    <w:p>
      <w:pPr>
        <w:pStyle w:val="FirstParagraph"/>
      </w:pPr>
      <w:r>
        <w:t xml:space="preserve">In the exam, it is</w:t>
      </w:r>
      <w:r>
        <w:t xml:space="preserve"> </w:t>
      </w:r>
      <w:r>
        <w:rPr>
          <w:bCs/>
          <w:b/>
        </w:rPr>
        <w:t xml:space="preserve">highly</w:t>
      </w:r>
      <w:r>
        <w:t xml:space="preserve"> </w:t>
      </w:r>
      <w:r>
        <w:t xml:space="preserve">likely that you’ll be made to use this definition to calculate a limit. In doing so, you’ll need to bound a function that is wrapped up in an absolute value. There are two results from Semester 1 that can help with this, and if you haven’t already, make sure that you commit these results to memory.</w:t>
      </w:r>
      <w:r>
        <w:t xml:space="preserve"> </w:t>
      </w:r>
    </w:p>
    <w:p>
      <w:pPr>
        <w:pStyle w:val="BodyText"/>
      </w:pPr>
      <w:bookmarkStart w:id="33" w:name="thm:thm46"/>
      <w:bookmarkEnd w:id="33"/>
      <w:r>
        <w:rPr>
          <w:rStyle w:val="NameStyle"/>
        </w:rPr>
        <w:t xml:space="preserve">Theorem 1.1 (Triangle Inequalities)</w:t>
      </w:r>
      <w:r>
        <w:rPr>
          <w:rStyle w:val="NameStyle"/>
        </w:rPr>
        <w:t xml:space="preserve"> </w:t>
      </w:r>
    </w:p>
    <w:p>
      <w:pPr>
        <w:pStyle w:val="BodyText"/>
      </w:pPr>
      <w:r>
        <w:t xml:space="preserve">For</w:t>
      </w:r>
      <w:r>
        <w:t xml:space="preserve"> </w:t>
      </w:r>
      <m:oMath>
        <m:r>
          <m:t>x</m:t>
        </m:r>
        <m:r>
          <m:rPr>
            <m:sty m:val="p"/>
          </m:rPr>
          <m:t>,</m:t>
        </m:r>
        <m:r>
          <m:t>y</m:t>
        </m:r>
        <m:r>
          <m:rPr>
            <m:sty m:val="p"/>
          </m:rPr>
          <m:t>∈</m:t>
        </m:r>
        <m:r>
          <m:rPr>
            <m:sty m:val="p"/>
            <m:scr m:val="double-struck"/>
          </m:rPr>
          <m:t>R</m:t>
        </m:r>
      </m:oMath>
      <w:r>
        <w:t xml:space="preserve">:</w:t>
      </w:r>
    </w:p>
    <w:p>
      <w:pPr>
        <w:numPr>
          <w:ilvl w:val="0"/>
          <w:numId w:val="1002"/>
        </w:numPr>
        <w:pStyle w:val="Compact"/>
      </w:pPr>
      <m:oMath>
        <m:r>
          <m:rPr>
            <m:sty m:val="p"/>
          </m:rPr>
          <m:t>|</m:t>
        </m:r>
        <m:r>
          <m:t>x</m:t>
        </m:r>
        <m:r>
          <m:rPr>
            <m:sty m:val="p"/>
          </m:rPr>
          <m:t>+</m:t>
        </m:r>
        <m:r>
          <m:t>y</m:t>
        </m:r>
        <m:r>
          <m:rPr>
            <m:sty m:val="p"/>
          </m:rPr>
          <m:t>|</m:t>
        </m:r>
        <m:r>
          <m:rPr>
            <m:sty m:val="p"/>
          </m:rPr>
          <m:t>≤</m:t>
        </m:r>
        <m:r>
          <m:rPr>
            <m:sty m:val="p"/>
          </m:rPr>
          <m:t>|</m:t>
        </m:r>
        <m:r>
          <m:t>x</m:t>
        </m:r>
        <m:r>
          <m:rPr>
            <m:sty m:val="p"/>
          </m:rPr>
          <m:t>|</m:t>
        </m:r>
        <m:r>
          <m:rPr>
            <m:sty m:val="p"/>
          </m:rPr>
          <m:t>+</m:t>
        </m:r>
        <m:r>
          <m:rPr>
            <m:sty m:val="p"/>
          </m:rPr>
          <m:t>|</m:t>
        </m:r>
        <m:r>
          <m:t>y</m:t>
        </m:r>
        <m:r>
          <m:rPr>
            <m:sty m:val="p"/>
          </m:rPr>
          <m:t>|</m:t>
        </m:r>
        <m:r>
          <m:rPr>
            <m:sty m:val="p"/>
          </m:rPr>
          <m:t>.</m:t>
        </m:r>
      </m:oMath>
    </w:p>
    <w:p>
      <w:pPr>
        <w:numPr>
          <w:ilvl w:val="0"/>
          <w:numId w:val="1002"/>
        </w:numPr>
        <w:pStyle w:val="Compact"/>
      </w:pPr>
      <m:oMath>
        <m:d>
          <m:dPr>
            <m:begChr m:val="|"/>
            <m:endChr m:val="|"/>
            <m:sepChr m:val=""/>
            <m:grow/>
          </m:dPr>
          <m:e>
            <m:r>
              <m:rPr>
                <m:sty m:val="p"/>
              </m:rPr>
              <m:t>|</m:t>
            </m:r>
            <m:r>
              <m:t>x</m:t>
            </m:r>
            <m:r>
              <m:rPr>
                <m:sty m:val="p"/>
              </m:rPr>
              <m:t>|</m:t>
            </m:r>
            <m:r>
              <m:rPr>
                <m:sty m:val="p"/>
              </m:rPr>
              <m:t>−</m:t>
            </m:r>
            <m:r>
              <m:rPr>
                <m:sty m:val="p"/>
              </m:rPr>
              <m:t>|</m:t>
            </m:r>
            <m:r>
              <m:t>y</m:t>
            </m:r>
            <m:r>
              <m:rPr>
                <m:sty m:val="p"/>
              </m:rPr>
              <m:t>|</m:t>
            </m:r>
          </m:e>
        </m:d>
        <m:r>
          <m:rPr>
            <m:sty m:val="p"/>
          </m:rPr>
          <m:t>≤</m:t>
        </m:r>
        <m:r>
          <m:rPr>
            <m:sty m:val="p"/>
          </m:rPr>
          <m:t>|</m:t>
        </m:r>
        <m:r>
          <m:t>x</m:t>
        </m:r>
        <m:r>
          <m:rPr>
            <m:sty m:val="p"/>
          </m:rPr>
          <m:t>−</m:t>
        </m:r>
        <m:r>
          <m:t>y</m:t>
        </m:r>
        <m:r>
          <m:rPr>
            <m:sty m:val="p"/>
          </m:rPr>
          <m:t>|</m:t>
        </m:r>
        <m:r>
          <m:rPr>
            <m:sty m:val="p"/>
          </m:rPr>
          <m:t>.</m:t>
        </m:r>
      </m:oMath>
    </w:p>
    <w:p>
      <w:pPr>
        <w:numPr>
          <w:ilvl w:val="0"/>
          <w:numId w:val="1000"/>
        </w:numPr>
        <w:pStyle w:val="Compact"/>
      </w:pPr>
      <w:r>
        <w:t xml:space="preserve">The second result here — the</w:t>
      </w:r>
      <w:r>
        <w:t xml:space="preserve"> </w:t>
      </w:r>
      <w:r>
        <w:rPr>
          <w:iCs/>
          <w:i/>
        </w:rPr>
        <w:t xml:space="preserve">reverse triangle inequality</w:t>
      </w:r>
      <w:r>
        <w:t xml:space="preserve"> </w:t>
      </w:r>
      <w:r>
        <w:t xml:space="preserve">— will be incredibly useful when we need to bound fractions.</w:t>
      </w:r>
    </w:p>
    <w:bookmarkEnd w:id="34"/>
    <w:bookmarkEnd w:id="35"/>
    <w:bookmarkStart w:id="41" w:name="two-useful-results"/>
    <w:p>
      <w:pPr>
        <w:pStyle w:val="Heading2"/>
      </w:pPr>
      <w:r>
        <w:t xml:space="preserve">Two Useful Results</w:t>
      </w:r>
    </w:p>
    <w:p>
      <w:pPr>
        <w:pStyle w:val="FirstParagraph"/>
      </w:pPr>
      <w:r>
        <w:t xml:space="preserve">One thing we would definitely like to know is that if a limit of a function exists, is it unique? Luckily, the answer to this is yes, and is summed up in the following result:</w:t>
      </w:r>
      <w:r>
        <w:t xml:space="preserve"> </w:t>
      </w:r>
    </w:p>
    <w:bookmarkStart w:id="37" w:name="prp:prop1"/>
    <w:p>
      <w:pPr>
        <w:pStyle w:val="TheoremStyleUpright"/>
      </w:pPr>
      <w:bookmarkStart w:id="36" w:name="prp:prop1"/>
      <w:bookmarkEnd w:id="36"/>
      <w:r>
        <w:rPr>
          <w:rStyle w:val="NameStyle"/>
        </w:rPr>
        <w:t xml:space="preserve">Proposition 1.2 (Uniqueness of Limits)</w:t>
      </w:r>
      <w:r>
        <w:rPr>
          <w:rStyle w:val="NameStyle"/>
        </w:rPr>
        <w:t xml:space="preserve"> </w:t>
      </w:r>
    </w:p>
    <w:p>
      <w:pPr>
        <w:pStyle w:val="TheoremStyleUpright"/>
      </w:pPr>
      <w:r>
        <w:t xml:space="preserve">Let</w:t>
      </w:r>
      <w:r>
        <w:t xml:space="preserve"> </w:t>
      </w:r>
      <m:oMath>
        <m:r>
          <m:t>c</m:t>
        </m:r>
        <m:r>
          <m:rPr>
            <m:sty m:val="p"/>
          </m:rPr>
          <m:t>∈</m:t>
        </m:r>
        <m:r>
          <m:rPr>
            <m:sty m:val="p"/>
            <m:scr m:val="double-struck"/>
          </m:rPr>
          <m:t>R</m:t>
        </m:r>
      </m:oMath>
      <w:r>
        <w:t xml:space="preserve"> </w:t>
      </w:r>
      <w:r>
        <w:t xml:space="preserve">and let</w:t>
      </w:r>
      <w:r>
        <w:t xml:space="preserve"> </w:t>
      </w:r>
      <m:oMath>
        <m:r>
          <m:t>f</m:t>
        </m:r>
        <m:r>
          <m:rPr>
            <m:sty m:val="p"/>
          </m:rPr>
          <m:t>:</m:t>
        </m:r>
        <m:r>
          <m:t>D</m:t>
        </m:r>
        <m:r>
          <m:rPr>
            <m:sty m:val="p"/>
          </m:rPr>
          <m:t>→</m:t>
        </m:r>
        <m:r>
          <m:rPr>
            <m:sty m:val="p"/>
            <m:scr m:val="double-struck"/>
          </m:rPr>
          <m:t>R</m:t>
        </m:r>
      </m:oMath>
      <w:r>
        <w:t xml:space="preserve"> </w:t>
      </w:r>
      <w:r>
        <w:t xml:space="preserve">be a function defined on a punctured neighbourhood</w:t>
      </w:r>
      <w:r>
        <w:t xml:space="preserve"> </w:t>
      </w:r>
      <m:oMath>
        <m:r>
          <m:t>D</m:t>
        </m:r>
      </m:oMath>
      <w:r>
        <w:t xml:space="preserve"> </w:t>
      </w:r>
      <w:r>
        <w:t xml:space="preserve">of</w:t>
      </w:r>
      <w:r>
        <w:t xml:space="preserve"> </w:t>
      </w:r>
      <m:oMath>
        <m:r>
          <m:t>c</m:t>
        </m:r>
      </m:oMath>
      <w:r>
        <w:t xml:space="preserve">. If</w:t>
      </w:r>
      <w:r>
        <w:t xml:space="preserve"> </w:t>
      </w:r>
      <m:oMath>
        <m:r>
          <m:rPr>
            <m:sty m:val="p"/>
          </m:rPr>
          <m:t>∃</m:t>
        </m:r>
        <m:r>
          <m:t>L</m:t>
        </m:r>
        <m:r>
          <m:rPr>
            <m:sty m:val="p"/>
          </m:rPr>
          <m:t>,</m:t>
        </m:r>
        <m:r>
          <m:t>M</m:t>
        </m:r>
        <m:r>
          <m:rPr>
            <m:sty m:val="p"/>
          </m:rPr>
          <m:t>∈</m:t>
        </m:r>
        <m:r>
          <m:rPr>
            <m:sty m:val="p"/>
            <m:scr m:val="double-struck"/>
          </m:rPr>
          <m:t>R</m:t>
        </m:r>
      </m:oMath>
      <w:r>
        <w:t xml:space="preserve"> </w:t>
      </w:r>
      <w:r>
        <w:t xml:space="preserve">such that</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L</m:t>
        </m:r>
      </m:oMath>
      <w:r>
        <w:t xml:space="preserve"> </w:t>
      </w:r>
      <w:r>
        <w:t xml:space="preserve">and</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M</m:t>
        </m:r>
      </m:oMath>
      <w:r>
        <w:t xml:space="preserve">, then</w:t>
      </w:r>
      <w:r>
        <w:t xml:space="preserve"> </w:t>
      </w:r>
      <m:oMath>
        <m:r>
          <m:t>L</m:t>
        </m:r>
        <m:r>
          <m:rPr>
            <m:sty m:val="p"/>
          </m:rPr>
          <m:t>=</m:t>
        </m:r>
        <m:r>
          <m:t>M</m:t>
        </m:r>
      </m:oMath>
      <w:r>
        <w:t xml:space="preserve">.</w:t>
      </w:r>
    </w:p>
    <w:bookmarkEnd w:id="37"/>
    <w:p>
      <w:pPr>
        <w:pStyle w:val="BodyText"/>
      </w:pPr>
      <w:r>
        <w:t xml:space="preserve">Another useful result regarding functions we can state here is known as the</w:t>
      </w:r>
      <w:r>
        <w:t xml:space="preserve"> </w:t>
      </w:r>
      <w:r>
        <w:rPr>
          <w:iCs/>
          <w:i/>
        </w:rPr>
        <w:t xml:space="preserve">inertia principle</w:t>
      </w:r>
      <w:r>
        <w:t xml:space="preserve">:</w:t>
      </w:r>
      <w:r>
        <w:t xml:space="preserve"> </w:t>
      </w:r>
    </w:p>
    <w:bookmarkStart w:id="39" w:name="prp:prop2"/>
    <w:p>
      <w:pPr>
        <w:pStyle w:val="TheoremStyleUpright"/>
      </w:pPr>
      <w:bookmarkStart w:id="38" w:name="prp:prop2"/>
      <w:bookmarkEnd w:id="38"/>
      <w:r>
        <w:rPr>
          <w:rStyle w:val="NameStyle"/>
        </w:rPr>
        <w:t xml:space="preserve">Proposition 1.3 (Inertia)</w:t>
      </w:r>
      <w:r>
        <w:rPr>
          <w:rStyle w:val="NameStyle"/>
        </w:rPr>
        <w:t xml:space="preserve"> </w:t>
      </w:r>
    </w:p>
    <w:p>
      <w:pPr>
        <w:pStyle w:val="TheoremStyleUpright"/>
      </w:pPr>
      <w:r>
        <w:t xml:space="preserve">Let</w:t>
      </w:r>
      <w:r>
        <w:t xml:space="preserve"> </w:t>
      </w:r>
      <m:oMath>
        <m:r>
          <m:t>c</m:t>
        </m:r>
        <m:r>
          <m:rPr>
            <m:sty m:val="p"/>
          </m:rPr>
          <m:t>∈</m:t>
        </m:r>
        <m:r>
          <m:rPr>
            <m:sty m:val="p"/>
            <m:scr m:val="double-struck"/>
          </m:rPr>
          <m:t>R</m:t>
        </m:r>
      </m:oMath>
      <w:r>
        <w:t xml:space="preserve"> </w:t>
      </w:r>
      <w:r>
        <w:t xml:space="preserve">and let</w:t>
      </w:r>
      <w:r>
        <w:t xml:space="preserve"> </w:t>
      </w:r>
      <m:oMath>
        <m:r>
          <m:t>f</m:t>
        </m:r>
        <m:r>
          <m:rPr>
            <m:sty m:val="p"/>
          </m:rPr>
          <m:t>:</m:t>
        </m:r>
        <m:r>
          <m:t>D</m:t>
        </m:r>
        <m:r>
          <m:rPr>
            <m:sty m:val="p"/>
          </m:rPr>
          <m:t>→</m:t>
        </m:r>
        <m:r>
          <m:rPr>
            <m:sty m:val="p"/>
            <m:scr m:val="double-struck"/>
          </m:rPr>
          <m:t>R</m:t>
        </m:r>
      </m:oMath>
      <w:r>
        <w:t xml:space="preserve"> </w:t>
      </w:r>
      <w:r>
        <w:t xml:space="preserve">be a function defined on a punctured neighbourhood</w:t>
      </w:r>
      <w:r>
        <w:t xml:space="preserve"> </w:t>
      </w:r>
      <m:oMath>
        <m:r>
          <m:t>D</m:t>
        </m:r>
      </m:oMath>
      <w:r>
        <w:t xml:space="preserve"> </w:t>
      </w:r>
      <w:r>
        <w:t xml:space="preserve">of</w:t>
      </w:r>
      <w:r>
        <w:t xml:space="preserve"> </w:t>
      </w:r>
      <m:oMath>
        <m:r>
          <m:t>c</m:t>
        </m:r>
      </m:oMath>
      <w:r>
        <w:t xml:space="preserve">. If</w:t>
      </w:r>
      <w:r>
        <w:t xml:space="preserve"> </w:t>
      </w:r>
      <m:oMath>
        <m:sSub>
          <m:e>
            <m:r>
              <m:rPr>
                <m:nor/>
                <m:sty m:val="p"/>
              </m:rPr>
              <m:t>lim</m:t>
            </m:r>
          </m:e>
          <m:sub>
            <m:r>
              <m:t>x</m:t>
            </m:r>
            <m:r>
              <m:rPr>
                <m:sty m:val="p"/>
              </m:rPr>
              <m:t>→</m:t>
            </m:r>
            <m:r>
              <m:t>c</m:t>
            </m:r>
          </m:sub>
        </m:sSub>
        <m:r>
          <m:t>f</m:t>
        </m:r>
        <m:d>
          <m:dPr>
            <m:begChr m:val="("/>
            <m:endChr m:val=")"/>
            <m:sepChr m:val=""/>
            <m:grow/>
          </m:dPr>
          <m:e>
            <m:r>
              <m:t>x</m:t>
            </m:r>
          </m:e>
        </m:d>
        <m:r>
          <m:rPr>
            <m:sty m:val="p"/>
          </m:rPr>
          <m:t>=</m:t>
        </m:r>
        <m:r>
          <m:t>L</m:t>
        </m:r>
      </m:oMath>
      <w:r>
        <w:t xml:space="preserve">, then for any</w:t>
      </w:r>
      <w:r>
        <w:t xml:space="preserve"> </w:t>
      </w:r>
      <m:oMath>
        <m:r>
          <m:t>M</m:t>
        </m:r>
        <m:r>
          <m:rPr>
            <m:sty m:val="p"/>
          </m:rPr>
          <m:t>&lt;</m:t>
        </m:r>
        <m:r>
          <m:t>L</m:t>
        </m:r>
      </m:oMath>
      <w:r>
        <w:t xml:space="preserve">, there exists</w:t>
      </w:r>
      <w:r>
        <w:t xml:space="preserve"> </w:t>
      </w:r>
      <m:oMath>
        <m:r>
          <m:t>δ</m:t>
        </m:r>
        <m:r>
          <m:rPr>
            <m:sty m:val="p"/>
          </m:rPr>
          <m:t>&gt;</m:t>
        </m:r>
        <m:r>
          <m:t>0</m:t>
        </m:r>
      </m:oMath>
      <w:r>
        <w:t xml:space="preserve"> </w:t>
      </w:r>
      <w:r>
        <w:t xml:space="preserve">such that</w:t>
      </w:r>
    </w:p>
    <w:p>
      <w:pPr>
        <w:pStyle w:val="TheoremStyleUpright"/>
      </w:pPr>
      <m:oMathPara>
        <m:oMathParaPr>
          <m:jc m:val="center"/>
        </m:oMathParaPr>
        <m:oMath>
          <m:r>
            <m:rPr>
              <m:sty m:val="p"/>
            </m:rPr>
            <m:t>∀</m:t>
          </m:r>
          <m:r>
            <m:t>x</m:t>
          </m:r>
          <m:r>
            <m:rPr>
              <m:sty m:val="p"/>
            </m:rPr>
            <m:t>∈</m:t>
          </m:r>
          <m:r>
            <m:t>D</m:t>
          </m:r>
          <m:r>
            <m:rPr>
              <m:sty m:val="p"/>
            </m:rPr>
            <m:t>,</m:t>
          </m:r>
          <m:r>
            <m:t> </m:t>
          </m:r>
          <m:r>
            <m:t> </m:t>
          </m:r>
          <m:r>
            <m:t>0</m:t>
          </m:r>
          <m:r>
            <m:rPr>
              <m:sty m:val="p"/>
            </m:rPr>
            <m:t>&lt;</m:t>
          </m:r>
          <m:r>
            <m:rPr>
              <m:sty m:val="p"/>
            </m:rPr>
            <m:t>|</m:t>
          </m:r>
          <m:r>
            <m:t>x</m:t>
          </m:r>
          <m:r>
            <m:rPr>
              <m:sty m:val="p"/>
            </m:rPr>
            <m:t>−</m:t>
          </m:r>
          <m:r>
            <m:t>c</m:t>
          </m:r>
          <m:r>
            <m:rPr>
              <m:sty m:val="p"/>
            </m:rPr>
            <m:t>|</m:t>
          </m:r>
          <m:r>
            <m:rPr>
              <m:sty m:val="p"/>
            </m:rPr>
            <m:t>&lt;</m:t>
          </m:r>
          <m:r>
            <m:t>δ</m:t>
          </m:r>
          <m:r>
            <m:t> </m:t>
          </m:r>
          <m:r>
            <m:rPr>
              <m:sty m:val="p"/>
            </m:rPr>
            <m:t>⇒</m:t>
          </m:r>
          <m:r>
            <m:t> </m:t>
          </m:r>
          <m:r>
            <m:t> </m:t>
          </m:r>
          <m:r>
            <m:t>f</m:t>
          </m:r>
          <m:d>
            <m:dPr>
              <m:begChr m:val="("/>
              <m:endChr m:val=")"/>
              <m:sepChr m:val=""/>
              <m:grow/>
            </m:dPr>
            <m:e>
              <m:r>
                <m:t>x</m:t>
              </m:r>
            </m:e>
          </m:d>
          <m:r>
            <m:rPr>
              <m:sty m:val="p"/>
            </m:rPr>
            <m:t>&gt;</m:t>
          </m:r>
          <m:r>
            <m:t>M</m:t>
          </m:r>
          <m:r>
            <m:rPr>
              <m:sty m:val="p"/>
            </m:rPr>
            <m:t>.</m:t>
          </m:r>
        </m:oMath>
      </m:oMathPara>
    </w:p>
    <w:bookmarkEnd w:id="39"/>
    <w:p>
      <w:pPr>
        <w:pStyle w:val="FirstParagraph"/>
      </w:pPr>
      <w:r>
        <w:t xml:space="preserve">This idea is summed up in Figure</w:t>
      </w:r>
      <w:r>
        <w:t xml:space="preserve"> </w:t>
      </w:r>
      <w:r>
        <w:t xml:space="preserve">1.2</w:t>
      </w:r>
      <w:r>
        <w:t xml:space="preserve"> </w:t>
      </w:r>
      <w:r>
        <w:t xml:space="preserve">below. This principle is especially useful when the limit of a function at a point</w:t>
      </w:r>
      <w:r>
        <w:t xml:space="preserve"> </w:t>
      </w:r>
      <m:oMath>
        <m:r>
          <m:t>c</m:t>
        </m:r>
      </m:oMath>
      <w:r>
        <w:t xml:space="preserve"> </w:t>
      </w:r>
      <w:r>
        <w:t xml:space="preserve">is positive, as it says that there is a punctured neighbourhood around</w:t>
      </w:r>
      <w:r>
        <w:t xml:space="preserve"> </w:t>
      </w:r>
      <m:oMath>
        <m:r>
          <m:t>c</m:t>
        </m:r>
      </m:oMath>
      <w:r>
        <w:t xml:space="preserve"> </w:t>
      </w:r>
      <w:r>
        <w:t xml:space="preserve">in which the function remains positive.</w:t>
      </w:r>
    </w:p>
    <w:p>
      <w:pPr>
        <w:pStyle w:val="CaptionedFigure"/>
      </w:pPr>
      <w:r>
        <w:drawing>
          <wp:inline>
            <wp:extent cx="3810000" cy="2540000"/>
            <wp:effectExtent b="0" l="0" r="0" t="0"/>
            <wp:docPr descr="Figure 1.2: A diagram showing the inertia principle in action. This principle says that if a function approaches a limit at a point, there is always an interval in which the function stays within a specified distance of the limit" title="" id="1" name="Picture"/>
            <a:graphic>
              <a:graphicData uri="http://schemas.openxmlformats.org/drawingml/2006/picture">
                <pic:pic>
                  <pic:nvPicPr>
                    <pic:cNvPr descr="Inertia.svg" id="0"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1.2: A diagram showing the inertia principle in action. This principle says that if a function approaches a limit at a point, there is always an interval in which the function stays within a specified distance of the limit</w:t>
      </w:r>
    </w:p>
    <w:bookmarkEnd w:id="41"/>
    <w:bookmarkStart w:id="44" w:name="sequential-characterisation-of-limits"/>
    <w:p>
      <w:pPr>
        <w:pStyle w:val="Heading2"/>
      </w:pPr>
      <w:r>
        <w:t xml:space="preserve">Sequential Characterisation of Limits</w:t>
      </w:r>
    </w:p>
    <w:p>
      <w:pPr>
        <w:pStyle w:val="FirstParagraph"/>
      </w:pPr>
      <w:r>
        <w:t xml:space="preserve">Using an</w:t>
      </w:r>
      <w:r>
        <w:t xml:space="preserve"> </w:t>
      </w:r>
      <m:oMath>
        <m:r>
          <m:t>ϵ</m:t>
        </m:r>
      </m:oMath>
      <w:r>
        <w:t xml:space="preserve">-</w:t>
      </w:r>
      <m:oMath>
        <m:r>
          <m:t>δ</m:t>
        </m:r>
      </m:oMath>
      <w:r>
        <w:t xml:space="preserve"> </w:t>
      </w:r>
      <w:r>
        <w:t xml:space="preserve">definition of the limit is not the only way we can define the limit of a function! In fact, you’ve already seen something similar when dealing with sequential continuity last semester.</w:t>
      </w:r>
    </w:p>
    <w:p>
      <w:pPr>
        <w:pStyle w:val="BodyText"/>
      </w:pPr>
    </w:p>
    <w:p>
      <w:pPr>
        <w:pStyle w:val="BodyText"/>
      </w:pPr>
      <w:bookmarkStart w:id="42" w:name="thm:thm1"/>
      <w:bookmarkEnd w:id="42"/>
      <w:r>
        <w:rPr>
          <w:rStyle w:val="NameStyle"/>
        </w:rPr>
        <w:t xml:space="preserve">Theorem 1.4 (Sequential Characterisation of Limit)</w:t>
      </w:r>
      <w:r>
        <w:rPr>
          <w:rStyle w:val="NameStyle"/>
        </w:rPr>
        <w:t xml:space="preserve"> </w:t>
      </w:r>
    </w:p>
    <w:p>
      <w:pPr>
        <w:pStyle w:val="BodyText"/>
      </w:pPr>
      <w:r>
        <w:t xml:space="preserve">Let</w:t>
      </w:r>
      <w:r>
        <w:t xml:space="preserve"> </w:t>
      </w:r>
      <m:oMath>
        <m:r>
          <m:t>c</m:t>
        </m:r>
        <m:r>
          <m:rPr>
            <m:sty m:val="p"/>
          </m:rPr>
          <m:t>∈</m:t>
        </m:r>
        <m:r>
          <m:rPr>
            <m:sty m:val="p"/>
            <m:scr m:val="double-struck"/>
          </m:rPr>
          <m:t>R</m:t>
        </m:r>
      </m:oMath>
      <w:r>
        <w:t xml:space="preserve"> </w:t>
      </w:r>
      <w:r>
        <w:t xml:space="preserve">and let</w:t>
      </w:r>
      <w:r>
        <w:t xml:space="preserve"> </w:t>
      </w:r>
      <m:oMath>
        <m:r>
          <m:t>f</m:t>
        </m:r>
        <m:r>
          <m:rPr>
            <m:sty m:val="p"/>
          </m:rPr>
          <m:t>:</m:t>
        </m:r>
        <m:r>
          <m:t>D</m:t>
        </m:r>
        <m:r>
          <m:rPr>
            <m:sty m:val="p"/>
          </m:rPr>
          <m:t>→</m:t>
        </m:r>
        <m:r>
          <m:rPr>
            <m:sty m:val="p"/>
            <m:scr m:val="double-struck"/>
          </m:rPr>
          <m:t>R</m:t>
        </m:r>
      </m:oMath>
      <w:r>
        <w:t xml:space="preserve">, with</w:t>
      </w:r>
      <w:r>
        <w:t xml:space="preserve"> </w:t>
      </w:r>
      <m:oMath>
        <m:r>
          <m:t>D</m:t>
        </m:r>
      </m:oMath>
      <w:r>
        <w:t xml:space="preserve"> </w:t>
      </w:r>
      <w:r>
        <w:t xml:space="preserve">a punctured neighbourhood of</w:t>
      </w:r>
      <w:r>
        <w:t xml:space="preserve"> </w:t>
      </w:r>
      <m:oMath>
        <m:r>
          <m:t>c</m:t>
        </m:r>
      </m:oMath>
      <w:r>
        <w:t xml:space="preserve">. Then the following are equivalent</w:t>
      </w:r>
      <w:r>
        <w:rPr>
          <w:rStyle w:val="FootnoteReference"/>
        </w:rPr>
        <w:footnoteReference w:id="43"/>
      </w:r>
      <w:r>
        <w:t xml:space="preserve">:</w:t>
      </w:r>
    </w:p>
    <w:p>
      <w:pPr>
        <w:numPr>
          <w:ilvl w:val="0"/>
          <w:numId w:val="1003"/>
        </w:numPr>
      </w:pPr>
      <m:oMath>
        <m:sSub>
          <m:e>
            <m:r>
              <m:rPr>
                <m:nor/>
                <m:sty m:val="p"/>
              </m:rPr>
              <m:t>lim</m:t>
            </m:r>
          </m:e>
          <m:sub>
            <m:r>
              <m:t>x</m:t>
            </m:r>
            <m:r>
              <m:rPr>
                <m:sty m:val="p"/>
              </m:rPr>
              <m:t>→</m:t>
            </m:r>
            <m:r>
              <m:t>c</m:t>
            </m:r>
          </m:sub>
        </m:sSub>
        <m:r>
          <m:t>f</m:t>
        </m:r>
        <m:d>
          <m:dPr>
            <m:begChr m:val="("/>
            <m:endChr m:val=")"/>
            <m:sepChr m:val=""/>
            <m:grow/>
          </m:dPr>
          <m:e>
            <m:r>
              <m:t>x</m:t>
            </m:r>
          </m:e>
        </m:d>
        <m:r>
          <m:rPr>
            <m:sty m:val="p"/>
          </m:rPr>
          <m:t>=</m:t>
        </m:r>
        <m:r>
          <m:t>L</m:t>
        </m:r>
        <m:r>
          <m:rPr>
            <m:sty m:val="p"/>
          </m:rPr>
          <m:t>,</m:t>
        </m:r>
      </m:oMath>
    </w:p>
    <w:p>
      <w:pPr>
        <w:numPr>
          <w:ilvl w:val="0"/>
          <w:numId w:val="1003"/>
        </w:numPr>
      </w:pPr>
      <w:r>
        <w:t xml:space="preserve">For any sequence</w:t>
      </w:r>
      <w:r>
        <w:t xml:space="preserve"> </w:t>
      </w:r>
      <m:oMath>
        <m:sSub>
          <m:e>
            <m:d>
              <m:dPr>
                <m:begChr m:val="("/>
                <m:endChr m:val=")"/>
                <m:sepChr m:val=""/>
                <m:grow/>
              </m:dPr>
              <m:e>
                <m:sSub>
                  <m:e>
                    <m:r>
                      <m:t>x</m:t>
                    </m:r>
                  </m:e>
                  <m:sub>
                    <m:r>
                      <m:t>n</m:t>
                    </m:r>
                  </m:sub>
                </m:sSub>
              </m:e>
            </m:d>
          </m:e>
          <m:sub>
            <m:r>
              <m:t>n</m:t>
            </m:r>
          </m:sub>
        </m:sSub>
      </m:oMath>
      <w:r>
        <w:t xml:space="preserve"> </w:t>
      </w:r>
      <w:r>
        <w:t xml:space="preserve">in</w:t>
      </w:r>
      <w:r>
        <w:t xml:space="preserve"> </w:t>
      </w:r>
      <m:oMath>
        <m:r>
          <m:t>D</m:t>
        </m:r>
        <m:r>
          <m:rPr>
            <m:sty m:val="p"/>
          </m:rPr>
          <m:t>\</m:t>
        </m:r>
        <m:r>
          <m:rPr>
            <m:sty m:val="p"/>
          </m:rPr>
          <m:t>{</m:t>
        </m:r>
        <m:r>
          <m:t>c</m:t>
        </m:r>
        <m:r>
          <m:rPr>
            <m:sty m:val="p"/>
          </m:rPr>
          <m:t>}</m:t>
        </m:r>
      </m:oMath>
      <w:r>
        <w:t xml:space="preserve"> </w:t>
      </w:r>
      <w:r>
        <w:t xml:space="preserve">which converges to</w:t>
      </w:r>
      <w:r>
        <w:t xml:space="preserve"> </w:t>
      </w:r>
      <m:oMath>
        <m:r>
          <m:t>c</m:t>
        </m:r>
      </m:oMath>
      <w:r>
        <w:t xml:space="preserve">,</w:t>
      </w:r>
    </w:p>
    <w:p>
      <w:pPr>
        <w:pStyle w:val="BodyText"/>
      </w:pPr>
      <m:oMathPara>
        <m:oMathParaPr>
          <m:jc m:val="center"/>
        </m:oMathParaPr>
        <m:oMath>
          <m:limLow>
            <m:e>
              <m:r>
                <m:rPr>
                  <m:nor/>
                  <m:sty m:val="p"/>
                </m:rPr>
                <m:t>lim</m:t>
              </m:r>
            </m:e>
            <m:lim>
              <m:r>
                <m:t>n</m:t>
              </m:r>
              <m:r>
                <m:rPr>
                  <m:sty m:val="p"/>
                </m:rPr>
                <m:t>→</m:t>
              </m:r>
              <m:r>
                <m:rPr>
                  <m:sty m:val="p"/>
                </m:rPr>
                <m:t>∞</m:t>
              </m:r>
            </m:lim>
          </m:limLow>
          <m:r>
            <m:t>f</m:t>
          </m:r>
          <m:d>
            <m:dPr>
              <m:begChr m:val="("/>
              <m:endChr m:val=")"/>
              <m:sepChr m:val=""/>
              <m:grow/>
            </m:dPr>
            <m:e>
              <m:sSub>
                <m:e>
                  <m:r>
                    <m:t>x</m:t>
                  </m:r>
                </m:e>
                <m:sub>
                  <m:r>
                    <m:t>n</m:t>
                  </m:r>
                </m:sub>
              </m:sSub>
            </m:e>
          </m:d>
          <m:r>
            <m:rPr>
              <m:sty m:val="p"/>
            </m:rPr>
            <m:t>=</m:t>
          </m:r>
          <m:r>
            <m:t>L</m:t>
          </m:r>
          <m:r>
            <m:rPr>
              <m:sty m:val="p"/>
            </m:rPr>
            <m:t>.</m:t>
          </m:r>
        </m:oMath>
      </m:oMathPara>
    </w:p>
    <w:p>
      <w:pPr>
        <w:pStyle w:val="FirstParagraph"/>
      </w:pPr>
      <w:r>
        <w:t xml:space="preserve">Why should you be pleased about this theorem? This allows you to apply all your Semester 1 knowledge of sequences to functions (for example, the algebra of limits)! In particular, if you can find two sequences</w:t>
      </w:r>
      <w:r>
        <w:t xml:space="preserve"> </w:t>
      </w:r>
      <m:oMath>
        <m:sSub>
          <m:e>
            <m:d>
              <m:dPr>
                <m:begChr m:val="("/>
                <m:endChr m:val=")"/>
                <m:sepChr m:val=""/>
                <m:grow/>
              </m:dPr>
              <m:e>
                <m:sSub>
                  <m:e>
                    <m:r>
                      <m:t>x</m:t>
                    </m:r>
                  </m:e>
                  <m:sub>
                    <m:r>
                      <m:t>n</m:t>
                    </m:r>
                  </m:sub>
                </m:sSub>
              </m:e>
            </m:d>
          </m:e>
          <m:sub>
            <m:r>
              <m:t>n</m:t>
            </m:r>
          </m:sub>
        </m:sSub>
      </m:oMath>
      <w:r>
        <w:t xml:space="preserve"> </w:t>
      </w:r>
      <w:r>
        <w:t xml:space="preserve">and</w:t>
      </w:r>
      <w:r>
        <w:t xml:space="preserve"> </w:t>
      </w:r>
      <m:oMath>
        <m:sSub>
          <m:e>
            <m:d>
              <m:dPr>
                <m:begChr m:val="("/>
                <m:endChr m:val=")"/>
                <m:sepChr m:val=""/>
                <m:grow/>
              </m:dPr>
              <m:e>
                <m:sSub>
                  <m:e>
                    <m:r>
                      <m:t>y</m:t>
                    </m:r>
                  </m:e>
                  <m:sub>
                    <m:r>
                      <m:t>n</m:t>
                    </m:r>
                  </m:sub>
                </m:sSub>
              </m:e>
            </m:d>
          </m:e>
          <m:sub>
            <m:r>
              <m:t>n</m:t>
            </m:r>
          </m:sub>
        </m:sSub>
      </m:oMath>
      <w:r>
        <w:t xml:space="preserve"> </w:t>
      </w:r>
      <w:r>
        <w:t xml:space="preserve">in</w:t>
      </w:r>
      <w:r>
        <w:t xml:space="preserve"> </w:t>
      </w:r>
      <m:oMath>
        <m:r>
          <m:t>D</m:t>
        </m:r>
        <m:r>
          <m:rPr>
            <m:sty m:val="p"/>
          </m:rPr>
          <m:t>\</m:t>
        </m:r>
        <m:r>
          <m:rPr>
            <m:sty m:val="p"/>
          </m:rPr>
          <m:t>{</m:t>
        </m:r>
        <m:r>
          <m:t>c</m:t>
        </m:r>
        <m:r>
          <m:rPr>
            <m:sty m:val="p"/>
          </m:rPr>
          <m:t>}</m:t>
        </m:r>
      </m:oMath>
      <w:r>
        <w:t xml:space="preserve"> </w:t>
      </w:r>
      <w:r>
        <w:t xml:space="preserve">converging to</w:t>
      </w:r>
      <w:r>
        <w:t xml:space="preserve"> </w:t>
      </w:r>
      <m:oMath>
        <m:r>
          <m:t>c</m:t>
        </m:r>
      </m:oMath>
      <w:r>
        <w:t xml:space="preserve">, but the sequences</w:t>
      </w:r>
      <w:r>
        <w:t xml:space="preserve"> </w:t>
      </w:r>
      <m:oMath>
        <m:sSub>
          <m:e>
            <m:d>
              <m:dPr>
                <m:begChr m:val="("/>
                <m:endChr m:val=")"/>
                <m:sepChr m:val=""/>
                <m:grow/>
              </m:dPr>
              <m:e>
                <m:r>
                  <m:t>f</m:t>
                </m:r>
                <m:d>
                  <m:dPr>
                    <m:begChr m:val="("/>
                    <m:endChr m:val=")"/>
                    <m:sepChr m:val=""/>
                    <m:grow/>
                  </m:dPr>
                  <m:e>
                    <m:sSub>
                      <m:e>
                        <m:r>
                          <m:t>x</m:t>
                        </m:r>
                      </m:e>
                      <m:sub>
                        <m:r>
                          <m:t>n</m:t>
                        </m:r>
                      </m:sub>
                    </m:sSub>
                  </m:e>
                </m:d>
              </m:e>
            </m:d>
          </m:e>
          <m:sub>
            <m:r>
              <m:t>n</m:t>
            </m:r>
          </m:sub>
        </m:sSub>
      </m:oMath>
      <w:r>
        <w:t xml:space="preserve"> </w:t>
      </w:r>
      <w:r>
        <w:t xml:space="preserve">and</w:t>
      </w:r>
      <w:r>
        <w:t xml:space="preserve"> </w:t>
      </w:r>
      <m:oMath>
        <m:sSub>
          <m:e>
            <m:d>
              <m:dPr>
                <m:begChr m:val="("/>
                <m:endChr m:val=")"/>
                <m:sepChr m:val=""/>
                <m:grow/>
              </m:dPr>
              <m:e>
                <m:r>
                  <m:t>f</m:t>
                </m:r>
                <m:d>
                  <m:dPr>
                    <m:begChr m:val="("/>
                    <m:endChr m:val=")"/>
                    <m:sepChr m:val=""/>
                    <m:grow/>
                  </m:dPr>
                  <m:e>
                    <m:sSub>
                      <m:e>
                        <m:r>
                          <m:t>y</m:t>
                        </m:r>
                      </m:e>
                      <m:sub>
                        <m:r>
                          <m:t>n</m:t>
                        </m:r>
                      </m:sub>
                    </m:sSub>
                  </m:e>
                </m:d>
              </m:e>
            </m:d>
          </m:e>
          <m:sub>
            <m:r>
              <m:t>n</m:t>
            </m:r>
          </m:sub>
        </m:sSub>
      </m:oMath>
      <w:r>
        <w:t xml:space="preserve"> </w:t>
      </w:r>
      <w:r>
        <w:t xml:space="preserve">approach different limits, this gives you an easy way of proving that function limits do not exist.</w:t>
      </w:r>
    </w:p>
    <w:bookmarkEnd w:id="44"/>
    <w:bookmarkEnd w:id="45"/>
    <w:bookmarkStart w:id="46" w:name="hints"/>
    <w:p>
      <w:pPr>
        <w:pStyle w:val="Heading1"/>
      </w:pPr>
      <w:r>
        <w:t xml:space="preserve">Hints</w:t>
      </w:r>
    </w:p>
    <w:p>
      <w:pPr>
        <w:pStyle w:val="FirstParagraph"/>
      </w:pPr>
      <w:r>
        <w:t xml:space="preserve">In this section, you’ll find hints for the current week’s problem sheet. Try and have a go without them first, but hopefully these will help you solve the problems.</w:t>
      </w:r>
    </w:p>
    <w:p>
      <w:pPr>
        <w:numPr>
          <w:ilvl w:val="0"/>
          <w:numId w:val="1004"/>
        </w:numPr>
        <w:pStyle w:val="Compact"/>
      </w:pPr>
      <w:r>
        <w:t xml:space="preserve">This one is mostly similar to the examples seen in lectures and the one we did in the tutorial. You might have to make a choice of delta near the start of your argument though, just so that</w:t>
      </w:r>
      <w:r>
        <w:t xml:space="preserve"> </w:t>
      </w:r>
      <m:oMath>
        <m:r>
          <m:rPr>
            <m:sty m:val="p"/>
          </m:rPr>
          <m:t>|</m:t>
        </m:r>
        <m:r>
          <m:t>f</m:t>
        </m:r>
        <m:d>
          <m:dPr>
            <m:begChr m:val="("/>
            <m:endChr m:val=")"/>
            <m:sepChr m:val=""/>
            <m:grow/>
          </m:dPr>
          <m:e>
            <m:r>
              <m:t>x</m:t>
            </m:r>
          </m:e>
        </m:d>
        <m:r>
          <m:rPr>
            <m:sty m:val="p"/>
          </m:rPr>
          <m:t>−</m:t>
        </m:r>
        <m:r>
          <m:t>L</m:t>
        </m:r>
        <m:r>
          <m:rPr>
            <m:sty m:val="p"/>
          </m:rPr>
          <m:t>|</m:t>
        </m:r>
      </m:oMath>
      <w:r>
        <w:t xml:space="preserve"> </w:t>
      </w:r>
      <w:r>
        <w:t xml:space="preserve">is well defined.</w:t>
      </w:r>
    </w:p>
    <w:p>
      <w:pPr>
        <w:numPr>
          <w:ilvl w:val="0"/>
          <w:numId w:val="1004"/>
        </w:numPr>
        <w:pStyle w:val="Compact"/>
      </w:pPr>
      <w:r>
        <w:t xml:space="preserve">Try making a clever choice of epsilon in the definition of limit. Then you should be able to rearrange and find the required</w:t>
      </w:r>
      <w:r>
        <w:t xml:space="preserve"> </w:t>
      </w:r>
      <m:oMath>
        <m:sSub>
          <m:e>
            <m:r>
              <m:t>c</m:t>
            </m:r>
          </m:e>
          <m:sub>
            <m:r>
              <m:t>1</m:t>
            </m:r>
          </m:sub>
        </m:sSub>
      </m:oMath>
      <w:r>
        <w:t xml:space="preserve">,</w:t>
      </w:r>
      <w:r>
        <w:t xml:space="preserve"> </w:t>
      </w:r>
      <m:oMath>
        <m:sSub>
          <m:e>
            <m:r>
              <m:t>c</m:t>
            </m:r>
          </m:e>
          <m:sub>
            <m:r>
              <m:t>2</m:t>
            </m:r>
          </m:sub>
        </m:sSub>
      </m:oMath>
      <w:r>
        <w:t xml:space="preserve"> </w:t>
      </w:r>
      <w:r>
        <w:t xml:space="preserve">and</w:t>
      </w:r>
      <w:r>
        <w:t xml:space="preserve"> </w:t>
      </w:r>
      <m:oMath>
        <m:r>
          <m:t>δ</m:t>
        </m:r>
      </m:oMath>
      <w:r>
        <w:t xml:space="preserve">.</w:t>
      </w:r>
    </w:p>
    <w:p>
      <w:pPr>
        <w:numPr>
          <w:ilvl w:val="0"/>
          <w:numId w:val="1004"/>
        </w:numPr>
        <w:pStyle w:val="Compact"/>
      </w:pPr>
      <w:r>
        <w:t xml:space="preserve">Again, this is fairly similar to the ones we did in tutorials. Some Semester 1 material may also help here!</w:t>
      </w:r>
    </w:p>
    <w:bookmarkEnd w:id="46"/>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This can also be written</w:t>
      </w:r>
      <w:r>
        <w:t xml:space="preserve"> </w:t>
      </w:r>
      <m:oMath>
        <m:r>
          <m:t>f</m:t>
        </m:r>
        <m:d>
          <m:dPr>
            <m:begChr m:val="("/>
            <m:endChr m:val=")"/>
            <m:sepChr m:val=""/>
            <m:grow/>
          </m:dPr>
          <m:e>
            <m:r>
              <m:t>x</m:t>
            </m:r>
          </m:e>
        </m:d>
        <m:box>
          <m:boxPr>
            <m:opEmu m:val="1"/>
          </m:boxPr>
          <m:e>
            <m:r>
              <m:rPr>
                <m:sty m:val="p"/>
              </m:rPr>
              <m:t>↛</m:t>
            </m:r>
          </m:e>
        </m:box>
        <m:r>
          <m:t>L</m:t>
        </m:r>
      </m:oMath>
      <w:r>
        <w:t xml:space="preserve">.</w:t>
      </w:r>
    </w:p>
  </w:footnote>
  <w:footnote w:id="43">
    <w:p>
      <w:pPr>
        <w:pStyle w:val="FootnoteText"/>
      </w:pPr>
      <w:r>
        <w:rPr>
          <w:rStyle w:val="FootnoteReference"/>
        </w:rPr>
        <w:footnoteRef/>
      </w:r>
      <w:r>
        <w:t xml:space="preserve"> </w:t>
      </w:r>
      <w:r>
        <w:t xml:space="preserve">You may see this abbreviated to</w:t>
      </w:r>
      <w:r>
        <w:t xml:space="preserve"> </w:t>
      </w:r>
      <w:r>
        <w:t xml:space="preserve">‘</w:t>
      </w:r>
      <w:r>
        <w:t xml:space="preserve">TFAE</w:t>
      </w:r>
      <w:r>
        <w:t xml:space="preserve">’</w:t>
      </w:r>
      <w:r>
        <w:t xml:space="preserve"> </w:t>
      </w:r>
      <w:r>
        <w:t xml:space="preserve">in some contexts.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svg" /><Relationship Type="http://schemas.openxmlformats.org/officeDocument/2006/relationships/image" Id="rId40" Target="media/rId40.svg"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Tutorial 2</dc:title>
  <dc:creator>Christian Jones: University of Bath</dc:creator>
  <cp:keywords/>
  <dcterms:created xsi:type="dcterms:W3CDTF">2023-02-10T17:48:23Z</dcterms:created>
  <dcterms:modified xsi:type="dcterms:W3CDTF">2023-02-10T17:48:23Z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February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