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3</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3rd Analysis 1B Tutorial on the 20th February.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34" w:name="lecture-recap"/>
    <w:p>
      <w:pPr>
        <w:pStyle w:val="Heading1"/>
      </w:pPr>
      <w:r>
        <w:t xml:space="preserve">Lecture Recap</w:t>
      </w:r>
    </w:p>
    <w:bookmarkStart w:id="24" w:name="algebra-of-limits-for-functions"/>
    <w:p>
      <w:pPr>
        <w:pStyle w:val="Heading2"/>
      </w:pPr>
      <w:r>
        <w:t xml:space="preserve">Algebra of Limits for Functions</w:t>
      </w:r>
    </w:p>
    <w:p>
      <w:pPr>
        <w:pStyle w:val="FirstParagraph"/>
      </w:pPr>
      <w:r>
        <w:t xml:space="preserve">From last week, recall that we showed that we can characterise the limit of a function at a point in terms of sequences. This was brilliant, as it allowed us to apply the theory we derived in Semester 1 directly to functions. In particular, this gives us an easy way of finding the limits of sums and products of functions:</w:t>
      </w:r>
    </w:p>
    <w:p>
      <w:pPr>
        <w:pStyle w:val="BodyText"/>
      </w:pPr>
    </w:p>
    <w:p>
      <w:pPr>
        <w:pStyle w:val="BodyText"/>
      </w:pPr>
      <w:bookmarkStart w:id="23" w:name="thm:thm1"/>
      <w:bookmarkEnd w:id="23"/>
      <w:r>
        <w:rPr>
          <w:rStyle w:val="NameStyle"/>
        </w:rPr>
        <w:t xml:space="preserve">Theorem 1.1 (Algebra of Limits)</w:t>
      </w:r>
      <w:r>
        <w:rPr>
          <w:rStyle w:val="NameStyle"/>
        </w:rPr>
        <w:t xml:space="preserve"> </w:t>
      </w:r>
    </w:p>
    <w:p>
      <w:pPr>
        <w:pStyle w:val="BodyText"/>
      </w:pPr>
      <w:r>
        <w:t xml:space="preserve">Let</w:t>
      </w:r>
      <w:r>
        <w:t xml:space="preserve"> </w:t>
      </w:r>
      <m:oMath>
        <m:r>
          <m:t>c</m:t>
        </m:r>
        <m:r>
          <m:rPr>
            <m:sty m:val="p"/>
          </m:rPr>
          <m:t>,</m:t>
        </m:r>
        <m:r>
          <m:t>L</m:t>
        </m:r>
        <m:r>
          <m:rPr>
            <m:sty m:val="p"/>
          </m:rPr>
          <m:t>,</m:t>
        </m:r>
        <m:r>
          <m:t>M</m:t>
        </m:r>
        <m:r>
          <m:rPr>
            <m:sty m:val="p"/>
          </m:rPr>
          <m:t>,</m:t>
        </m:r>
        <m:r>
          <m:t>λ</m:t>
        </m:r>
        <m:r>
          <m:rPr>
            <m:sty m:val="p"/>
          </m:rPr>
          <m:t>∈</m:t>
        </m:r>
        <m:r>
          <m:rPr>
            <m:sty m:val="p"/>
            <m:scr m:val="double-struck"/>
          </m:rPr>
          <m:t>R</m:t>
        </m:r>
      </m:oMath>
      <w:r>
        <w:t xml:space="preserve">, and let</w:t>
      </w:r>
      <w:r>
        <w:t xml:space="preserve"> </w:t>
      </w:r>
      <m:oMath>
        <m:r>
          <m:t>f</m:t>
        </m:r>
        <m:r>
          <m:rPr>
            <m:sty m:val="p"/>
          </m:rPr>
          <m:t>,</m:t>
        </m:r>
        <m:r>
          <m:t>g</m:t>
        </m:r>
        <m:r>
          <m:rPr>
            <m:sty m:val="p"/>
          </m:rPr>
          <m:t>:</m:t>
        </m:r>
        <m:r>
          <m:t>D</m:t>
        </m:r>
        <m:r>
          <m:rPr>
            <m:sty m:val="p"/>
          </m:rPr>
          <m:t>→</m:t>
        </m:r>
        <m:r>
          <m:rPr>
            <m:sty m:val="p"/>
            <m:scr m:val="double-struck"/>
          </m:rPr>
          <m:t>R</m:t>
        </m:r>
      </m:oMath>
      <w:r>
        <w:t xml:space="preserve">, where</w:t>
      </w:r>
      <w:r>
        <w:t xml:space="preserve"> </w:t>
      </w:r>
      <m:oMath>
        <m:r>
          <m:t>D</m:t>
        </m:r>
      </m:oMath>
      <w:r>
        <w:t xml:space="preserve"> </w:t>
      </w:r>
      <w:r>
        <w:t xml:space="preserve">is a punctured neighbourhood of</w:t>
      </w:r>
      <w:r>
        <w:t xml:space="preserve"> </w:t>
      </w:r>
      <m:oMath>
        <m:r>
          <m:t>c</m:t>
        </m:r>
      </m:oMath>
      <w:r>
        <w:t xml:space="preserve">. Suppose</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and</w:t>
      </w:r>
      <w:r>
        <w:t xml:space="preserve"> </w:t>
      </w:r>
      <m:oMath>
        <m:sSub>
          <m:e>
            <m:r>
              <m:rPr>
                <m:nor/>
                <m:sty m:val="p"/>
              </m:rPr>
              <m:t>lim</m:t>
            </m:r>
          </m:e>
          <m:sub>
            <m:r>
              <m:t>x</m:t>
            </m:r>
            <m:r>
              <m:rPr>
                <m:sty m:val="p"/>
              </m:rPr>
              <m:t>→</m:t>
            </m:r>
            <m:r>
              <m:t>c</m:t>
            </m:r>
          </m:sub>
        </m:sSub>
        <m:r>
          <m:t>g</m:t>
        </m:r>
        <m:d>
          <m:dPr>
            <m:begChr m:val="("/>
            <m:endChr m:val=")"/>
            <m:sepChr m:val=""/>
            <m:grow/>
          </m:dPr>
          <m:e>
            <m:r>
              <m:t>x</m:t>
            </m:r>
          </m:e>
        </m:d>
        <m:r>
          <m:rPr>
            <m:sty m:val="p"/>
          </m:rPr>
          <m:t>=</m:t>
        </m:r>
        <m:r>
          <m:t>M</m:t>
        </m:r>
      </m:oMath>
      <w:r>
        <w:t xml:space="preserve">. Then:</w:t>
      </w:r>
    </w:p>
    <w:p>
      <w:pPr>
        <w:numPr>
          <w:ilvl w:val="0"/>
          <w:numId w:val="1001"/>
        </w:numPr>
      </w:pPr>
      <m:oMath>
        <m:sSub>
          <m:e>
            <m:r>
              <m:rPr>
                <m:nor/>
                <m:sty m:val="p"/>
              </m:rPr>
              <m:t>lim</m:t>
            </m:r>
          </m:e>
          <m:sub>
            <m:r>
              <m:t>x</m:t>
            </m:r>
            <m:r>
              <m:rPr>
                <m:sty m:val="p"/>
              </m:rPr>
              <m:t>→</m:t>
            </m:r>
            <m:r>
              <m:t>c</m:t>
            </m:r>
          </m:sub>
        </m:sSub>
        <m:d>
          <m:dPr>
            <m:begChr m:val="("/>
            <m:endChr m:val=")"/>
            <m:sepChr m:val=""/>
            <m:grow/>
          </m:dPr>
          <m:e>
            <m:r>
              <m:t>f</m:t>
            </m:r>
            <m:r>
              <m:rPr>
                <m:sty m:val="p"/>
              </m:rPr>
              <m:t>±</m:t>
            </m:r>
            <m:r>
              <m:t>g</m:t>
            </m:r>
          </m:e>
        </m:d>
        <m:d>
          <m:dPr>
            <m:begChr m:val="("/>
            <m:endChr m:val=")"/>
            <m:sepChr m:val=""/>
            <m:grow/>
          </m:dPr>
          <m:e>
            <m:r>
              <m:t>x</m:t>
            </m:r>
          </m:e>
        </m:d>
        <m:r>
          <m:rPr>
            <m:sty m:val="p"/>
          </m:rPr>
          <m:t>=</m:t>
        </m:r>
        <m:r>
          <m:t>L</m:t>
        </m:r>
        <m:r>
          <m:rPr>
            <m:sty m:val="p"/>
          </m:rPr>
          <m:t>±</m:t>
        </m:r>
        <m:r>
          <m:t>M</m:t>
        </m:r>
        <m:r>
          <m:rPr>
            <m:sty m:val="p"/>
          </m:rPr>
          <m:t>,</m:t>
        </m:r>
      </m:oMath>
    </w:p>
    <w:p>
      <w:pPr>
        <w:numPr>
          <w:ilvl w:val="0"/>
          <w:numId w:val="1001"/>
        </w:numPr>
      </w:pPr>
      <m:oMath>
        <m:sSub>
          <m:e>
            <m:r>
              <m:rPr>
                <m:nor/>
                <m:sty m:val="p"/>
              </m:rPr>
              <m:t>lim</m:t>
            </m:r>
          </m:e>
          <m:sub>
            <m:r>
              <m:t>x</m:t>
            </m:r>
            <m:r>
              <m:rPr>
                <m:sty m:val="p"/>
              </m:rPr>
              <m:t>→</m:t>
            </m:r>
            <m:r>
              <m:t>c</m:t>
            </m:r>
          </m:sub>
        </m:sSub>
        <m:r>
          <m:t>λ</m:t>
        </m:r>
        <m:r>
          <m:t>f</m:t>
        </m:r>
        <m:d>
          <m:dPr>
            <m:begChr m:val="("/>
            <m:endChr m:val=")"/>
            <m:sepChr m:val=""/>
            <m:grow/>
          </m:dPr>
          <m:e>
            <m:r>
              <m:t>x</m:t>
            </m:r>
          </m:e>
        </m:d>
        <m:r>
          <m:rPr>
            <m:sty m:val="p"/>
          </m:rPr>
          <m:t>=</m:t>
        </m:r>
        <m:r>
          <m:t>λ</m:t>
        </m:r>
        <m:r>
          <m:t>L</m:t>
        </m:r>
        <m:r>
          <m:rPr>
            <m:sty m:val="p"/>
          </m:rPr>
          <m:t>,</m:t>
        </m:r>
      </m:oMath>
    </w:p>
    <w:p>
      <w:pPr>
        <w:numPr>
          <w:ilvl w:val="0"/>
          <w:numId w:val="1001"/>
        </w:numPr>
      </w:pPr>
      <m:oMath>
        <m:sSub>
          <m:e>
            <m:r>
              <m:rPr>
                <m:nor/>
                <m:sty m:val="p"/>
              </m:rPr>
              <m:t>lim</m:t>
            </m:r>
          </m:e>
          <m:sub>
            <m:r>
              <m:t>x</m:t>
            </m:r>
            <m:r>
              <m:rPr>
                <m:sty m:val="p"/>
              </m:rPr>
              <m:t>→</m:t>
            </m:r>
            <m:r>
              <m:t>c</m:t>
            </m:r>
          </m:sub>
        </m:sSub>
        <m:d>
          <m:dPr>
            <m:begChr m:val="("/>
            <m:endChr m:val=")"/>
            <m:sepChr m:val=""/>
            <m:grow/>
          </m:dPr>
          <m:e>
            <m:r>
              <m:t>f</m:t>
            </m:r>
            <m:r>
              <m:t>g</m:t>
            </m:r>
          </m:e>
        </m:d>
        <m:d>
          <m:dPr>
            <m:begChr m:val="("/>
            <m:endChr m:val=")"/>
            <m:sepChr m:val=""/>
            <m:grow/>
          </m:dPr>
          <m:e>
            <m:r>
              <m:t>x</m:t>
            </m:r>
          </m:e>
        </m:d>
        <m:r>
          <m:rPr>
            <m:sty m:val="p"/>
          </m:rPr>
          <m:t>=</m:t>
        </m:r>
        <m:r>
          <m:t>L</m:t>
        </m:r>
        <m:r>
          <m:t>M</m:t>
        </m:r>
        <m:r>
          <m:rPr>
            <m:sty m:val="p"/>
          </m:rPr>
          <m:t>,</m:t>
        </m:r>
      </m:oMath>
    </w:p>
    <w:p>
      <w:pPr>
        <w:numPr>
          <w:ilvl w:val="0"/>
          <w:numId w:val="1001"/>
        </w:numPr>
      </w:pPr>
      <w:r>
        <w:t xml:space="preserve">If</w:t>
      </w:r>
      <w:r>
        <w:t xml:space="preserve"> </w:t>
      </w:r>
      <m:oMath>
        <m:r>
          <m:t>g</m:t>
        </m:r>
        <m:d>
          <m:dPr>
            <m:begChr m:val="("/>
            <m:endChr m:val=")"/>
            <m:sepChr m:val=""/>
            <m:grow/>
          </m:dPr>
          <m:e>
            <m:r>
              <m:t>x</m:t>
            </m:r>
          </m:e>
        </m:d>
        <m:r>
          <m:rPr>
            <m:sty m:val="p"/>
          </m:rPr>
          <m:t>≠</m:t>
        </m:r>
        <m:r>
          <m:t>0</m:t>
        </m:r>
        <m:r>
          <m:t> </m:t>
        </m:r>
        <m:r>
          <m:t> </m:t>
        </m:r>
        <m:r>
          <m:rPr>
            <m:sty m:val="p"/>
          </m:rPr>
          <m:t>∀</m:t>
        </m:r>
        <m:r>
          <m:t>x</m:t>
        </m:r>
        <m:r>
          <m:rPr>
            <m:sty m:val="p"/>
          </m:rPr>
          <m:t>∈</m:t>
        </m:r>
        <m:r>
          <m:t>D</m:t>
        </m:r>
      </m:oMath>
      <w:r>
        <w:t xml:space="preserve">, and</w:t>
      </w:r>
      <w:r>
        <w:t xml:space="preserve"> </w:t>
      </w:r>
      <m:oMath>
        <m:r>
          <m:t>M</m:t>
        </m:r>
        <m:r>
          <m:rPr>
            <m:sty m:val="p"/>
          </m:rPr>
          <m:t>≠</m:t>
        </m:r>
        <m:r>
          <m:t>0</m:t>
        </m:r>
      </m:oMath>
      <w:r>
        <w:t xml:space="preserve">, then</w:t>
      </w:r>
    </w:p>
    <w:p>
      <w:pPr>
        <w:pStyle w:val="BodyText"/>
      </w:pPr>
      <m:oMathPara>
        <m:oMathParaPr>
          <m:jc m:val="center"/>
        </m:oMathParaPr>
        <m:oMath>
          <m:limLow>
            <m:e>
              <m:r>
                <m:rPr>
                  <m:nor/>
                  <m:sty m:val="p"/>
                </m:rPr>
                <m:t>lim</m:t>
              </m:r>
            </m:e>
            <m:lim>
              <m:r>
                <m:t>x</m:t>
              </m:r>
              <m:r>
                <m:rPr>
                  <m:sty m:val="p"/>
                </m:rPr>
                <m:t>→</m:t>
              </m:r>
              <m:r>
                <m:t>c</m:t>
              </m:r>
            </m:lim>
          </m:limLow>
          <m:d>
            <m:dPr>
              <m:begChr m:val="("/>
              <m:endChr m:val=")"/>
              <m:sepChr m:val=""/>
              <m:grow/>
            </m:dPr>
            <m:e>
              <m:f>
                <m:fPr>
                  <m:type m:val="bar"/>
                </m:fPr>
                <m:num>
                  <m:r>
                    <m:t>f</m:t>
                  </m:r>
                </m:num>
                <m:den>
                  <m:r>
                    <m:t>g</m:t>
                  </m:r>
                </m:den>
              </m:f>
            </m:e>
          </m:d>
          <m:d>
            <m:dPr>
              <m:begChr m:val="("/>
              <m:endChr m:val=")"/>
              <m:sepChr m:val=""/>
              <m:grow/>
            </m:dPr>
            <m:e>
              <m:r>
                <m:t>x</m:t>
              </m:r>
            </m:e>
          </m:d>
          <m:r>
            <m:rPr>
              <m:sty m:val="p"/>
            </m:rPr>
            <m:t>=</m:t>
          </m:r>
          <m:f>
            <m:fPr>
              <m:type m:val="bar"/>
            </m:fPr>
            <m:num>
              <m:r>
                <m:t>L</m:t>
              </m:r>
            </m:num>
            <m:den>
              <m:r>
                <m:t>M</m:t>
              </m:r>
            </m:den>
          </m:f>
          <m:r>
            <m:rPr>
              <m:sty m:val="p"/>
            </m:rPr>
            <m:t>.</m:t>
          </m:r>
        </m:oMath>
      </m:oMathPara>
    </w:p>
    <w:p>
      <w:pPr>
        <w:pStyle w:val="FirstParagraph"/>
      </w:pPr>
      <w:r>
        <w:t xml:space="preserve">Note that here, we define the</w:t>
      </w:r>
      <w:r>
        <w:t xml:space="preserve"> </w:t>
      </w:r>
      <w:r>
        <w:rPr>
          <w:iCs/>
          <w:i/>
        </w:rPr>
        <w:t xml:space="preserve">product</w:t>
      </w:r>
      <w:r>
        <w:t xml:space="preserve"> </w:t>
      </w:r>
      <w:r>
        <w:t xml:space="preserve">of</w:t>
      </w:r>
      <w:r>
        <w:t xml:space="preserve"> </w:t>
      </w:r>
      <m:oMath>
        <m:r>
          <m:t>f</m:t>
        </m:r>
      </m:oMath>
      <w:r>
        <w:t xml:space="preserve"> </w:t>
      </w:r>
      <w:r>
        <w:t xml:space="preserve">and</w:t>
      </w:r>
      <w:r>
        <w:t xml:space="preserve"> </w:t>
      </w:r>
      <m:oMath>
        <m:r>
          <m:t>g</m:t>
        </m:r>
      </m:oMath>
      <w:r>
        <w:t xml:space="preserve"> </w:t>
      </w:r>
      <w:r>
        <w:t xml:space="preserve">by</w:t>
      </w:r>
      <w:r>
        <w:t xml:space="preserve"> </w:t>
      </w:r>
      <m:oMath>
        <m:d>
          <m:dPr>
            <m:begChr m:val="("/>
            <m:endChr m:val=")"/>
            <m:sepChr m:val=""/>
            <m:grow/>
          </m:dPr>
          <m:e>
            <m:r>
              <m:t>f</m:t>
            </m:r>
            <m:r>
              <m:t>g</m:t>
            </m:r>
          </m:e>
        </m:d>
        <m:d>
          <m:dPr>
            <m:begChr m:val="("/>
            <m:endChr m:val=")"/>
            <m:sepChr m:val=""/>
            <m:grow/>
          </m:dPr>
          <m:e>
            <m:r>
              <m:t>x</m:t>
            </m:r>
          </m:e>
        </m:d>
        <m:r>
          <m:rPr>
            <m:sty m:val="p"/>
          </m:rPr>
          <m:t>=</m:t>
        </m:r>
        <m:r>
          <m:t>f</m:t>
        </m:r>
        <m:d>
          <m:dPr>
            <m:begChr m:val="("/>
            <m:endChr m:val=")"/>
            <m:sepChr m:val=""/>
            <m:grow/>
          </m:dPr>
          <m:e>
            <m:r>
              <m:t>x</m:t>
            </m:r>
          </m:e>
        </m:d>
        <m:r>
          <m:t>g</m:t>
        </m:r>
        <m:d>
          <m:dPr>
            <m:begChr m:val="("/>
            <m:endChr m:val=")"/>
            <m:sepChr m:val=""/>
            <m:grow/>
          </m:dPr>
          <m:e>
            <m:r>
              <m:t>x</m:t>
            </m:r>
          </m:e>
        </m:d>
      </m:oMath>
      <w:r>
        <w:t xml:space="preserve"> </w:t>
      </w:r>
      <w:r>
        <w:t xml:space="preserve">— don’t get this confused with the composition</w:t>
      </w:r>
      <w:r>
        <w:t xml:space="preserve"> </w:t>
      </w:r>
      <m:oMath>
        <m:d>
          <m:dPr>
            <m:begChr m:val="("/>
            <m:endChr m:val=")"/>
            <m:sepChr m:val=""/>
            <m:grow/>
          </m:dPr>
          <m:e>
            <m:r>
              <m:t>f</m:t>
            </m:r>
            <m:r>
              <m:rPr>
                <m:sty m:val="p"/>
              </m:rPr>
              <m:t>∘</m:t>
            </m:r>
            <m:r>
              <m:t>g</m:t>
            </m:r>
          </m:e>
        </m:d>
        <m:d>
          <m:dPr>
            <m:begChr m:val="("/>
            <m:endChr m:val=")"/>
            <m:sepChr m:val=""/>
            <m:grow/>
          </m:dPr>
          <m:e>
            <m:r>
              <m:t>x</m:t>
            </m:r>
          </m:e>
        </m:d>
        <m:r>
          <m:rPr>
            <m:sty m:val="p"/>
          </m:rPr>
          <m:t>=</m:t>
        </m:r>
        <m:r>
          <m:t>f</m:t>
        </m:r>
        <m:d>
          <m:dPr>
            <m:begChr m:val="("/>
            <m:endChr m:val=")"/>
            <m:sepChr m:val=""/>
            <m:grow/>
          </m:dPr>
          <m:e>
            <m:r>
              <m:t>g</m:t>
            </m:r>
            <m:d>
              <m:dPr>
                <m:begChr m:val="("/>
                <m:endChr m:val=")"/>
                <m:sepChr m:val=""/>
                <m:grow/>
              </m:dPr>
              <m:e>
                <m:r>
                  <m:t>x</m:t>
                </m:r>
              </m:e>
            </m:d>
          </m:e>
        </m:d>
      </m:oMath>
      <w:r>
        <w:t xml:space="preserve">!</w:t>
      </w:r>
    </w:p>
    <w:bookmarkEnd w:id="24"/>
    <w:bookmarkStart w:id="29" w:name="left-and-right-limits"/>
    <w:p>
      <w:pPr>
        <w:pStyle w:val="Heading2"/>
      </w:pPr>
      <w:r>
        <w:t xml:space="preserve">Left and Right Limits</w:t>
      </w:r>
    </w:p>
    <w:p>
      <w:pPr>
        <w:pStyle w:val="FirstParagraph"/>
      </w:pPr>
      <w:r>
        <w:t xml:space="preserve">When finding the limit of a function</w:t>
      </w:r>
      <w:r>
        <w:t xml:space="preserve"> </w:t>
      </w:r>
      <m:oMath>
        <m:r>
          <m:t>f</m:t>
        </m:r>
      </m:oMath>
      <w:r>
        <w:t xml:space="preserve"> </w:t>
      </w:r>
      <w:r>
        <w:t xml:space="preserve">at a point</w:t>
      </w:r>
      <w:r>
        <w:t xml:space="preserve"> </w:t>
      </w:r>
      <m:oMath>
        <m:r>
          <m:t>c</m:t>
        </m:r>
      </m:oMath>
      <w:r>
        <w:t xml:space="preserve"> </w:t>
      </w:r>
      <w:r>
        <w:t xml:space="preserve">in the interior of its domain, we are free to approach</w:t>
      </w:r>
      <w:r>
        <w:t xml:space="preserve"> </w:t>
      </w:r>
      <m:oMath>
        <m:r>
          <m:t>c</m:t>
        </m:r>
      </m:oMath>
      <w:r>
        <w:t xml:space="preserve"> </w:t>
      </w:r>
      <w:r>
        <w:t xml:space="preserve">from whichever direction we like. However, we could equally restrict ourselves to approaching</w:t>
      </w:r>
      <w:r>
        <w:t xml:space="preserve"> </w:t>
      </w:r>
      <m:oMath>
        <m:r>
          <m:t>c</m:t>
        </m:r>
      </m:oMath>
      <w:r>
        <w:t xml:space="preserve"> </w:t>
      </w:r>
      <w:r>
        <w:t xml:space="preserve">only from the left or the right, and observing how the function values respond. This gives rise to the idea of</w:t>
      </w:r>
      <w:r>
        <w:t xml:space="preserve"> </w:t>
      </w:r>
      <w:r>
        <w:rPr>
          <w:iCs/>
          <w:i/>
        </w:rPr>
        <w:t xml:space="preserve">left and right hand limits</w:t>
      </w:r>
      <w:r>
        <w:t xml:space="preserve">.</w:t>
      </w:r>
    </w:p>
    <w:p>
      <w:pPr>
        <w:pStyle w:val="BodyText"/>
      </w:pPr>
    </w:p>
    <w:bookmarkStart w:id="26" w:name="def:def1"/>
    <w:p>
      <w:pPr>
        <w:pStyle w:val="DefinitionStyle"/>
      </w:pPr>
      <w:bookmarkStart w:id="25" w:name="def:def1"/>
      <w:bookmarkEnd w:id="25"/>
      <w:r>
        <w:rPr>
          <w:rStyle w:val="NameStyle"/>
        </w:rPr>
        <w:t xml:space="preserve">Definition 1.1 (Left and Right Hand Limits)</w:t>
      </w:r>
      <w:r>
        <w:rPr>
          <w:rStyle w:val="NameStyle"/>
        </w:rPr>
        <w:t xml:space="preserve"> </w:t>
      </w:r>
    </w:p>
    <w:p>
      <w:pPr>
        <w:pStyle w:val="DefinitionStyle"/>
      </w:pPr>
      <w:r>
        <w:t xml:space="preserve">Let</w:t>
      </w:r>
      <w:r>
        <w:t xml:space="preserve"> </w:t>
      </w:r>
      <m:oMath>
        <m:r>
          <m:t>c</m:t>
        </m:r>
        <m:r>
          <m:rPr>
            <m:sty m:val="p"/>
          </m:rPr>
          <m:t>,</m:t>
        </m:r>
        <m:r>
          <m:t>L</m:t>
        </m:r>
        <m:r>
          <m:rPr>
            <m:sty m:val="p"/>
          </m:rPr>
          <m:t>,</m:t>
        </m:r>
        <m:r>
          <m:t>M</m:t>
        </m:r>
        <m:r>
          <m:rPr>
            <m:sty m:val="p"/>
          </m:rPr>
          <m:t>∈</m:t>
        </m:r>
        <m:r>
          <m:rPr>
            <m:sty m:val="p"/>
            <m:scr m:val="double-struck"/>
          </m:rPr>
          <m:t>R</m:t>
        </m:r>
      </m:oMath>
      <w:r>
        <w:t xml:space="preserve">, and let</w:t>
      </w:r>
      <w:r>
        <w:t xml:space="preserve"> </w:t>
      </w:r>
      <m:oMath>
        <m:r>
          <m:t>f</m:t>
        </m:r>
        <m:r>
          <m:rPr>
            <m:sty m:val="p"/>
          </m:rPr>
          <m:t>:</m:t>
        </m:r>
        <m:r>
          <m:t>D</m:t>
        </m:r>
        <m:r>
          <m:rPr>
            <m:sty m:val="p"/>
          </m:rPr>
          <m:t>→</m:t>
        </m:r>
        <m:r>
          <m:rPr>
            <m:sty m:val="p"/>
            <m:scr m:val="double-struck"/>
          </m:rPr>
          <m:t>R</m:t>
        </m:r>
      </m:oMath>
      <w:r>
        <w:t xml:space="preserve">.</w:t>
      </w:r>
    </w:p>
    <w:p>
      <w:pPr>
        <w:numPr>
          <w:ilvl w:val="0"/>
          <w:numId w:val="1002"/>
        </w:numPr>
        <w:pStyle w:val="Compact"/>
      </w:pPr>
      <w:r>
        <w:t xml:space="preserve">Suppose</w:t>
      </w:r>
      <w:r>
        <w:t xml:space="preserve"> </w:t>
      </w:r>
      <m:oMath>
        <m:r>
          <m:rPr>
            <m:sty m:val="p"/>
          </m:rPr>
          <m:t>∃</m:t>
        </m:r>
        <m:sSub>
          <m:e>
            <m:r>
              <m:t>δ</m:t>
            </m:r>
          </m:e>
          <m:sub>
            <m:r>
              <m:t>0</m:t>
            </m:r>
          </m:sub>
        </m:sSub>
        <m:r>
          <m:rPr>
            <m:sty m:val="p"/>
          </m:rPr>
          <m:t>&gt;</m:t>
        </m:r>
        <m:r>
          <m:t>0</m:t>
        </m:r>
      </m:oMath>
      <w:r>
        <w:t xml:space="preserve"> </w:t>
      </w:r>
      <w:r>
        <w:t xml:space="preserve">such that</w:t>
      </w:r>
      <w:r>
        <w:t xml:space="preserve"> </w:t>
      </w:r>
      <m:oMath>
        <m:d>
          <m:dPr>
            <m:begChr m:val="("/>
            <m:endChr m:val=")"/>
            <m:sepChr m:val=""/>
            <m:grow/>
          </m:dPr>
          <m:e>
            <m:r>
              <m:t>c</m:t>
            </m:r>
            <m:r>
              <m:rPr>
                <m:sty m:val="p"/>
              </m:rPr>
              <m:t>,</m:t>
            </m:r>
            <m:r>
              <m:t>c</m:t>
            </m:r>
            <m:r>
              <m:rPr>
                <m:sty m:val="p"/>
              </m:rPr>
              <m:t>+</m:t>
            </m:r>
            <m:sSub>
              <m:e>
                <m:r>
                  <m:t>δ</m:t>
                </m:r>
              </m:e>
              <m:sub>
                <m:r>
                  <m:t>0</m:t>
                </m:r>
              </m:sub>
            </m:sSub>
          </m:e>
        </m:d>
        <m:r>
          <m:rPr>
            <m:sty m:val="p"/>
          </m:rPr>
          <m:t>⊆</m:t>
        </m:r>
        <m:r>
          <m:t>D</m:t>
        </m:r>
      </m:oMath>
      <w:r>
        <w:t xml:space="preserve">. Then</w:t>
      </w:r>
      <w:r>
        <w:t xml:space="preserve"> </w:t>
      </w:r>
      <m:oMath>
        <m:sSub>
          <m:e>
            <m:r>
              <m:rPr>
                <m:nor/>
                <m:sty m:val="p"/>
              </m:rPr>
              <m:t>lim</m:t>
            </m:r>
          </m:e>
          <m:sub>
            <m:r>
              <m:t>x</m:t>
            </m:r>
            <m:r>
              <m:rPr>
                <m:sty m:val="p"/>
              </m:rPr>
              <m:t>→</m:t>
            </m:r>
            <m:sSup>
              <m:e>
                <m:r>
                  <m:t>c</m:t>
                </m:r>
              </m:e>
              <m:sup>
                <m:r>
                  <m:rPr>
                    <m:sty m:val="p"/>
                  </m:rPr>
                  <m:t>+</m:t>
                </m:r>
              </m:sup>
            </m:sSup>
          </m:sub>
        </m:sSub>
        <m:r>
          <m:t>f</m:t>
        </m:r>
        <m:d>
          <m:dPr>
            <m:begChr m:val="("/>
            <m:endChr m:val=")"/>
            <m:sepChr m:val=""/>
            <m:grow/>
          </m:dPr>
          <m:e>
            <m:r>
              <m:t>x</m:t>
            </m:r>
          </m:e>
        </m:d>
        <m:r>
          <m:rPr>
            <m:sty m:val="p"/>
          </m:rPr>
          <m:t>=</m:t>
        </m:r>
        <m:r>
          <m:t>L</m:t>
        </m:r>
      </m:oMath>
      <w:r>
        <w:t xml:space="preserve"> </w:t>
      </w:r>
      <w:r>
        <w:t xml:space="preserve">means that</w:t>
      </w:r>
    </w:p>
    <w:p>
      <w:pPr>
        <w:pStyle w:val="Compact"/>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t>0</m:t>
          </m:r>
          <m:r>
            <m:rPr>
              <m:sty m:val="p"/>
            </m:rPr>
            <m:t>&lt;</m:t>
          </m:r>
          <m:r>
            <m:t>x</m:t>
          </m:r>
          <m:r>
            <m:rPr>
              <m:sty m:val="p"/>
            </m:rPr>
            <m:t>−</m:t>
          </m:r>
          <m:r>
            <m:t>c</m:t>
          </m:r>
          <m:r>
            <m:rPr>
              <m:sty m:val="p"/>
            </m:rPr>
            <m:t>&lt;</m:t>
          </m:r>
          <m:r>
            <m:t>δ</m:t>
          </m:r>
          <m:r>
            <m:rPr>
              <m:sty m:val="p"/>
            </m:rPr>
            <m:t>⇒</m:t>
          </m:r>
          <m:r>
            <m:rPr>
              <m:sty m:val="p"/>
            </m:rPr>
            <m:t>|</m:t>
          </m:r>
          <m:r>
            <m:t>f</m:t>
          </m:r>
          <m:d>
            <m:dPr>
              <m:begChr m:val="("/>
              <m:endChr m:val=")"/>
              <m:sepChr m:val=""/>
              <m:grow/>
            </m:dPr>
            <m:e>
              <m:r>
                <m:t>x</m:t>
              </m:r>
            </m:e>
          </m:d>
          <m:r>
            <m:rPr>
              <m:sty m:val="p"/>
            </m:rPr>
            <m:t>−</m:t>
          </m:r>
          <m:r>
            <m:t>L</m:t>
          </m:r>
          <m:r>
            <m:rPr>
              <m:sty m:val="p"/>
            </m:rPr>
            <m:t>|</m:t>
          </m:r>
          <m:r>
            <m:rPr>
              <m:sty m:val="p"/>
            </m:rPr>
            <m:t>&lt;</m:t>
          </m:r>
          <m:r>
            <m:t>ϵ</m:t>
          </m:r>
          <m:r>
            <m:rPr>
              <m:sty m:val="p"/>
            </m:rPr>
            <m:t>.</m:t>
          </m:r>
        </m:oMath>
      </m:oMathPara>
    </w:p>
    <w:p>
      <w:pPr>
        <w:numPr>
          <w:ilvl w:val="0"/>
          <w:numId w:val="1002"/>
        </w:numPr>
        <w:pStyle w:val="Compact"/>
      </w:pPr>
      <w:r>
        <w:t xml:space="preserve">This is the</w:t>
      </w:r>
      <w:r>
        <w:t xml:space="preserve"> </w:t>
      </w:r>
      <w:r>
        <w:rPr>
          <w:iCs/>
          <w:i/>
        </w:rPr>
        <w:t xml:space="preserve">right-hand limit</w:t>
      </w:r>
      <w:r>
        <w:t xml:space="preserve"> </w:t>
      </w:r>
      <w:r>
        <w:t xml:space="preserve">at</w:t>
      </w:r>
      <w:r>
        <w:t xml:space="preserve"> </w:t>
      </w:r>
      <m:oMath>
        <m:r>
          <m:t>c</m:t>
        </m:r>
      </m:oMath>
      <w:r>
        <w:t xml:space="preserve">.</w:t>
      </w:r>
    </w:p>
    <w:p>
      <w:pPr>
        <w:numPr>
          <w:ilvl w:val="0"/>
          <w:numId w:val="1002"/>
        </w:numPr>
        <w:pStyle w:val="Compact"/>
      </w:pPr>
      <w:r>
        <w:t xml:space="preserve">Suppose</w:t>
      </w:r>
      <w:r>
        <w:t xml:space="preserve"> </w:t>
      </w:r>
      <m:oMath>
        <m:r>
          <m:rPr>
            <m:sty m:val="p"/>
          </m:rPr>
          <m:t>∃</m:t>
        </m:r>
        <m:sSub>
          <m:e>
            <m:r>
              <m:t>δ</m:t>
            </m:r>
          </m:e>
          <m:sub>
            <m:r>
              <m:t>0</m:t>
            </m:r>
          </m:sub>
        </m:sSub>
        <m:r>
          <m:rPr>
            <m:sty m:val="p"/>
          </m:rPr>
          <m:t>&gt;</m:t>
        </m:r>
        <m:r>
          <m:t>0</m:t>
        </m:r>
      </m:oMath>
      <w:r>
        <w:t xml:space="preserve"> </w:t>
      </w:r>
      <w:r>
        <w:t xml:space="preserve">such that</w:t>
      </w:r>
      <w:r>
        <w:t xml:space="preserve"> </w:t>
      </w:r>
      <m:oMath>
        <m:d>
          <m:dPr>
            <m:begChr m:val="("/>
            <m:endChr m:val=")"/>
            <m:sepChr m:val=""/>
            <m:grow/>
          </m:dPr>
          <m:e>
            <m:r>
              <m:t>c</m:t>
            </m:r>
            <m:r>
              <m:rPr>
                <m:sty m:val="p"/>
              </m:rPr>
              <m:t>−</m:t>
            </m:r>
            <m:sSub>
              <m:e>
                <m:r>
                  <m:t>δ</m:t>
                </m:r>
              </m:e>
              <m:sub>
                <m:r>
                  <m:t>0</m:t>
                </m:r>
              </m:sub>
            </m:sSub>
            <m:r>
              <m:rPr>
                <m:sty m:val="p"/>
              </m:rPr>
              <m:t>,</m:t>
            </m:r>
            <m:r>
              <m:t>c</m:t>
            </m:r>
          </m:e>
        </m:d>
        <m:r>
          <m:rPr>
            <m:sty m:val="p"/>
          </m:rPr>
          <m:t>⊆</m:t>
        </m:r>
        <m:r>
          <m:t>D</m:t>
        </m:r>
      </m:oMath>
      <w:r>
        <w:t xml:space="preserve">. Then</w:t>
      </w:r>
      <w:r>
        <w:t xml:space="preserve"> </w:t>
      </w:r>
      <m:oMath>
        <m:sSub>
          <m:e>
            <m:r>
              <m:rPr>
                <m:nor/>
                <m:sty m:val="p"/>
              </m:rPr>
              <m:t>lim</m:t>
            </m:r>
          </m:e>
          <m:sub>
            <m:r>
              <m:t>x</m:t>
            </m:r>
            <m:r>
              <m:rPr>
                <m:sty m:val="p"/>
              </m:rPr>
              <m:t>→</m:t>
            </m:r>
            <m:sSup>
              <m:e>
                <m:r>
                  <m:t>c</m:t>
                </m:r>
              </m:e>
              <m:sup>
                <m:r>
                  <m:rPr>
                    <m:sty m:val="p"/>
                  </m:rPr>
                  <m:t>−</m:t>
                </m:r>
              </m:sup>
            </m:sSup>
          </m:sub>
        </m:sSub>
        <m:r>
          <m:t>f</m:t>
        </m:r>
        <m:d>
          <m:dPr>
            <m:begChr m:val="("/>
            <m:endChr m:val=")"/>
            <m:sepChr m:val=""/>
            <m:grow/>
          </m:dPr>
          <m:e>
            <m:r>
              <m:t>x</m:t>
            </m:r>
          </m:e>
        </m:d>
        <m:r>
          <m:rPr>
            <m:sty m:val="p"/>
          </m:rPr>
          <m:t>=</m:t>
        </m:r>
        <m:r>
          <m:t>M</m:t>
        </m:r>
      </m:oMath>
      <w:r>
        <w:t xml:space="preserve"> </w:t>
      </w:r>
      <w:r>
        <w:t xml:space="preserve">means that</w:t>
      </w:r>
    </w:p>
    <w:p>
      <w:pPr>
        <w:pStyle w:val="Compact"/>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t>0</m:t>
          </m:r>
          <m:r>
            <m:rPr>
              <m:sty m:val="p"/>
            </m:rPr>
            <m:t>&lt;</m:t>
          </m:r>
          <m:r>
            <m:t>x</m:t>
          </m:r>
          <m:r>
            <m:rPr>
              <m:sty m:val="p"/>
            </m:rPr>
            <m:t>−</m:t>
          </m:r>
          <m:r>
            <m:t>c</m:t>
          </m:r>
          <m:r>
            <m:rPr>
              <m:sty m:val="p"/>
            </m:rPr>
            <m:t>&lt;</m:t>
          </m:r>
          <m:r>
            <m:t>δ</m:t>
          </m:r>
          <m:r>
            <m:rPr>
              <m:sty m:val="p"/>
            </m:rPr>
            <m:t>⇒</m:t>
          </m:r>
          <m:r>
            <m:rPr>
              <m:sty m:val="p"/>
            </m:rPr>
            <m:t>|</m:t>
          </m:r>
          <m:r>
            <m:t>f</m:t>
          </m:r>
          <m:d>
            <m:dPr>
              <m:begChr m:val="("/>
              <m:endChr m:val=")"/>
              <m:sepChr m:val=""/>
              <m:grow/>
            </m:dPr>
            <m:e>
              <m:r>
                <m:t>x</m:t>
              </m:r>
            </m:e>
          </m:d>
          <m:r>
            <m:rPr>
              <m:sty m:val="p"/>
            </m:rPr>
            <m:t>−</m:t>
          </m:r>
          <m:r>
            <m:t>M</m:t>
          </m:r>
          <m:r>
            <m:rPr>
              <m:sty m:val="p"/>
            </m:rPr>
            <m:t>|</m:t>
          </m:r>
          <m:r>
            <m:rPr>
              <m:sty m:val="p"/>
            </m:rPr>
            <m:t>&lt;</m:t>
          </m:r>
          <m:r>
            <m:t>ϵ</m:t>
          </m:r>
          <m:r>
            <m:rPr>
              <m:sty m:val="p"/>
            </m:rPr>
            <m:t>.</m:t>
          </m:r>
        </m:oMath>
      </m:oMathPara>
    </w:p>
    <w:p>
      <w:pPr>
        <w:numPr>
          <w:ilvl w:val="0"/>
          <w:numId w:val="1002"/>
        </w:numPr>
        <w:pStyle w:val="Compact"/>
      </w:pPr>
      <w:r>
        <w:t xml:space="preserve">This is the</w:t>
      </w:r>
      <w:r>
        <w:t xml:space="preserve"> </w:t>
      </w:r>
      <w:r>
        <w:rPr>
          <w:iCs/>
          <w:i/>
        </w:rPr>
        <w:t xml:space="preserve">left-hand limit</w:t>
      </w:r>
      <w:r>
        <w:t xml:space="preserve"> </w:t>
      </w:r>
      <w:r>
        <w:t xml:space="preserve">at</w:t>
      </w:r>
      <w:r>
        <w:t xml:space="preserve"> </w:t>
      </w:r>
      <m:oMath>
        <m:r>
          <m:t>c</m:t>
        </m:r>
      </m:oMath>
      <w:r>
        <w:t xml:space="preserve">.</w:t>
      </w:r>
    </w:p>
    <w:bookmarkEnd w:id="26"/>
    <w:p>
      <w:pPr>
        <w:pStyle w:val="FirstParagraph"/>
      </w:pPr>
      <w:r>
        <w:t xml:space="preserve">As the names suggest, we approach</w:t>
      </w:r>
      <w:r>
        <w:t xml:space="preserve"> </w:t>
      </w:r>
      <m:oMath>
        <m:r>
          <m:t>c</m:t>
        </m:r>
      </m:oMath>
      <w:r>
        <w:t xml:space="preserve"> </w:t>
      </w:r>
      <w:r>
        <w:t xml:space="preserve">from the left when calculating the left-hand limit, and we approach</w:t>
      </w:r>
      <w:r>
        <w:t xml:space="preserve"> </w:t>
      </w:r>
      <m:oMath>
        <m:r>
          <m:t>c</m:t>
        </m:r>
      </m:oMath>
      <w:r>
        <w:t xml:space="preserve"> </w:t>
      </w:r>
      <w:r>
        <w:t xml:space="preserve">from the right when calculating the right-hand limit. It also turns out that these objects can be very useful in calculating function limits, especially when the function is defined piecewise:</w:t>
      </w:r>
    </w:p>
    <w:p>
      <w:pPr>
        <w:pStyle w:val="BodyText"/>
      </w:pPr>
    </w:p>
    <w:bookmarkStart w:id="28" w:name="prp:prop1"/>
    <w:p>
      <w:pPr>
        <w:pStyle w:val="TheoremStyleUpright"/>
      </w:pPr>
      <w:bookmarkStart w:id="27" w:name="prp:prop1"/>
      <w:bookmarkEnd w:id="27"/>
      <w:r>
        <w:rPr>
          <w:rStyle w:val="NameStyle"/>
        </w:rPr>
        <w:t xml:space="preserve">Proposition 1.2</w:t>
      </w:r>
      <w:r>
        <w:rPr>
          <w:rStyle w:val="NameStyle"/>
        </w:rPr>
        <w:t xml:space="preserve"> </w:t>
      </w:r>
    </w:p>
    <w:p>
      <w:pPr>
        <w:pStyle w:val="TheoremStyleUpright"/>
      </w:pPr>
      <w:r>
        <w:t xml:space="preserve">Let</w:t>
      </w:r>
      <w:r>
        <w:t xml:space="preserve"> </w:t>
      </w:r>
      <m:oMath>
        <m:r>
          <m:t>c</m:t>
        </m:r>
        <m:r>
          <m:rPr>
            <m:sty m:val="p"/>
          </m:rPr>
          <m:t>∈</m:t>
        </m:r>
        <m:r>
          <m:rPr>
            <m:sty m:val="p"/>
            <m:scr m:val="double-struck"/>
          </m:rPr>
          <m:t>R</m:t>
        </m:r>
      </m:oMath>
      <w:r>
        <w:t xml:space="preserve">, and let</w:t>
      </w:r>
      <w:r>
        <w:t xml:space="preserve"> </w:t>
      </w:r>
      <m:oMath>
        <m:r>
          <m:t>f</m:t>
        </m:r>
        <m:r>
          <m:rPr>
            <m:sty m:val="p"/>
          </m:rPr>
          <m:t>:</m:t>
        </m:r>
        <m:r>
          <m:t>D</m:t>
        </m:r>
        <m:r>
          <m:rPr>
            <m:sty m:val="p"/>
          </m:rPr>
          <m:t>→</m:t>
        </m:r>
        <m:r>
          <m:rPr>
            <m:sty m:val="p"/>
            <m:scr m:val="double-struck"/>
          </m:rPr>
          <m:t>R</m:t>
        </m:r>
      </m:oMath>
      <w:r>
        <w:t xml:space="preserve">, where</w:t>
      </w:r>
      <w:r>
        <w:t xml:space="preserve"> </w:t>
      </w:r>
      <m:oMath>
        <m:r>
          <m:t>D</m:t>
        </m:r>
      </m:oMath>
      <w:r>
        <w:t xml:space="preserve"> </w:t>
      </w:r>
      <w:r>
        <w:t xml:space="preserve">is a punctured neighbourhood of</w:t>
      </w:r>
      <w:r>
        <w:t xml:space="preserve"> </w:t>
      </w:r>
      <m:oMath>
        <m:r>
          <m:t>c</m:t>
        </m:r>
      </m:oMath>
      <w:r>
        <w:t xml:space="preserve">. Then</w:t>
      </w:r>
      <w:r>
        <w:t xml:space="preserve"> </w:t>
      </w:r>
      <m:oMath>
        <m:sSub>
          <m:e>
            <m:r>
              <m:rPr>
                <m:nor/>
                <m:sty m:val="p"/>
              </m:rPr>
              <m:t>lim</m:t>
            </m:r>
          </m:e>
          <m:sub>
            <m:r>
              <m:t>x</m:t>
            </m:r>
            <m:r>
              <m:rPr>
                <m:sty m:val="p"/>
              </m:rPr>
              <m:t>→</m:t>
            </m:r>
            <m:r>
              <m:t>c</m:t>
            </m:r>
          </m:sub>
        </m:sSub>
        <m:r>
          <m:t>f</m:t>
        </m:r>
        <m:d>
          <m:dPr>
            <m:begChr m:val="("/>
            <m:endChr m:val=")"/>
            <m:sepChr m:val=""/>
            <m:grow/>
          </m:dPr>
          <m:e>
            <m:r>
              <m:t>x</m:t>
            </m:r>
          </m:e>
        </m:d>
      </m:oMath>
      <w:r>
        <w:t xml:space="preserve"> </w:t>
      </w:r>
      <w:r>
        <w:t xml:space="preserve">exists if and only if both the left and right hand limits exist, and are equal.</w:t>
      </w:r>
    </w:p>
    <w:bookmarkEnd w:id="28"/>
    <w:p>
      <w:pPr>
        <w:pStyle w:val="BodyText"/>
      </w:pPr>
      <w:r>
        <w:t xml:space="preserve">Finally, note that if we had a function on a domain such as</w:t>
      </w:r>
      <w:r>
        <w:t xml:space="preserve"> </w:t>
      </w:r>
      <m:oMath>
        <m:r>
          <m:t>D</m:t>
        </m:r>
        <m:r>
          <m:rPr>
            <m:sty m:val="p"/>
          </m:rPr>
          <m:t>=</m:t>
        </m:r>
        <m:d>
          <m:dPr>
            <m:begChr m:val="["/>
            <m:endChr m:val="]"/>
            <m:sepChr m:val=""/>
            <m:grow/>
          </m:dPr>
          <m:e>
            <m:r>
              <m:rPr>
                <m:sty m:val="p"/>
              </m:rPr>
              <m:t>−</m:t>
            </m:r>
            <m:r>
              <m:t>1</m:t>
            </m:r>
            <m:r>
              <m:rPr>
                <m:sty m:val="p"/>
              </m:rPr>
              <m:t>,</m:t>
            </m:r>
            <m:r>
              <m:t>2</m:t>
            </m:r>
          </m:e>
        </m:d>
      </m:oMath>
      <w:r>
        <w:t xml:space="preserve">, we could only search for the right hand limit at</w:t>
      </w:r>
      <w:r>
        <w:t xml:space="preserve"> </w:t>
      </w:r>
      <m:oMath>
        <m:r>
          <m:t>c</m:t>
        </m:r>
        <m:r>
          <m:rPr>
            <m:sty m:val="p"/>
          </m:rPr>
          <m:t>=</m:t>
        </m:r>
        <m:r>
          <m:rPr>
            <m:sty m:val="p"/>
          </m:rPr>
          <m:t>−</m:t>
        </m:r>
        <m:r>
          <m:t>1</m:t>
        </m:r>
      </m:oMath>
      <w:r>
        <w:t xml:space="preserve">, and the left hand limit at</w:t>
      </w:r>
      <w:r>
        <w:t xml:space="preserve"> </w:t>
      </w:r>
      <m:oMath>
        <m:r>
          <m:t>c</m:t>
        </m:r>
        <m:r>
          <m:rPr>
            <m:sty m:val="p"/>
          </m:rPr>
          <m:t>=</m:t>
        </m:r>
        <m:r>
          <m:t>2</m:t>
        </m:r>
      </m:oMath>
      <w:r>
        <w:t xml:space="preserve">. This is because there is no way we could approach these elements of the domain from the left or right respectively.</w:t>
      </w:r>
    </w:p>
    <w:bookmarkEnd w:id="29"/>
    <w:bookmarkStart w:id="33" w:name="continuity"/>
    <w:p>
      <w:pPr>
        <w:pStyle w:val="Heading2"/>
      </w:pPr>
      <w:r>
        <w:t xml:space="preserve">Continuity</w:t>
      </w:r>
    </w:p>
    <w:p>
      <w:pPr>
        <w:pStyle w:val="FirstParagraph"/>
      </w:pPr>
      <w:r>
        <w:t xml:space="preserve">A stronger statement than requiring a function to have a limit at a value</w:t>
      </w:r>
      <w:r>
        <w:t xml:space="preserve"> </w:t>
      </w:r>
      <m:oMath>
        <m:r>
          <m:t>c</m:t>
        </m:r>
      </m:oMath>
      <w:r>
        <w:t xml:space="preserve"> </w:t>
      </w:r>
      <w:r>
        <w:t xml:space="preserve">is for that function to be continuous. Up until now, you may have thought of a continuous function as one that can be drawn without taking your pen off the page. We can make that idea more precise in the following definition:</w:t>
      </w:r>
    </w:p>
    <w:p>
      <w:pPr>
        <w:pStyle w:val="BodyText"/>
      </w:pPr>
    </w:p>
    <w:bookmarkStart w:id="31" w:name="def:def2"/>
    <w:p>
      <w:pPr>
        <w:pStyle w:val="DefinitionStyle"/>
      </w:pPr>
      <w:bookmarkStart w:id="30" w:name="def:def2"/>
      <w:bookmarkEnd w:id="30"/>
      <w:r>
        <w:rPr>
          <w:rStyle w:val="NameStyle"/>
        </w:rPr>
        <w:t xml:space="preserve">Definition 1.2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continuous at a point</w:t>
      </w:r>
      <w:r>
        <w:t xml:space="preserve"> </w:t>
      </w:r>
      <m:oMath>
        <m:r>
          <m:t>c</m:t>
        </m:r>
      </m:oMath>
      <w:r>
        <w:t xml:space="preserve"> </w:t>
      </w:r>
      <w:r>
        <w:t xml:space="preserve">if</w:t>
      </w:r>
    </w:p>
    <w:p>
      <w:pPr>
        <w:pStyle w:val="DefinitionStyle"/>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rPr>
              <m:sty m:val="p"/>
            </m:rPr>
            <m:t>|</m:t>
          </m:r>
          <m:r>
            <m:t>x</m:t>
          </m:r>
          <m:r>
            <m:rPr>
              <m:sty m:val="p"/>
            </m:rPr>
            <m:t>−</m:t>
          </m:r>
          <m:r>
            <m:t>c</m:t>
          </m:r>
          <m:r>
            <m:rPr>
              <m:sty m:val="p"/>
            </m:rPr>
            <m:t>|</m:t>
          </m:r>
          <m:r>
            <m:rPr>
              <m:sty m:val="p"/>
            </m:rPr>
            <m:t>&lt;</m:t>
          </m:r>
          <m:r>
            <m:t>δ</m:t>
          </m:r>
          <m:r>
            <m:rPr>
              <m:sty m:val="p"/>
            </m:rPr>
            <m:t>⇒</m:t>
          </m:r>
          <m:r>
            <m:rPr>
              <m:sty m:val="p"/>
            </m:rPr>
            <m:t>|</m:t>
          </m:r>
          <m:r>
            <m:t>f</m:t>
          </m:r>
          <m:d>
            <m:dPr>
              <m:begChr m:val="("/>
              <m:endChr m:val=")"/>
              <m:sepChr m:val=""/>
              <m:grow/>
            </m:dPr>
            <m:e>
              <m:r>
                <m:t>x</m:t>
              </m:r>
            </m:e>
          </m:d>
          <m:r>
            <m:rPr>
              <m:sty m:val="p"/>
            </m:rPr>
            <m:t>−</m:t>
          </m:r>
          <m:r>
            <m:t>f</m:t>
          </m:r>
          <m:d>
            <m:dPr>
              <m:begChr m:val="("/>
              <m:endChr m:val=")"/>
              <m:sepChr m:val=""/>
              <m:grow/>
            </m:dPr>
            <m:e>
              <m:r>
                <m:t>c</m:t>
              </m:r>
            </m:e>
          </m:d>
          <m:r>
            <m:rPr>
              <m:sty m:val="p"/>
            </m:rPr>
            <m:t>|</m:t>
          </m:r>
          <m:r>
            <m:rPr>
              <m:sty m:val="p"/>
            </m:rPr>
            <m:t>&lt;</m:t>
          </m:r>
          <m:r>
            <m:t>ϵ</m:t>
          </m:r>
          <m:r>
            <m:rPr>
              <m:sty m:val="p"/>
            </m:rPr>
            <m:t>.</m:t>
          </m:r>
        </m:oMath>
      </m:oMathPara>
    </w:p>
    <w:bookmarkEnd w:id="31"/>
    <w:p>
      <w:pPr>
        <w:pStyle w:val="FirstParagraph"/>
      </w:pPr>
      <w:r>
        <w:t xml:space="preserve">A graphical example of this definition can be seen in Figure</w:t>
      </w:r>
      <w:r>
        <w:t xml:space="preserve"> </w:t>
      </w:r>
      <w:r>
        <w:t xml:space="preserve">1.1</w:t>
      </w:r>
      <w:r>
        <w:t xml:space="preserve">.</w:t>
      </w:r>
    </w:p>
    <w:p>
      <w:pPr>
        <w:pStyle w:val="CaptionedFigure"/>
      </w:pPr>
      <w:r>
        <w:drawing>
          <wp:inline>
            <wp:extent cx="3810000" cy="2540000"/>
            <wp:effectExtent b="0" l="0" r="0" t="0"/>
            <wp:docPr descr="Figure 1.1: A diagram illustrating the definition of a continuous function at a point c (left). Compare this to a function which only approaches a limit L as x \to c (right)." title="" id="1" name="Picture"/>
            <a:graphic>
              <a:graphicData uri="http://schemas.openxmlformats.org/drawingml/2006/picture">
                <pic:pic>
                  <pic:nvPicPr>
                    <pic:cNvPr descr="Continuity.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A diagram illustrating the definition of a continuous function at a point</w:t>
      </w:r>
      <w:r>
        <w:t xml:space="preserve"> </w:t>
      </w:r>
      <m:oMath>
        <m:r>
          <m:t>c</m:t>
        </m:r>
      </m:oMath>
      <w:r>
        <w:t xml:space="preserve"> </w:t>
      </w:r>
      <w:r>
        <w:t xml:space="preserve">(left). Compare this to a function which only approaches a limit</w:t>
      </w:r>
      <w:r>
        <w:t xml:space="preserve"> </w:t>
      </w:r>
      <m:oMath>
        <m:r>
          <m:t>L</m:t>
        </m:r>
      </m:oMath>
      <w:r>
        <w:t xml:space="preserve"> </w:t>
      </w:r>
      <w:r>
        <w:t xml:space="preserve">as</w:t>
      </w:r>
      <w:r>
        <w:t xml:space="preserve"> </w:t>
      </w:r>
      <m:oMath>
        <m:r>
          <m:t>x</m:t>
        </m:r>
        <m:r>
          <m:rPr>
            <m:sty m:val="p"/>
          </m:rPr>
          <m:t>→</m:t>
        </m:r>
        <m:r>
          <m:t>c</m:t>
        </m:r>
      </m:oMath>
      <w:r>
        <w:t xml:space="preserve"> </w:t>
      </w:r>
      <w:r>
        <w:t xml:space="preserve">(right).</w:t>
      </w:r>
    </w:p>
    <w:p>
      <w:pPr>
        <w:pStyle w:val="BodyText"/>
      </w:pPr>
      <w:r>
        <w:t xml:space="preserve">You might be thinking that this looks remarkably like the definition of a limit from last week, and you would be right. In fact:</w:t>
      </w:r>
    </w:p>
    <w:p>
      <w:pPr>
        <w:pStyle w:val="BodyText"/>
      </w:pPr>
      <m:oMathPara>
        <m:oMathParaPr>
          <m:jc m:val="center"/>
        </m:oMathParaPr>
        <m:oMath>
          <m:r>
            <m:t>f</m:t>
          </m:r>
          <m:r>
            <m:t> </m:t>
          </m:r>
          <m:r>
            <m:t> </m:t>
          </m:r>
          <m:r>
            <m:rPr>
              <m:nor/>
              <m:sty m:val="p"/>
            </m:rPr>
            <m:t>is continuous at</m:t>
          </m:r>
          <m:r>
            <m:t> </m:t>
          </m:r>
          <m:r>
            <m:t> </m:t>
          </m:r>
          <m:r>
            <m:t>c</m:t>
          </m:r>
          <m:r>
            <m:rPr>
              <m:sty m:val="p"/>
            </m:rPr>
            <m:t>⇔</m:t>
          </m:r>
          <m:limLow>
            <m:e>
              <m:r>
                <m:rPr>
                  <m:nor/>
                  <m:sty m:val="p"/>
                </m:rPr>
                <m:t>lim</m:t>
              </m:r>
            </m:e>
            <m:lim>
              <m:r>
                <m:t>x</m:t>
              </m:r>
              <m:r>
                <m:rPr>
                  <m:sty m:val="p"/>
                </m:rPr>
                <m:t>→</m:t>
              </m:r>
              <m:r>
                <m:t>c</m:t>
              </m:r>
            </m:lim>
          </m:limLow>
          <m:r>
            <m:t>f</m:t>
          </m:r>
          <m:d>
            <m:dPr>
              <m:begChr m:val="("/>
              <m:endChr m:val=")"/>
              <m:sepChr m:val=""/>
              <m:grow/>
            </m:dPr>
            <m:e>
              <m:r>
                <m:t>x</m:t>
              </m:r>
            </m:e>
          </m:d>
          <m:r>
            <m:rPr>
              <m:sty m:val="p"/>
            </m:rPr>
            <m:t>=</m:t>
          </m:r>
          <m:r>
            <m:t>f</m:t>
          </m:r>
          <m:d>
            <m:dPr>
              <m:begChr m:val="("/>
              <m:endChr m:val=")"/>
              <m:sepChr m:val=""/>
              <m:grow/>
            </m:dPr>
            <m:e>
              <m:r>
                <m:t>c</m:t>
              </m:r>
            </m:e>
          </m:d>
          <m:r>
            <m:rPr>
              <m:sty m:val="p"/>
            </m:rPr>
            <m:t>.</m:t>
          </m:r>
        </m:oMath>
      </m:oMathPara>
    </w:p>
    <w:p>
      <w:pPr>
        <w:pStyle w:val="FirstParagraph"/>
      </w:pPr>
      <w:r>
        <w:t xml:space="preserve">However, note that we require</w:t>
      </w:r>
      <w:r>
        <w:t xml:space="preserve"> </w:t>
      </w:r>
      <m:oMath>
        <m:r>
          <m:t>f</m:t>
        </m:r>
      </m:oMath>
      <w:r>
        <w:t xml:space="preserve"> </w:t>
      </w:r>
      <w:r>
        <w:t xml:space="preserve">to be defined at</w:t>
      </w:r>
      <w:r>
        <w:t xml:space="preserve"> </w:t>
      </w:r>
      <m:oMath>
        <m:r>
          <m:t>c</m:t>
        </m:r>
      </m:oMath>
      <w:r>
        <w:t xml:space="preserve"> </w:t>
      </w:r>
      <w:r>
        <w:t xml:space="preserve">for</w:t>
      </w:r>
      <w:r>
        <w:t xml:space="preserve"> </w:t>
      </w:r>
      <m:oMath>
        <m:r>
          <m:t>f</m:t>
        </m:r>
      </m:oMath>
      <w:r>
        <w:t xml:space="preserve"> </w:t>
      </w:r>
      <w:r>
        <w:t xml:space="preserve">to be continuous; in the limit definition, we didn’t care whether or not</w:t>
      </w:r>
      <w:r>
        <w:t xml:space="preserve"> </w:t>
      </w:r>
      <m:oMath>
        <m:r>
          <m:t>f</m:t>
        </m:r>
        <m:d>
          <m:dPr>
            <m:begChr m:val="("/>
            <m:endChr m:val=")"/>
            <m:sepChr m:val=""/>
            <m:grow/>
          </m:dPr>
          <m:e>
            <m:r>
              <m:t>c</m:t>
            </m:r>
          </m:e>
        </m:d>
      </m:oMath>
      <w:r>
        <w:t xml:space="preserve"> </w:t>
      </w:r>
      <w:r>
        <w:t xml:space="preserve">existed.</w:t>
      </w:r>
    </w:p>
    <w:bookmarkEnd w:id="33"/>
    <w:bookmarkEnd w:id="34"/>
    <w:bookmarkStart w:id="35"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Part a) is all about using the epsilon-delta definition of limit. Firstly, note that there are two things to prove here because of the `if and only if’. Think about how you can substitute variables to move from the definition of one limit to the definition of the other. For part b), think about using a step function for</w:t>
      </w:r>
      <w:r>
        <w:t xml:space="preserve"> </w:t>
      </w:r>
      <m:oMath>
        <m:r>
          <m:t>f</m:t>
        </m:r>
      </m:oMath>
      <w:r>
        <w:t xml:space="preserve">.</w:t>
      </w:r>
    </w:p>
    <w:p>
      <w:pPr>
        <w:numPr>
          <w:ilvl w:val="0"/>
          <w:numId w:val="1003"/>
        </w:numPr>
        <w:pStyle w:val="Compact"/>
      </w:pPr>
      <w:r>
        <w:t xml:space="preserve">Again, this is all about manipulating an unfamiliar definition, and again, there are two things to prove! Pretty much the same idea applies here too — try and rewrite one definition so it starts to look like the other, then use that to make a choice of</w:t>
      </w:r>
      <w:r>
        <w:t xml:space="preserve"> </w:t>
      </w:r>
      <m:oMath>
        <m:r>
          <m:t>δ</m:t>
        </m:r>
      </m:oMath>
      <w:r>
        <w:t xml:space="preserve"> </w:t>
      </w:r>
      <w:r>
        <w:t xml:space="preserve">and/or</w:t>
      </w:r>
      <w:r>
        <w:t xml:space="preserve"> </w:t>
      </w:r>
      <m:oMath>
        <m:r>
          <m:t>M</m:t>
        </m:r>
      </m:oMath>
      <w:r>
        <w:t xml:space="preserve"> </w:t>
      </w:r>
      <w:r>
        <w:t xml:space="preserve">(depending on which implication you are proving).</w:t>
      </w:r>
    </w:p>
    <w:p>
      <w:pPr>
        <w:numPr>
          <w:ilvl w:val="0"/>
          <w:numId w:val="1003"/>
        </w:numPr>
        <w:pStyle w:val="Compact"/>
      </w:pPr>
      <w:r>
        <w:t xml:space="preserve">This is quite similar to the example we did in tutorials. Note that you’ll have to take cases on</w:t>
      </w:r>
      <w:r>
        <w:t xml:space="preserve"> </w:t>
      </w:r>
      <m:oMath>
        <m:r>
          <m:t>x</m:t>
        </m:r>
      </m:oMath>
      <w:r>
        <w:t xml:space="preserve"> </w:t>
      </w:r>
      <w:r>
        <w:t xml:space="preserve">when evaluating</w:t>
      </w:r>
      <w:r>
        <w:t xml:space="preserve"> </w:t>
      </w:r>
      <m:oMath>
        <m:r>
          <m:rPr>
            <m:sty m:val="p"/>
          </m:rPr>
          <m:t>|</m:t>
        </m:r>
        <m:r>
          <m:t>f</m:t>
        </m:r>
        <m:d>
          <m:dPr>
            <m:begChr m:val="("/>
            <m:endChr m:val=")"/>
            <m:sepChr m:val=""/>
            <m:grow/>
          </m:dPr>
          <m:e>
            <m:r>
              <m:t>x</m:t>
            </m:r>
          </m:e>
        </m:d>
        <m:r>
          <m:rPr>
            <m:sty m:val="p"/>
          </m:rPr>
          <m:t>−</m:t>
        </m:r>
        <m:r>
          <m:t>f</m:t>
        </m:r>
        <m:d>
          <m:dPr>
            <m:begChr m:val="("/>
            <m:endChr m:val=")"/>
            <m:sepChr m:val=""/>
            <m:grow/>
          </m:dPr>
          <m:e>
            <m:r>
              <m:t>0</m:t>
            </m:r>
          </m:e>
        </m:d>
        <m:r>
          <m:rPr>
            <m:sty m:val="p"/>
          </m:rPr>
          <m:t>|</m:t>
        </m:r>
      </m:oMath>
      <w:r>
        <w:t xml:space="preserve">, but in both cases, you’ll end up with the same bound in terms of</w:t>
      </w:r>
      <w:r>
        <w:t xml:space="preserve"> </w:t>
      </w:r>
      <m:oMath>
        <m:r>
          <m:t>δ</m:t>
        </m:r>
      </m:oMath>
      <w:r>
        <w:t xml:space="preserve">.</w:t>
      </w:r>
    </w:p>
    <w:bookmarkEnd w:id="3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3</dc:title>
  <dc:creator>Christian Jones: University of Bath</dc:creator>
  <cp:keywords/>
  <dcterms:created xsi:type="dcterms:W3CDTF">2023-02-19T15:42:52Z</dcterms:created>
  <dcterms:modified xsi:type="dcterms:W3CDTF">2023-02-19T15:42:52Z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February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