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1B</w:t>
      </w:r>
      <w:r>
        <w:t xml:space="preserve"> </w:t>
      </w:r>
      <w:r>
        <w:t xml:space="preserve">—</w:t>
      </w:r>
      <w:r>
        <w:t xml:space="preserve"> </w:t>
      </w:r>
      <w:r>
        <w:t xml:space="preserve">Tutorial</w:t>
      </w:r>
      <w:r>
        <w:t xml:space="preserve"> </w:t>
      </w:r>
      <w:r>
        <w:t xml:space="preserve">9</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April</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9th Analysis 1B Tutorial on the 17th April. Alternative formats can be downloaded by clicking the download icon at the top of the page. Please send any comments or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44" w:name="lecture-recap"/>
    <w:p>
      <w:pPr>
        <w:pStyle w:val="Heading1"/>
      </w:pPr>
      <w:r>
        <w:t xml:space="preserve">Lecture Recap</w:t>
      </w:r>
    </w:p>
    <w:p>
      <w:pPr>
        <w:pStyle w:val="FirstParagraph"/>
      </w:pPr>
      <w:r>
        <w:t xml:space="preserve">This week, we begin the final section of this course, and it’s all about integration! Unfortunately, in order to actually define what the (Riemann) integral of a function is, we’re going to need a whole lot of definitions…</w:t>
      </w:r>
    </w:p>
    <w:bookmarkStart w:id="34" w:name="fundamentals-of-integration"/>
    <w:p>
      <w:pPr>
        <w:pStyle w:val="Heading2"/>
      </w:pPr>
      <w:r>
        <w:t xml:space="preserve">Fundamentals of Integration</w:t>
      </w:r>
    </w:p>
    <w:p>
      <w:pPr>
        <w:pStyle w:val="FirstParagraph"/>
      </w:pPr>
      <w:r>
        <w:t xml:space="preserve">Just as we used derivatives to find how fast a function is changing at a given point, we may also be interested in how much area lies between a function and its domain. For example, if we extend an elastic spring by a distance</w:t>
      </w:r>
      <w:r>
        <w:t xml:space="preserve"> </w:t>
      </w:r>
      <m:oMath>
        <m:r>
          <m:t>x</m:t>
        </m:r>
      </m:oMath>
      <w:r>
        <w:t xml:space="preserve">, and consider the corresponding force to do so,</w:t>
      </w:r>
      <w:r>
        <w:t xml:space="preserve"> </w:t>
      </w:r>
      <m:oMath>
        <m:r>
          <m:t>F</m:t>
        </m:r>
        <m:d>
          <m:dPr>
            <m:begChr m:val="("/>
            <m:endChr m:val=")"/>
            <m:sepChr m:val=""/>
            <m:grow/>
          </m:dPr>
          <m:e>
            <m:r>
              <m:t>x</m:t>
            </m:r>
          </m:e>
        </m:d>
      </m:oMath>
      <w:r>
        <w:t xml:space="preserve">, then the area under a graph of</w:t>
      </w:r>
      <w:r>
        <w:t xml:space="preserve"> </w:t>
      </w:r>
      <m:oMath>
        <m:r>
          <m:t>F</m:t>
        </m:r>
        <m:d>
          <m:dPr>
            <m:begChr m:val="("/>
            <m:endChr m:val=")"/>
            <m:sepChr m:val=""/>
            <m:grow/>
          </m:dPr>
          <m:e>
            <m:r>
              <m:t>x</m:t>
            </m:r>
          </m:e>
        </m:d>
      </m:oMath>
      <w:r>
        <w:t xml:space="preserve"> </w:t>
      </w:r>
      <w:r>
        <w:t xml:space="preserve">tells us how much (elastic) energy is stored in the spring.</w:t>
      </w:r>
    </w:p>
    <w:p>
      <w:pPr>
        <w:pStyle w:val="BodyText"/>
      </w:pPr>
      <w:r>
        <w:t xml:space="preserve">But how do we find this area mathematically? The idea is to look at the domain of the function, split it up, and over/underestimate the area using rectangles. The hope is then that as the division of the domain becomes finer and finer, the estimates converge to the true area under the graph of our function.</w:t>
      </w:r>
    </w:p>
    <w:p>
      <w:pPr>
        <w:pStyle w:val="BodyText"/>
      </w:pPr>
      <w:r>
        <w:t xml:space="preserve">In all of what follows, we are going to need a bounded function</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This is so its supremum and infimum exist.</w:t>
      </w:r>
    </w:p>
    <w:bookmarkStart w:id="30" w:name="subdivisions-and-riemann-sums"/>
    <w:p>
      <w:pPr>
        <w:pStyle w:val="Heading3"/>
      </w:pPr>
      <w:r>
        <w:t xml:space="preserve">Subdivisions and Riemann Sums</w:t>
      </w:r>
    </w:p>
    <w:p>
      <w:pPr>
        <w:pStyle w:val="FirstParagraph"/>
      </w:pPr>
    </w:p>
    <w:bookmarkStart w:id="24" w:name="def:def1"/>
    <w:p>
      <w:pPr>
        <w:pStyle w:val="DefinitionStyle"/>
      </w:pPr>
      <w:bookmarkStart w:id="23" w:name="def:def1"/>
      <w:bookmarkEnd w:id="23"/>
      <w:r>
        <w:rPr>
          <w:rStyle w:val="NameStyle"/>
        </w:rPr>
        <w:t xml:space="preserve">Definition 1.1 (Subdivision)</w:t>
      </w:r>
      <w:r>
        <w:rPr>
          <w:rStyle w:val="NameStyle"/>
        </w:rPr>
        <w:t xml:space="preserve"> </w:t>
      </w:r>
    </w:p>
    <w:p>
      <w:pPr>
        <w:pStyle w:val="DefinitionStyle"/>
      </w:pPr>
      <w:r>
        <w:t xml:space="preserve">A</w:t>
      </w:r>
      <w:r>
        <w:t xml:space="preserve"> </w:t>
      </w:r>
      <w:r>
        <w:rPr>
          <w:iCs/>
          <w:i/>
        </w:rPr>
        <w:t xml:space="preserve">subdivision</w:t>
      </w:r>
      <w:r>
        <w:t xml:space="preserve"> </w:t>
      </w:r>
      <w:r>
        <w:t xml:space="preserve">(or partition or dissection) of</w:t>
      </w:r>
      <w:r>
        <w:t xml:space="preserve"> </w:t>
      </w:r>
      <m:oMath>
        <m:d>
          <m:dPr>
            <m:begChr m:val="["/>
            <m:endChr m:val="]"/>
            <m:sepChr m:val=""/>
            <m:grow/>
          </m:dPr>
          <m:e>
            <m:r>
              <m:t>a</m:t>
            </m:r>
            <m:r>
              <m:rPr>
                <m:sty m:val="p"/>
              </m:rPr>
              <m:t>,</m:t>
            </m:r>
            <m:r>
              <m:t>b</m:t>
            </m:r>
          </m:e>
        </m:d>
      </m:oMath>
      <w:r>
        <w:t xml:space="preserve"> </w:t>
      </w:r>
      <w:r>
        <w:t xml:space="preserve">is a finite set</w:t>
      </w:r>
      <w:r>
        <w:t xml:space="preserve"> </w:t>
      </w:r>
      <m:oMath>
        <m:r>
          <m:t>P</m:t>
        </m:r>
        <m:r>
          <m:rPr>
            <m:sty m:val="p"/>
          </m:rPr>
          <m:t>=</m:t>
        </m:r>
        <m:r>
          <m:rPr>
            <m:sty m:val="p"/>
          </m:rPr>
          <m:t>{</m:t>
        </m:r>
        <m:sSub>
          <m:e>
            <m:r>
              <m:t>x</m:t>
            </m:r>
          </m:e>
          <m:sub>
            <m:r>
              <m:t>0</m:t>
            </m:r>
          </m:sub>
        </m:sSub>
        <m:r>
          <m:rPr>
            <m:sty m:val="p"/>
          </m:rPr>
          <m:t>,</m:t>
        </m:r>
        <m:sSub>
          <m:e>
            <m:r>
              <m:t>x</m:t>
            </m:r>
          </m:e>
          <m:sub>
            <m:r>
              <m:t>1</m:t>
            </m:r>
          </m:sub>
        </m:sSub>
        <m:r>
          <m:rPr>
            <m:sty m:val="p"/>
          </m:rPr>
          <m:t>,</m:t>
        </m:r>
        <m:r>
          <m:rPr>
            <m:sty m:val="p"/>
          </m:rPr>
          <m:t>…</m:t>
        </m:r>
        <m:r>
          <m:rPr>
            <m:sty m:val="p"/>
          </m:rPr>
          <m:t>,</m:t>
        </m:r>
        <m:sSub>
          <m:e>
            <m:r>
              <m:t>x</m:t>
            </m:r>
          </m:e>
          <m:sub>
            <m:r>
              <m:t>n</m:t>
            </m:r>
          </m:sub>
        </m:sSub>
        <m:r>
          <m:rPr>
            <m:sty m:val="p"/>
          </m:rPr>
          <m:t>}</m:t>
        </m:r>
      </m:oMath>
      <w:r>
        <w:t xml:space="preserve"> </w:t>
      </w:r>
      <w:r>
        <w:t xml:space="preserve">with</w:t>
      </w:r>
    </w:p>
    <w:p>
      <w:pPr>
        <w:pStyle w:val="DefinitionStyle"/>
      </w:pPr>
      <m:oMathPara>
        <m:oMathParaPr>
          <m:jc m:val="center"/>
        </m:oMathParaPr>
        <m:oMath>
          <m:r>
            <m:t>a</m:t>
          </m:r>
          <m:r>
            <m:rPr>
              <m:sty m:val="p"/>
            </m:rPr>
            <m:t>=</m:t>
          </m:r>
          <m:sSub>
            <m:e>
              <m:r>
                <m:t>x</m:t>
              </m:r>
            </m:e>
            <m:sub>
              <m:r>
                <m:t>0</m:t>
              </m:r>
            </m:sub>
          </m:sSub>
          <m:r>
            <m:rPr>
              <m:sty m:val="p"/>
            </m:rPr>
            <m:t>&lt;</m:t>
          </m:r>
          <m:sSub>
            <m:e>
              <m:r>
                <m:t>x</m:t>
              </m:r>
            </m:e>
            <m:sub>
              <m:r>
                <m:t>1</m:t>
              </m:r>
            </m:sub>
          </m:sSub>
          <m:r>
            <m:rPr>
              <m:sty m:val="p"/>
            </m:rPr>
            <m:t>&lt;</m:t>
          </m:r>
          <m:r>
            <m:rPr>
              <m:sty m:val="p"/>
            </m:rPr>
            <m:t>…</m:t>
          </m:r>
          <m:r>
            <m:rPr>
              <m:sty m:val="p"/>
            </m:rPr>
            <m:t>&lt;</m:t>
          </m:r>
          <m:sSub>
            <m:e>
              <m:r>
                <m:t>x</m:t>
              </m:r>
            </m:e>
            <m:sub>
              <m:r>
                <m:t>n</m:t>
              </m:r>
            </m:sub>
          </m:sSub>
          <m:r>
            <m:rPr>
              <m:sty m:val="p"/>
            </m:rPr>
            <m:t>=</m:t>
          </m:r>
          <m:r>
            <m:t>b</m:t>
          </m:r>
          <m:r>
            <m:rPr>
              <m:sty m:val="p"/>
            </m:rPr>
            <m:t>.</m:t>
          </m:r>
        </m:oMath>
      </m:oMathPara>
    </w:p>
    <w:bookmarkEnd w:id="24"/>
    <w:p>
      <w:pPr>
        <w:pStyle w:val="FirstParagraph"/>
      </w:pPr>
      <w:r>
        <w:t xml:space="preserve">Now that we have our subdivision of the domain, we need to define our under- and overestimates of the area below</w:t>
      </w:r>
      <w:r>
        <w:t xml:space="preserve"> </w:t>
      </w:r>
      <m:oMath>
        <m:r>
          <m:t>f</m:t>
        </m:r>
      </m:oMath>
      <w:r>
        <w:t xml:space="preserve">. These are defined mathematically below, but can be seen geometrically in Figure</w:t>
      </w:r>
      <w:r>
        <w:t xml:space="preserve"> </w:t>
      </w:r>
      <w:r>
        <w:t xml:space="preserve">1.1</w:t>
      </w:r>
      <w:r>
        <w:t xml:space="preserve">.</w:t>
      </w:r>
    </w:p>
    <w:p>
      <w:pPr>
        <w:pStyle w:val="BodyText"/>
      </w:pPr>
    </w:p>
    <w:bookmarkStart w:id="26" w:name="def:def2"/>
    <w:p>
      <w:pPr>
        <w:pStyle w:val="DefinitionStyle"/>
      </w:pPr>
      <w:bookmarkStart w:id="25" w:name="def:def2"/>
      <w:bookmarkEnd w:id="25"/>
      <w:r>
        <w:rPr>
          <w:rStyle w:val="NameStyle"/>
        </w:rPr>
        <w:t xml:space="preserve">Definition 1.2 (Lower Riemann Sum)</w:t>
      </w:r>
      <w:r>
        <w:rPr>
          <w:rStyle w:val="NameStyle"/>
        </w:rPr>
        <w:t xml:space="preserve"> </w:t>
      </w:r>
    </w:p>
    <w:p>
      <w:pPr>
        <w:pStyle w:val="DefinitionStyle"/>
      </w:pPr>
      <w:r>
        <w:t xml:space="preserve">The</w:t>
      </w:r>
      <w:r>
        <w:t xml:space="preserve"> </w:t>
      </w:r>
      <w:r>
        <w:rPr>
          <w:iCs/>
          <w:i/>
        </w:rPr>
        <w:t xml:space="preserve">lower Riemann sum</w:t>
      </w:r>
      <w:r>
        <w:t xml:space="preserve"> </w:t>
      </w:r>
      <w:r>
        <w:t xml:space="preserve">of</w:t>
      </w:r>
      <w:r>
        <w:t xml:space="preserve"> </w:t>
      </w:r>
      <m:oMath>
        <m:r>
          <m:t>f</m:t>
        </m:r>
      </m:oMath>
      <w:r>
        <w:t xml:space="preserve"> </w:t>
      </w:r>
      <w:r>
        <w:t xml:space="preserve">on a subdivision</w:t>
      </w:r>
      <w:r>
        <w:t xml:space="preserve"> </w:t>
      </w:r>
      <m:oMath>
        <m:r>
          <m:t>P</m:t>
        </m:r>
      </m:oMath>
      <w:r>
        <w:t xml:space="preserve"> </w:t>
      </w:r>
      <w:r>
        <w:t xml:space="preserve">is</w:t>
      </w:r>
    </w:p>
    <w:p>
      <w:pPr>
        <w:pStyle w:val="DefinitionStyle"/>
      </w:pPr>
      <m:oMathPara>
        <m:oMathParaPr>
          <m:jc m:val="center"/>
        </m:oMathParaPr>
        <m:oMath>
          <m:r>
            <m:t>L</m:t>
          </m:r>
          <m:d>
            <m:dPr>
              <m:begChr m:val="("/>
              <m:endChr m:val=")"/>
              <m:sepChr m:val=""/>
              <m:grow/>
            </m:dPr>
            <m:e>
              <m:r>
                <m:t>f</m:t>
              </m:r>
              <m:r>
                <m:rPr>
                  <m:sty m:val="p"/>
                </m:rPr>
                <m:t>,</m:t>
              </m:r>
              <m:r>
                <m:t>P</m:t>
              </m:r>
            </m:e>
          </m:d>
          <m:r>
            <m:rPr>
              <m:sty m:val="p"/>
            </m:rPr>
            <m:t>=</m:t>
          </m:r>
          <m:nary>
            <m:naryPr>
              <m:chr m:val="∑"/>
              <m:limLoc m:val="undOvr"/>
              <m:subHide m:val="0"/>
              <m:supHide m:val="0"/>
            </m:naryPr>
            <m:sub>
              <m:r>
                <m:t>i</m:t>
              </m:r>
              <m:r>
                <m:rPr>
                  <m:sty m:val="p"/>
                </m:rPr>
                <m:t>=</m:t>
              </m:r>
              <m:r>
                <m:t>1</m:t>
              </m:r>
            </m:sub>
            <m:sup>
              <m:r>
                <m:t>n</m:t>
              </m:r>
            </m:sup>
            <m:e>
              <m:sSub>
                <m:e>
                  <m:r>
                    <m:t>m</m:t>
                  </m:r>
                </m:e>
                <m:sub>
                  <m:r>
                    <m:t>i</m:t>
                  </m:r>
                </m:sub>
              </m:sSub>
            </m:e>
          </m:nary>
          <m:d>
            <m:dPr>
              <m:begChr m:val="("/>
              <m:endChr m:val=")"/>
              <m:sepChr m:val=""/>
              <m:grow/>
            </m:dPr>
            <m:e>
              <m:sSub>
                <m:e>
                  <m:r>
                    <m:t>x</m:t>
                  </m:r>
                </m:e>
                <m:sub>
                  <m:r>
                    <m:t>i</m:t>
                  </m:r>
                </m:sub>
              </m:sSub>
              <m:r>
                <m:rPr>
                  <m:sty m:val="p"/>
                </m:rPr>
                <m:t>−</m:t>
              </m:r>
              <m:sSub>
                <m:e>
                  <m:r>
                    <m:t>x</m:t>
                  </m:r>
                </m:e>
                <m:sub>
                  <m:r>
                    <m:t>i</m:t>
                  </m:r>
                  <m:r>
                    <m:rPr>
                      <m:sty m:val="p"/>
                    </m:rPr>
                    <m:t>−</m:t>
                  </m:r>
                  <m:r>
                    <m:t>1</m:t>
                  </m:r>
                </m:sub>
              </m:sSub>
            </m:e>
          </m:d>
          <m:r>
            <m:rPr>
              <m:sty m:val="p"/>
            </m:rPr>
            <m:t>,</m:t>
          </m:r>
        </m:oMath>
      </m:oMathPara>
    </w:p>
    <w:p>
      <w:pPr>
        <w:pStyle w:val="DefinitionStyle"/>
      </w:pPr>
      <w:r>
        <w:t xml:space="preserve">where</w:t>
      </w:r>
    </w:p>
    <w:p>
      <w:pPr>
        <w:pStyle w:val="DefinitionStyle"/>
      </w:pPr>
      <m:oMathPara>
        <m:oMathParaPr>
          <m:jc m:val="center"/>
        </m:oMathParaPr>
        <m:oMath>
          <m:sSub>
            <m:e>
              <m:r>
                <m:t>m</m:t>
              </m:r>
            </m:e>
            <m:sub>
              <m:r>
                <m:t>i</m:t>
              </m:r>
            </m:sub>
          </m:sSub>
          <m:r>
            <m:rPr>
              <m:sty m:val="p"/>
            </m:rPr>
            <m:t>=</m:t>
          </m:r>
          <m:limLow>
            <m:e>
              <m:r>
                <m:rPr>
                  <m:nor/>
                  <m:sty m:val="p"/>
                </m:rPr>
                <m:t>inf</m:t>
              </m:r>
            </m:e>
            <m:lim>
              <m:d>
                <m:dPr>
                  <m:begChr m:val="["/>
                  <m:endChr m:val="]"/>
                  <m:sepChr m:val=""/>
                  <m:grow/>
                </m:dPr>
                <m:e>
                  <m:sSub>
                    <m:e>
                      <m:r>
                        <m:t>x</m:t>
                      </m:r>
                    </m:e>
                    <m:sub>
                      <m:r>
                        <m:t>i</m:t>
                      </m:r>
                      <m:r>
                        <m:rPr>
                          <m:sty m:val="p"/>
                        </m:rPr>
                        <m:t>−</m:t>
                      </m:r>
                      <m:r>
                        <m:t>1</m:t>
                      </m:r>
                    </m:sub>
                  </m:sSub>
                  <m:r>
                    <m:rPr>
                      <m:sty m:val="p"/>
                    </m:rPr>
                    <m:t>,</m:t>
                  </m:r>
                  <m:sSub>
                    <m:e>
                      <m:r>
                        <m:t>x</m:t>
                      </m:r>
                    </m:e>
                    <m:sub>
                      <m:r>
                        <m:t>i</m:t>
                      </m:r>
                    </m:sub>
                  </m:sSub>
                </m:e>
              </m:d>
            </m:lim>
          </m:limLow>
          <m:r>
            <m:t>f</m:t>
          </m:r>
          <m:d>
            <m:dPr>
              <m:begChr m:val="("/>
              <m:endChr m:val=")"/>
              <m:sepChr m:val=""/>
              <m:grow/>
            </m:dPr>
            <m:e>
              <m:r>
                <m:t>x</m:t>
              </m:r>
            </m:e>
          </m:d>
          <m:box>
            <m:boxPr>
              <m:opEmu m:val="1"/>
            </m:boxPr>
            <m:e>
              <m:r>
                <m:rPr>
                  <m:sty m:val="p"/>
                </m:rPr>
                <m:t>:=</m:t>
              </m:r>
            </m:e>
          </m:box>
          <m:r>
            <m:rPr>
              <m:nor/>
              <m:sty m:val="p"/>
            </m:rPr>
            <m:t>inf</m:t>
          </m:r>
          <m:r>
            <m:rPr>
              <m:sty m:val="p"/>
            </m:rPr>
            <m:t>{</m:t>
          </m:r>
          <m:r>
            <m:t>f</m:t>
          </m:r>
          <m:d>
            <m:dPr>
              <m:begChr m:val="("/>
              <m:endChr m:val=")"/>
              <m:sepChr m:val=""/>
              <m:grow/>
            </m:dPr>
            <m:e>
              <m:r>
                <m:t>x</m:t>
              </m:r>
            </m:e>
          </m:d>
          <m:r>
            <m:rPr>
              <m:sty m:val="p"/>
            </m:rPr>
            <m:t>|</m:t>
          </m:r>
          <m:r>
            <m:t>x</m:t>
          </m:r>
          <m:r>
            <m:rPr>
              <m:sty m:val="p"/>
            </m:rPr>
            <m:t>∈</m:t>
          </m:r>
          <m:d>
            <m:dPr>
              <m:begChr m:val="["/>
              <m:endChr m:val="]"/>
              <m:sepChr m:val=""/>
              <m:grow/>
            </m:dPr>
            <m:e>
              <m:sSub>
                <m:e>
                  <m:r>
                    <m:t>x</m:t>
                  </m:r>
                </m:e>
                <m:sub>
                  <m:r>
                    <m:t>i</m:t>
                  </m:r>
                  <m:r>
                    <m:rPr>
                      <m:sty m:val="p"/>
                    </m:rPr>
                    <m:t>−</m:t>
                  </m:r>
                  <m:r>
                    <m:t>1</m:t>
                  </m:r>
                </m:sub>
              </m:sSub>
              <m:r>
                <m:rPr>
                  <m:sty m:val="p"/>
                </m:rPr>
                <m:t>,</m:t>
              </m:r>
              <m:sSub>
                <m:e>
                  <m:r>
                    <m:t>x</m:t>
                  </m:r>
                </m:e>
                <m:sub>
                  <m:r>
                    <m:t>i</m:t>
                  </m:r>
                </m:sub>
              </m:sSub>
            </m:e>
          </m:d>
          <m:r>
            <m:rPr>
              <m:sty m:val="p"/>
            </m:rPr>
            <m:t>}</m:t>
          </m:r>
          <m:r>
            <m:rPr>
              <m:sty m:val="p"/>
            </m:rPr>
            <m:t>.</m:t>
          </m:r>
        </m:oMath>
      </m:oMathPara>
    </w:p>
    <w:bookmarkEnd w:id="26"/>
    <w:p>
      <w:pPr>
        <w:pStyle w:val="FirstParagraph"/>
      </w:pPr>
    </w:p>
    <w:bookmarkStart w:id="28" w:name="def:def3"/>
    <w:p>
      <w:pPr>
        <w:pStyle w:val="DefinitionStyle"/>
      </w:pPr>
      <w:bookmarkStart w:id="27" w:name="def:def3"/>
      <w:bookmarkEnd w:id="27"/>
      <w:r>
        <w:rPr>
          <w:rStyle w:val="NameStyle"/>
        </w:rPr>
        <w:t xml:space="preserve">Definition 1.3 (Upper Riemann Sum)</w:t>
      </w:r>
      <w:r>
        <w:rPr>
          <w:rStyle w:val="NameStyle"/>
        </w:rPr>
        <w:t xml:space="preserve"> </w:t>
      </w:r>
    </w:p>
    <w:p>
      <w:pPr>
        <w:pStyle w:val="DefinitionStyle"/>
      </w:pPr>
      <w:r>
        <w:t xml:space="preserve">The</w:t>
      </w:r>
      <w:r>
        <w:t xml:space="preserve"> </w:t>
      </w:r>
      <w:r>
        <w:rPr>
          <w:iCs/>
          <w:i/>
        </w:rPr>
        <w:t xml:space="preserve">upper Riemann sum</w:t>
      </w:r>
      <w:r>
        <w:t xml:space="preserve"> </w:t>
      </w:r>
      <w:r>
        <w:t xml:space="preserve">of</w:t>
      </w:r>
      <w:r>
        <w:t xml:space="preserve"> </w:t>
      </w:r>
      <m:oMath>
        <m:r>
          <m:t>f</m:t>
        </m:r>
      </m:oMath>
      <w:r>
        <w:t xml:space="preserve"> </w:t>
      </w:r>
      <w:r>
        <w:t xml:space="preserve">on a subdivision</w:t>
      </w:r>
      <w:r>
        <w:t xml:space="preserve"> </w:t>
      </w:r>
      <m:oMath>
        <m:r>
          <m:t>P</m:t>
        </m:r>
      </m:oMath>
      <w:r>
        <w:t xml:space="preserve"> </w:t>
      </w:r>
      <w:r>
        <w:t xml:space="preserve">is</w:t>
      </w:r>
    </w:p>
    <w:p>
      <w:pPr>
        <w:pStyle w:val="DefinitionStyle"/>
      </w:pPr>
      <m:oMathPara>
        <m:oMathParaPr>
          <m:jc m:val="center"/>
        </m:oMathParaPr>
        <m:oMath>
          <m:r>
            <m:t>U</m:t>
          </m:r>
          <m:d>
            <m:dPr>
              <m:begChr m:val="("/>
              <m:endChr m:val=")"/>
              <m:sepChr m:val=""/>
              <m:grow/>
            </m:dPr>
            <m:e>
              <m:r>
                <m:t>f</m:t>
              </m:r>
              <m:r>
                <m:rPr>
                  <m:sty m:val="p"/>
                </m:rPr>
                <m:t>,</m:t>
              </m:r>
              <m:r>
                <m:t>P</m:t>
              </m:r>
            </m:e>
          </m:d>
          <m:r>
            <m:rPr>
              <m:sty m:val="p"/>
            </m:rPr>
            <m:t>=</m:t>
          </m:r>
          <m:nary>
            <m:naryPr>
              <m:chr m:val="∑"/>
              <m:limLoc m:val="undOvr"/>
              <m:subHide m:val="0"/>
              <m:supHide m:val="0"/>
            </m:naryPr>
            <m:sub>
              <m:r>
                <m:t>i</m:t>
              </m:r>
              <m:r>
                <m:rPr>
                  <m:sty m:val="p"/>
                </m:rPr>
                <m:t>=</m:t>
              </m:r>
              <m:r>
                <m:t>1</m:t>
              </m:r>
            </m:sub>
            <m:sup>
              <m:r>
                <m:t>n</m:t>
              </m:r>
            </m:sup>
            <m:e>
              <m:sSub>
                <m:e>
                  <m:r>
                    <m:t>M</m:t>
                  </m:r>
                </m:e>
                <m:sub>
                  <m:r>
                    <m:t>i</m:t>
                  </m:r>
                </m:sub>
              </m:sSub>
            </m:e>
          </m:nary>
          <m:d>
            <m:dPr>
              <m:begChr m:val="("/>
              <m:endChr m:val=")"/>
              <m:sepChr m:val=""/>
              <m:grow/>
            </m:dPr>
            <m:e>
              <m:sSub>
                <m:e>
                  <m:r>
                    <m:t>x</m:t>
                  </m:r>
                </m:e>
                <m:sub>
                  <m:r>
                    <m:t>i</m:t>
                  </m:r>
                </m:sub>
              </m:sSub>
              <m:r>
                <m:rPr>
                  <m:sty m:val="p"/>
                </m:rPr>
                <m:t>−</m:t>
              </m:r>
              <m:sSub>
                <m:e>
                  <m:r>
                    <m:t>x</m:t>
                  </m:r>
                </m:e>
                <m:sub>
                  <m:r>
                    <m:t>i</m:t>
                  </m:r>
                  <m:r>
                    <m:rPr>
                      <m:sty m:val="p"/>
                    </m:rPr>
                    <m:t>−</m:t>
                  </m:r>
                  <m:r>
                    <m:t>1</m:t>
                  </m:r>
                </m:sub>
              </m:sSub>
            </m:e>
          </m:d>
          <m:r>
            <m:rPr>
              <m:sty m:val="p"/>
            </m:rPr>
            <m:t>,</m:t>
          </m:r>
        </m:oMath>
      </m:oMathPara>
    </w:p>
    <w:p>
      <w:pPr>
        <w:pStyle w:val="DefinitionStyle"/>
      </w:pPr>
      <w:r>
        <w:t xml:space="preserve">where</w:t>
      </w:r>
    </w:p>
    <w:p>
      <w:pPr>
        <w:pStyle w:val="DefinitionStyle"/>
      </w:pPr>
      <m:oMathPara>
        <m:oMathParaPr>
          <m:jc m:val="center"/>
        </m:oMathParaPr>
        <m:oMath>
          <m:sSub>
            <m:e>
              <m:r>
                <m:t>M</m:t>
              </m:r>
            </m:e>
            <m:sub>
              <m:r>
                <m:t>i</m:t>
              </m:r>
            </m:sub>
          </m:sSub>
          <m:r>
            <m:rPr>
              <m:sty m:val="p"/>
            </m:rPr>
            <m:t>=</m:t>
          </m:r>
          <m:limLow>
            <m:e>
              <m:r>
                <m:rPr>
                  <m:nor/>
                  <m:sty m:val="p"/>
                </m:rPr>
                <m:t>sup</m:t>
              </m:r>
            </m:e>
            <m:lim>
              <m:d>
                <m:dPr>
                  <m:begChr m:val="["/>
                  <m:endChr m:val="]"/>
                  <m:sepChr m:val=""/>
                  <m:grow/>
                </m:dPr>
                <m:e>
                  <m:sSub>
                    <m:e>
                      <m:r>
                        <m:t>x</m:t>
                      </m:r>
                    </m:e>
                    <m:sub>
                      <m:r>
                        <m:t>i</m:t>
                      </m:r>
                      <m:r>
                        <m:rPr>
                          <m:sty m:val="p"/>
                        </m:rPr>
                        <m:t>−</m:t>
                      </m:r>
                      <m:r>
                        <m:t>1</m:t>
                      </m:r>
                    </m:sub>
                  </m:sSub>
                  <m:r>
                    <m:rPr>
                      <m:sty m:val="p"/>
                    </m:rPr>
                    <m:t>,</m:t>
                  </m:r>
                  <m:sSub>
                    <m:e>
                      <m:r>
                        <m:t>x</m:t>
                      </m:r>
                    </m:e>
                    <m:sub>
                      <m:r>
                        <m:t>i</m:t>
                      </m:r>
                    </m:sub>
                  </m:sSub>
                </m:e>
              </m:d>
            </m:lim>
          </m:limLow>
          <m:r>
            <m:t>f</m:t>
          </m:r>
          <m:d>
            <m:dPr>
              <m:begChr m:val="("/>
              <m:endChr m:val=")"/>
              <m:sepChr m:val=""/>
              <m:grow/>
            </m:dPr>
            <m:e>
              <m:r>
                <m:t>x</m:t>
              </m:r>
            </m:e>
          </m:d>
          <m:box>
            <m:boxPr>
              <m:opEmu m:val="1"/>
            </m:boxPr>
            <m:e>
              <m:r>
                <m:rPr>
                  <m:sty m:val="p"/>
                </m:rPr>
                <m:t>:=</m:t>
              </m:r>
            </m:e>
          </m:box>
          <m:r>
            <m:rPr>
              <m:nor/>
              <m:sty m:val="p"/>
            </m:rPr>
            <m:t>sup</m:t>
          </m:r>
          <m:r>
            <m:rPr>
              <m:sty m:val="p"/>
            </m:rPr>
            <m:t>{</m:t>
          </m:r>
          <m:r>
            <m:t>f</m:t>
          </m:r>
          <m:d>
            <m:dPr>
              <m:begChr m:val="("/>
              <m:endChr m:val=")"/>
              <m:sepChr m:val=""/>
              <m:grow/>
            </m:dPr>
            <m:e>
              <m:r>
                <m:t>x</m:t>
              </m:r>
            </m:e>
          </m:d>
          <m:r>
            <m:rPr>
              <m:sty m:val="p"/>
            </m:rPr>
            <m:t>|</m:t>
          </m:r>
          <m:r>
            <m:t>x</m:t>
          </m:r>
          <m:r>
            <m:rPr>
              <m:sty m:val="p"/>
            </m:rPr>
            <m:t>∈</m:t>
          </m:r>
          <m:d>
            <m:dPr>
              <m:begChr m:val="["/>
              <m:endChr m:val="]"/>
              <m:sepChr m:val=""/>
              <m:grow/>
            </m:dPr>
            <m:e>
              <m:sSub>
                <m:e>
                  <m:r>
                    <m:t>x</m:t>
                  </m:r>
                </m:e>
                <m:sub>
                  <m:r>
                    <m:t>i</m:t>
                  </m:r>
                  <m:r>
                    <m:rPr>
                      <m:sty m:val="p"/>
                    </m:rPr>
                    <m:t>−</m:t>
                  </m:r>
                  <m:r>
                    <m:t>1</m:t>
                  </m:r>
                </m:sub>
              </m:sSub>
              <m:r>
                <m:rPr>
                  <m:sty m:val="p"/>
                </m:rPr>
                <m:t>,</m:t>
              </m:r>
              <m:sSub>
                <m:e>
                  <m:r>
                    <m:t>x</m:t>
                  </m:r>
                </m:e>
                <m:sub>
                  <m:r>
                    <m:t>i</m:t>
                  </m:r>
                </m:sub>
              </m:sSub>
            </m:e>
          </m:d>
          <m:r>
            <m:rPr>
              <m:sty m:val="p"/>
            </m:rPr>
            <m:t>}</m:t>
          </m:r>
          <m:r>
            <m:rPr>
              <m:sty m:val="p"/>
            </m:rPr>
            <m:t>.</m:t>
          </m:r>
        </m:oMath>
      </m:oMathPara>
    </w:p>
    <w:bookmarkEnd w:id="28"/>
    <w:p>
      <w:pPr>
        <w:pStyle w:val="CaptionedFigure"/>
      </w:pPr>
      <w:r>
        <w:drawing>
          <wp:inline>
            <wp:extent cx="3810000" cy="2540000"/>
            <wp:effectExtent b="0" l="0" r="0" t="0"/>
            <wp:docPr descr="Figure 1.1: The upper and lower Riemann sums for a function f:[a,b] \to \mathbb{R} defined on a subdivision P = \lbrace x_0,x_1,x_2,x_3 \rbrace of [a,b]. The lower Riemann sum is the total area of the blue rectangles, and the upper Riemann sum is the total area of the blue and orange rectangles." title="" id="1" name="Picture"/>
            <a:graphic>
              <a:graphicData uri="http://schemas.openxmlformats.org/drawingml/2006/picture">
                <pic:pic>
                  <pic:nvPicPr>
                    <pic:cNvPr descr="riemannsums.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 The upper and lower Riemann sums for a function</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defined on a subdivision</w:t>
      </w:r>
      <w:r>
        <w:t xml:space="preserve"> </w:t>
      </w:r>
      <m:oMath>
        <m:r>
          <m:t>P</m:t>
        </m:r>
        <m:r>
          <m:rPr>
            <m:sty m:val="p"/>
          </m:rPr>
          <m:t>=</m:t>
        </m:r>
        <m:r>
          <m:rPr>
            <m:sty m:val="p"/>
          </m:rPr>
          <m:t>{</m:t>
        </m:r>
        <m:sSub>
          <m:e>
            <m:r>
              <m:t>x</m:t>
            </m:r>
          </m:e>
          <m:sub>
            <m:r>
              <m:t>0</m:t>
            </m:r>
          </m:sub>
        </m:sSub>
        <m:r>
          <m:rPr>
            <m:sty m:val="p"/>
          </m:rPr>
          <m:t>,</m:t>
        </m:r>
        <m:sSub>
          <m:e>
            <m:r>
              <m:t>x</m:t>
            </m:r>
          </m:e>
          <m:sub>
            <m:r>
              <m:t>1</m:t>
            </m:r>
          </m:sub>
        </m:sSub>
        <m:r>
          <m:rPr>
            <m:sty m:val="p"/>
          </m:rPr>
          <m:t>,</m:t>
        </m:r>
        <m:sSub>
          <m:e>
            <m:r>
              <m:t>x</m:t>
            </m:r>
          </m:e>
          <m:sub>
            <m:r>
              <m:t>2</m:t>
            </m:r>
          </m:sub>
        </m:sSub>
        <m:r>
          <m:rPr>
            <m:sty m:val="p"/>
          </m:rPr>
          <m:t>,</m:t>
        </m:r>
        <m:sSub>
          <m:e>
            <m:r>
              <m:t>x</m:t>
            </m:r>
          </m:e>
          <m:sub>
            <m:r>
              <m:t>3</m:t>
            </m:r>
          </m:sub>
        </m:sSub>
        <m:r>
          <m:rPr>
            <m:sty m:val="p"/>
          </m:rPr>
          <m:t>}</m:t>
        </m:r>
      </m:oMath>
      <w:r>
        <w:t xml:space="preserve"> </w:t>
      </w:r>
      <w:r>
        <w:t xml:space="preserve">of</w:t>
      </w:r>
      <w:r>
        <w:t xml:space="preserve"> </w:t>
      </w:r>
      <m:oMath>
        <m:d>
          <m:dPr>
            <m:begChr m:val="["/>
            <m:endChr m:val="]"/>
            <m:sepChr m:val=""/>
            <m:grow/>
          </m:dPr>
          <m:e>
            <m:r>
              <m:t>a</m:t>
            </m:r>
            <m:r>
              <m:rPr>
                <m:sty m:val="p"/>
              </m:rPr>
              <m:t>,</m:t>
            </m:r>
            <m:r>
              <m:t>b</m:t>
            </m:r>
          </m:e>
        </m:d>
      </m:oMath>
      <w:r>
        <w:t xml:space="preserve">. The lower Riemann sum is the total area of the blue rectangles, and the upper Riemann sum is the total area of the blue and orange rectangles.</w:t>
      </w:r>
    </w:p>
    <w:bookmarkEnd w:id="30"/>
    <w:bookmarkStart w:id="33" w:name="refinements"/>
    <w:p>
      <w:pPr>
        <w:pStyle w:val="Heading3"/>
      </w:pPr>
      <w:r>
        <w:t xml:space="preserve">Refinements</w:t>
      </w:r>
    </w:p>
    <w:p>
      <w:pPr>
        <w:pStyle w:val="FirstParagraph"/>
      </w:pPr>
      <w:r>
        <w:t xml:space="preserve">At this stage, given a bounded function</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we have a way of subdividing the domain and a way of estimating the area under</w:t>
      </w:r>
      <w:r>
        <w:t xml:space="preserve"> </w:t>
      </w:r>
      <m:oMath>
        <m:r>
          <m:t>f</m:t>
        </m:r>
      </m:oMath>
      <w:r>
        <w:t xml:space="preserve">. We’d now like to consider what happens to the estimates as we make our subdivision finer. This leads on to the idea of a refinement:</w:t>
      </w:r>
    </w:p>
    <w:p>
      <w:pPr>
        <w:pStyle w:val="BodyText"/>
      </w:pPr>
    </w:p>
    <w:bookmarkStart w:id="32" w:name="def:def4"/>
    <w:p>
      <w:pPr>
        <w:pStyle w:val="DefinitionStyle"/>
      </w:pPr>
      <w:bookmarkStart w:id="31" w:name="def:def4"/>
      <w:bookmarkEnd w:id="31"/>
      <w:r>
        <w:rPr>
          <w:rStyle w:val="NameStyle"/>
        </w:rPr>
        <w:t xml:space="preserve">Definition 1.4 (Refinement)</w:t>
      </w:r>
      <w:r>
        <w:rPr>
          <w:rStyle w:val="NameStyle"/>
        </w:rPr>
        <w:t xml:space="preserve"> </w:t>
      </w:r>
    </w:p>
    <w:p>
      <w:pPr>
        <w:pStyle w:val="DefinitionStyle"/>
      </w:pPr>
      <w:r>
        <w:t xml:space="preserve">Let</w:t>
      </w:r>
      <w:r>
        <w:t xml:space="preserve"> </w:t>
      </w:r>
      <m:oMath>
        <m:r>
          <m:t>P</m:t>
        </m:r>
        <m:r>
          <m:rPr>
            <m:sty m:val="p"/>
          </m:rPr>
          <m:t>=</m:t>
        </m:r>
        <m:r>
          <m:rPr>
            <m:sty m:val="p"/>
          </m:rPr>
          <m:t>{</m:t>
        </m:r>
        <m:sSub>
          <m:e>
            <m:r>
              <m:t>x</m:t>
            </m:r>
          </m:e>
          <m:sub>
            <m:r>
              <m:t>0</m:t>
            </m:r>
          </m:sub>
        </m:sSub>
        <m:r>
          <m:rPr>
            <m:sty m:val="p"/>
          </m:rPr>
          <m:t>,</m:t>
        </m:r>
        <m:sSub>
          <m:e>
            <m:r>
              <m:t>x</m:t>
            </m:r>
          </m:e>
          <m:sub>
            <m:r>
              <m:t>1</m:t>
            </m:r>
          </m:sub>
        </m:sSub>
        <m:r>
          <m:rPr>
            <m:sty m:val="p"/>
          </m:rPr>
          <m:t>,</m:t>
        </m:r>
        <m:r>
          <m:rPr>
            <m:sty m:val="p"/>
          </m:rPr>
          <m:t>…</m:t>
        </m:r>
        <m:r>
          <m:rPr>
            <m:sty m:val="p"/>
          </m:rPr>
          <m:t>,</m:t>
        </m:r>
        <m:sSub>
          <m:e>
            <m:r>
              <m:t>x</m:t>
            </m:r>
          </m:e>
          <m:sub>
            <m:r>
              <m:t>n</m:t>
            </m:r>
          </m:sub>
        </m:sSub>
        <m:r>
          <m:rPr>
            <m:sty m:val="p"/>
          </m:rPr>
          <m:t>}</m:t>
        </m:r>
      </m:oMath>
      <w:r>
        <w:t xml:space="preserve"> </w:t>
      </w:r>
      <w:r>
        <w:t xml:space="preserve">and</w:t>
      </w:r>
      <w:r>
        <w:t xml:space="preserve"> </w:t>
      </w:r>
      <m:oMath>
        <m:r>
          <m:t>Q</m:t>
        </m:r>
        <m:r>
          <m:rPr>
            <m:sty m:val="p"/>
          </m:rPr>
          <m:t>=</m:t>
        </m:r>
        <m:r>
          <m:rPr>
            <m:sty m:val="p"/>
          </m:rPr>
          <m:t>{</m:t>
        </m:r>
        <m:sSub>
          <m:e>
            <m:r>
              <m:t>y</m:t>
            </m:r>
          </m:e>
          <m:sub>
            <m:r>
              <m:t>0</m:t>
            </m:r>
          </m:sub>
        </m:sSub>
        <m:r>
          <m:rPr>
            <m:sty m:val="p"/>
          </m:rPr>
          <m:t>,</m:t>
        </m:r>
        <m:sSub>
          <m:e>
            <m:r>
              <m:t>y</m:t>
            </m:r>
          </m:e>
          <m:sub>
            <m:r>
              <m:t>1</m:t>
            </m:r>
          </m:sub>
        </m:sSub>
        <m:r>
          <m:rPr>
            <m:sty m:val="p"/>
          </m:rPr>
          <m:t>,</m:t>
        </m:r>
        <m:r>
          <m:rPr>
            <m:sty m:val="p"/>
          </m:rPr>
          <m:t>…</m:t>
        </m:r>
        <m:r>
          <m:rPr>
            <m:sty m:val="p"/>
          </m:rPr>
          <m:t>,</m:t>
        </m:r>
        <m:sSub>
          <m:e>
            <m:r>
              <m:t>y</m:t>
            </m:r>
          </m:e>
          <m:sub>
            <m:r>
              <m:t>m</m:t>
            </m:r>
          </m:sub>
        </m:sSub>
        <m:r>
          <m:rPr>
            <m:sty m:val="p"/>
          </m:rPr>
          <m:t>}</m:t>
        </m:r>
      </m:oMath>
      <w:r>
        <w:t xml:space="preserve"> </w:t>
      </w:r>
      <w:r>
        <w:t xml:space="preserve">be subdivisions of</w:t>
      </w:r>
      <w:r>
        <w:t xml:space="preserve"> </w:t>
      </w:r>
      <m:oMath>
        <m:d>
          <m:dPr>
            <m:begChr m:val="["/>
            <m:endChr m:val="]"/>
            <m:sepChr m:val=""/>
            <m:grow/>
          </m:dPr>
          <m:e>
            <m:r>
              <m:t>a</m:t>
            </m:r>
            <m:r>
              <m:rPr>
                <m:sty m:val="p"/>
              </m:rPr>
              <m:t>,</m:t>
            </m:r>
            <m:r>
              <m:t>b</m:t>
            </m:r>
          </m:e>
        </m:d>
        <m:r>
          <m:rPr>
            <m:sty m:val="p"/>
          </m:rPr>
          <m:t>.</m:t>
        </m:r>
      </m:oMath>
      <w:r>
        <w:t xml:space="preserve"> </w:t>
      </w:r>
      <w:r>
        <w:t xml:space="preserve">Then</w:t>
      </w:r>
      <w:r>
        <w:t xml:space="preserve"> </w:t>
      </w:r>
      <m:oMath>
        <m:r>
          <m:t>Q</m:t>
        </m:r>
      </m:oMath>
      <w:r>
        <w:t xml:space="preserve"> </w:t>
      </w:r>
      <w:r>
        <w:t xml:space="preserve">is a</w:t>
      </w:r>
      <w:r>
        <w:t xml:space="preserve"> </w:t>
      </w:r>
      <w:r>
        <w:rPr>
          <w:iCs/>
          <w:i/>
        </w:rPr>
        <w:t xml:space="preserve">refinement</w:t>
      </w:r>
      <w:r>
        <w:t xml:space="preserve"> </w:t>
      </w:r>
      <w:r>
        <w:t xml:space="preserve">of</w:t>
      </w:r>
      <w:r>
        <w:t xml:space="preserve"> </w:t>
      </w:r>
      <m:oMath>
        <m:r>
          <m:t>P</m:t>
        </m:r>
      </m:oMath>
      <w:r>
        <w:t xml:space="preserve"> </w:t>
      </w:r>
      <w:r>
        <w:t xml:space="preserve">if</w:t>
      </w:r>
      <w:r>
        <w:t xml:space="preserve"> </w:t>
      </w:r>
      <m:oMath>
        <m:r>
          <m:t>P</m:t>
        </m:r>
        <m:r>
          <m:rPr>
            <m:sty m:val="p"/>
          </m:rPr>
          <m:t>⊆</m:t>
        </m:r>
        <m:r>
          <m:t>Q</m:t>
        </m:r>
      </m:oMath>
      <w:r>
        <w:t xml:space="preserve">.</w:t>
      </w:r>
    </w:p>
    <w:bookmarkEnd w:id="32"/>
    <w:p>
      <w:pPr>
        <w:pStyle w:val="BodyText"/>
      </w:pPr>
      <w:r>
        <w:t xml:space="preserve">Note that under this definition,</w:t>
      </w:r>
      <w:r>
        <w:t xml:space="preserve"> </w:t>
      </w:r>
      <m:oMath>
        <m:r>
          <m:t>P</m:t>
        </m:r>
      </m:oMath>
      <w:r>
        <w:t xml:space="preserve"> </w:t>
      </w:r>
      <w:r>
        <w:t xml:space="preserve">is a refinement of itself!</w:t>
      </w:r>
    </w:p>
    <w:bookmarkEnd w:id="33"/>
    <w:bookmarkEnd w:id="34"/>
    <w:bookmarkStart w:id="39" w:name="useful-results-for-subdivisions"/>
    <w:p>
      <w:pPr>
        <w:pStyle w:val="Heading2"/>
      </w:pPr>
      <w:r>
        <w:t xml:space="preserve">Useful Results for Subdivisions</w:t>
      </w:r>
    </w:p>
    <w:p>
      <w:pPr>
        <w:pStyle w:val="FirstParagraph"/>
      </w:pPr>
      <w:r>
        <w:t xml:space="preserve">If we refine our subdivisions, what happens to the corresponding lower and upper Riemann sums? Luckily we have a set of results that tell us!</w:t>
      </w:r>
    </w:p>
    <w:p>
      <w:pPr>
        <w:pStyle w:val="BodyText"/>
      </w:pPr>
    </w:p>
    <w:bookmarkStart w:id="36" w:name="prp:prop1"/>
    <w:p>
      <w:pPr>
        <w:pStyle w:val="TheoremStyleUpright"/>
      </w:pPr>
      <w:bookmarkStart w:id="35" w:name="prp:prop1"/>
      <w:bookmarkEnd w:id="35"/>
      <w:r>
        <w:rPr>
          <w:rStyle w:val="NameStyle"/>
        </w:rPr>
        <w:t xml:space="preserve">Proposition 1.1</w:t>
      </w:r>
      <w:r>
        <w:rPr>
          <w:rStyle w:val="NameStyle"/>
        </w:rPr>
        <w:t xml:space="preserve"> </w:t>
      </w:r>
    </w:p>
    <w:p>
      <w:pPr>
        <w:pStyle w:val="TheoremStyleUpright"/>
      </w:pPr>
      <w:r>
        <w:t xml:space="preserve">Let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bounded, and let</w:t>
      </w:r>
      <w:r>
        <w:t xml:space="preserve"> </w:t>
      </w:r>
      <m:oMath>
        <m:r>
          <m:t>P</m:t>
        </m:r>
      </m:oMath>
      <w:r>
        <w:t xml:space="preserve"> </w:t>
      </w:r>
      <w:r>
        <w:t xml:space="preserve">be a subdivision of</w:t>
      </w:r>
      <w:r>
        <w:t xml:space="preserve"> </w:t>
      </w:r>
      <m:oMath>
        <m:d>
          <m:dPr>
            <m:begChr m:val="["/>
            <m:endChr m:val="]"/>
            <m:sepChr m:val=""/>
            <m:grow/>
          </m:dPr>
          <m:e>
            <m:r>
              <m:t>a</m:t>
            </m:r>
            <m:r>
              <m:rPr>
                <m:sty m:val="p"/>
              </m:rPr>
              <m:t>,</m:t>
            </m:r>
            <m:r>
              <m:t>b</m:t>
            </m:r>
          </m:e>
        </m:d>
        <m:r>
          <m:rPr>
            <m:sty m:val="p"/>
          </m:rPr>
          <m:t>.</m:t>
        </m:r>
      </m:oMath>
      <w:r>
        <w:t xml:space="preserve"> </w:t>
      </w:r>
      <w:r>
        <w:t xml:space="preserve">Then:</w:t>
      </w:r>
    </w:p>
    <w:p>
      <w:pPr>
        <w:numPr>
          <w:ilvl w:val="0"/>
          <w:numId w:val="1001"/>
        </w:numPr>
        <w:pStyle w:val="Compact"/>
      </w:pPr>
      <m:oMath>
        <m:r>
          <m:t>L</m:t>
        </m:r>
        <m:d>
          <m:dPr>
            <m:begChr m:val="("/>
            <m:endChr m:val=")"/>
            <m:sepChr m:val=""/>
            <m:grow/>
          </m:dPr>
          <m:e>
            <m:r>
              <m:t>f</m:t>
            </m:r>
            <m:r>
              <m:rPr>
                <m:sty m:val="p"/>
              </m:rPr>
              <m:t>,</m:t>
            </m:r>
            <m:r>
              <m:t>P</m:t>
            </m:r>
          </m:e>
        </m:d>
        <m:r>
          <m:rPr>
            <m:sty m:val="p"/>
          </m:rPr>
          <m:t>≤</m:t>
        </m:r>
        <m:r>
          <m:t>U</m:t>
        </m:r>
        <m:d>
          <m:dPr>
            <m:begChr m:val="("/>
            <m:endChr m:val=")"/>
            <m:sepChr m:val=""/>
            <m:grow/>
          </m:dPr>
          <m:e>
            <m:r>
              <m:t>f</m:t>
            </m:r>
            <m:r>
              <m:rPr>
                <m:sty m:val="p"/>
              </m:rPr>
              <m:t>,</m:t>
            </m:r>
            <m:r>
              <m:t>P</m:t>
            </m:r>
          </m:e>
        </m:d>
      </m:oMath>
    </w:p>
    <w:p>
      <w:pPr>
        <w:numPr>
          <w:ilvl w:val="0"/>
          <w:numId w:val="1001"/>
        </w:numPr>
        <w:pStyle w:val="Compact"/>
      </w:pPr>
      <w:r>
        <w:t xml:space="preserve">If</w:t>
      </w:r>
      <w:r>
        <w:t xml:space="preserve"> </w:t>
      </w:r>
      <m:oMath>
        <m:r>
          <m:t>Q</m:t>
        </m:r>
      </m:oMath>
      <w:r>
        <w:t xml:space="preserve"> </w:t>
      </w:r>
      <w:r>
        <w:t xml:space="preserve">is a refinement of</w:t>
      </w:r>
      <w:r>
        <w:t xml:space="preserve"> </w:t>
      </w:r>
      <m:oMath>
        <m:r>
          <m:t>P</m:t>
        </m:r>
      </m:oMath>
      <w:r>
        <w:t xml:space="preserve">,</w:t>
      </w:r>
    </w:p>
    <w:p>
      <w:pPr>
        <w:pStyle w:val="Compact"/>
      </w:pPr>
      <m:oMathPara>
        <m:oMathParaPr>
          <m:jc m:val="center"/>
        </m:oMathParaPr>
        <m:oMath>
          <m:r>
            <m:t>L</m:t>
          </m:r>
          <m:d>
            <m:dPr>
              <m:begChr m:val="("/>
              <m:endChr m:val=")"/>
              <m:sepChr m:val=""/>
              <m:grow/>
            </m:dPr>
            <m:e>
              <m:r>
                <m:t>f</m:t>
              </m:r>
              <m:r>
                <m:rPr>
                  <m:sty m:val="p"/>
                </m:rPr>
                <m:t>,</m:t>
              </m:r>
              <m:r>
                <m:t>P</m:t>
              </m:r>
            </m:e>
          </m:d>
          <m:r>
            <m:rPr>
              <m:sty m:val="p"/>
            </m:rPr>
            <m:t>≤</m:t>
          </m:r>
          <m:r>
            <m:t>L</m:t>
          </m:r>
          <m:d>
            <m:dPr>
              <m:begChr m:val="("/>
              <m:endChr m:val=")"/>
              <m:sepChr m:val=""/>
              <m:grow/>
            </m:dPr>
            <m:e>
              <m:r>
                <m:t>f</m:t>
              </m:r>
              <m:r>
                <m:rPr>
                  <m:sty m:val="p"/>
                </m:rPr>
                <m:t>,</m:t>
              </m:r>
              <m:r>
                <m:t>Q</m:t>
              </m:r>
            </m:e>
          </m:d>
          <m:r>
            <m:t> </m:t>
          </m:r>
          <m:r>
            <m:t> </m:t>
          </m:r>
          <m:r>
            <m:rPr>
              <m:nor/>
              <m:sty m:val="p"/>
            </m:rPr>
            <m:t>and</m:t>
          </m:r>
          <m:r>
            <m:t> </m:t>
          </m:r>
          <m:r>
            <m:t> </m:t>
          </m:r>
          <m:r>
            <m:t>U</m:t>
          </m:r>
          <m:d>
            <m:dPr>
              <m:begChr m:val="("/>
              <m:endChr m:val=")"/>
              <m:sepChr m:val=""/>
              <m:grow/>
            </m:dPr>
            <m:e>
              <m:r>
                <m:t>f</m:t>
              </m:r>
              <m:r>
                <m:rPr>
                  <m:sty m:val="p"/>
                </m:rPr>
                <m:t>,</m:t>
              </m:r>
              <m:r>
                <m:t>Q</m:t>
              </m:r>
            </m:e>
          </m:d>
          <m:r>
            <m:rPr>
              <m:sty m:val="p"/>
            </m:rPr>
            <m:t>≤</m:t>
          </m:r>
          <m:r>
            <m:t>U</m:t>
          </m:r>
          <m:d>
            <m:dPr>
              <m:begChr m:val="("/>
              <m:endChr m:val=")"/>
              <m:sepChr m:val=""/>
              <m:grow/>
            </m:dPr>
            <m:e>
              <m:r>
                <m:t>f</m:t>
              </m:r>
              <m:r>
                <m:rPr>
                  <m:sty m:val="p"/>
                </m:rPr>
                <m:t>,</m:t>
              </m:r>
              <m:r>
                <m:t>P</m:t>
              </m:r>
            </m:e>
          </m:d>
          <m:r>
            <m:rPr>
              <m:sty m:val="p"/>
            </m:rPr>
            <m:t>.</m:t>
          </m:r>
        </m:oMath>
      </m:oMathPara>
    </w:p>
    <w:p>
      <w:pPr>
        <w:numPr>
          <w:ilvl w:val="0"/>
          <w:numId w:val="1001"/>
        </w:numPr>
        <w:pStyle w:val="Compact"/>
      </w:pPr>
      <w:r>
        <w:t xml:space="preserve">If</w:t>
      </w:r>
      <w:r>
        <w:t xml:space="preserve"> </w:t>
      </w:r>
      <m:oMath>
        <m:r>
          <m:t>R</m:t>
        </m:r>
      </m:oMath>
      <w:r>
        <w:t xml:space="preserve"> </w:t>
      </w:r>
      <w:r>
        <w:t xml:space="preserve">is</w:t>
      </w:r>
      <w:r>
        <w:t xml:space="preserve"> </w:t>
      </w:r>
      <w:r>
        <w:rPr>
          <w:bCs/>
          <w:b/>
        </w:rPr>
        <w:t xml:space="preserve">any</w:t>
      </w:r>
      <w:r>
        <w:t xml:space="preserve"> </w:t>
      </w:r>
      <w:r>
        <w:t xml:space="preserve">other subdivision,</w:t>
      </w:r>
    </w:p>
    <w:p>
      <w:pPr>
        <w:pStyle w:val="Compact"/>
      </w:pPr>
      <m:oMathPara>
        <m:oMathParaPr>
          <m:jc m:val="center"/>
        </m:oMathParaPr>
        <m:oMath>
          <m:r>
            <m:t>L</m:t>
          </m:r>
          <m:d>
            <m:dPr>
              <m:begChr m:val="("/>
              <m:endChr m:val=")"/>
              <m:sepChr m:val=""/>
              <m:grow/>
            </m:dPr>
            <m:e>
              <m:r>
                <m:t>f</m:t>
              </m:r>
              <m:r>
                <m:rPr>
                  <m:sty m:val="p"/>
                </m:rPr>
                <m:t>,</m:t>
              </m:r>
              <m:r>
                <m:t>P</m:t>
              </m:r>
            </m:e>
          </m:d>
          <m:r>
            <m:rPr>
              <m:sty m:val="p"/>
            </m:rPr>
            <m:t>≤</m:t>
          </m:r>
          <m:r>
            <m:t>U</m:t>
          </m:r>
          <m:d>
            <m:dPr>
              <m:begChr m:val="("/>
              <m:endChr m:val=")"/>
              <m:sepChr m:val=""/>
              <m:grow/>
            </m:dPr>
            <m:e>
              <m:r>
                <m:t>f</m:t>
              </m:r>
              <m:r>
                <m:rPr>
                  <m:sty m:val="p"/>
                </m:rPr>
                <m:t>,</m:t>
              </m:r>
              <m:r>
                <m:t>R</m:t>
              </m:r>
            </m:e>
          </m:d>
          <m:r>
            <m:rPr>
              <m:sty m:val="p"/>
            </m:rPr>
            <m:t>.</m:t>
          </m:r>
        </m:oMath>
      </m:oMathPara>
    </w:p>
    <w:p>
      <w:pPr>
        <w:numPr>
          <w:ilvl w:val="0"/>
          <w:numId w:val="1001"/>
        </w:numPr>
        <w:pStyle w:val="Compact"/>
      </w:pPr>
      <w:r>
        <w:t xml:space="preserve">(This says that every lower Riemann sum is smaller than every upper Riemann sum.)</w:t>
      </w:r>
    </w:p>
    <w:bookmarkEnd w:id="36"/>
    <w:p>
      <w:pPr>
        <w:pStyle w:val="FirstParagraph"/>
      </w:pPr>
      <w:r>
        <w:t xml:space="preserve">The proofs of these results rely on some properties of suprema and infima, which are useful to know in any case!</w:t>
      </w:r>
    </w:p>
    <w:p>
      <w:pPr>
        <w:pStyle w:val="BodyText"/>
      </w:pPr>
    </w:p>
    <w:bookmarkStart w:id="38" w:name="prp:prop2"/>
    <w:p>
      <w:pPr>
        <w:pStyle w:val="TheoremStyleUpright"/>
      </w:pPr>
      <w:bookmarkStart w:id="37" w:name="prp:prop2"/>
      <w:bookmarkEnd w:id="37"/>
      <w:r>
        <w:rPr>
          <w:rStyle w:val="NameStyle"/>
        </w:rPr>
        <w:t xml:space="preserve">Proposition 1.2</w:t>
      </w:r>
      <w:r>
        <w:rPr>
          <w:rStyle w:val="NameStyle"/>
        </w:rPr>
        <w:t xml:space="preserve"> </w:t>
      </w:r>
    </w:p>
    <w:p>
      <w:pPr>
        <w:pStyle w:val="TheoremStyleUpright"/>
      </w:pPr>
      <w:r>
        <w:t xml:space="preserve">Let</w:t>
      </w:r>
      <w:r>
        <w:t xml:space="preserve"> </w:t>
      </w:r>
      <m:oMath>
        <m:r>
          <m:rPr>
            <m:sty m:val="p"/>
          </m:rPr>
          <m:t>∅</m:t>
        </m:r>
        <m:r>
          <m:rPr>
            <m:sty m:val="p"/>
          </m:rPr>
          <m:t>≠</m:t>
        </m:r>
        <m:r>
          <m:t>S</m:t>
        </m:r>
        <m:r>
          <m:rPr>
            <m:sty m:val="p"/>
          </m:rPr>
          <m:t>⊆</m:t>
        </m:r>
        <m:r>
          <m:t>T</m:t>
        </m:r>
        <m:r>
          <m:rPr>
            <m:sty m:val="p"/>
          </m:rPr>
          <m:t>⊆</m:t>
        </m:r>
        <m:r>
          <m:rPr>
            <m:sty m:val="p"/>
            <m:scr m:val="double-struck"/>
          </m:rPr>
          <m:t>R</m:t>
        </m:r>
      </m:oMath>
      <w:r>
        <w:t xml:space="preserve">. Then</w:t>
      </w:r>
    </w:p>
    <w:p>
      <w:pPr>
        <w:numPr>
          <w:ilvl w:val="0"/>
          <w:numId w:val="1002"/>
        </w:numPr>
        <w:pStyle w:val="Compact"/>
      </w:pPr>
      <m:oMath>
        <m:r>
          <m:rPr>
            <m:nor/>
            <m:sty m:val="p"/>
          </m:rPr>
          <m:t>inf</m:t>
        </m:r>
        <m:d>
          <m:dPr>
            <m:begChr m:val="("/>
            <m:endChr m:val=")"/>
            <m:sepChr m:val=""/>
            <m:grow/>
          </m:dPr>
          <m:e>
            <m:r>
              <m:t>S</m:t>
            </m:r>
          </m:e>
        </m:d>
        <m:r>
          <m:rPr>
            <m:sty m:val="p"/>
          </m:rPr>
          <m:t>≤</m:t>
        </m:r>
        <m:r>
          <m:rPr>
            <m:nor/>
            <m:sty m:val="p"/>
          </m:rPr>
          <m:t>sup</m:t>
        </m:r>
        <m:d>
          <m:dPr>
            <m:begChr m:val="("/>
            <m:endChr m:val=")"/>
            <m:sepChr m:val=""/>
            <m:grow/>
          </m:dPr>
          <m:e>
            <m:r>
              <m:t>S</m:t>
            </m:r>
          </m:e>
        </m:d>
        <m:r>
          <m:rPr>
            <m:sty m:val="p"/>
          </m:rPr>
          <m:t>.</m:t>
        </m:r>
      </m:oMath>
    </w:p>
    <w:p>
      <w:pPr>
        <w:numPr>
          <w:ilvl w:val="0"/>
          <w:numId w:val="1002"/>
        </w:numPr>
        <w:pStyle w:val="Compact"/>
      </w:pPr>
      <m:oMath>
        <m:r>
          <m:rPr>
            <m:nor/>
            <m:sty m:val="p"/>
          </m:rPr>
          <m:t>inf</m:t>
        </m:r>
        <m:d>
          <m:dPr>
            <m:begChr m:val="("/>
            <m:endChr m:val=")"/>
            <m:sepChr m:val=""/>
            <m:grow/>
          </m:dPr>
          <m:e>
            <m:r>
              <m:t>S</m:t>
            </m:r>
          </m:e>
        </m:d>
        <m:r>
          <m:rPr>
            <m:sty m:val="p"/>
          </m:rPr>
          <m:t>≥</m:t>
        </m:r>
        <m:r>
          <m:rPr>
            <m:nor/>
            <m:sty m:val="p"/>
          </m:rPr>
          <m:t>inf</m:t>
        </m:r>
        <m:d>
          <m:dPr>
            <m:begChr m:val="("/>
            <m:endChr m:val=")"/>
            <m:sepChr m:val=""/>
            <m:grow/>
          </m:dPr>
          <m:e>
            <m:r>
              <m:t>T</m:t>
            </m:r>
          </m:e>
        </m:d>
      </m:oMath>
      <w:r>
        <w:t xml:space="preserve"> </w:t>
      </w:r>
      <w:r>
        <w:t xml:space="preserve">and</w:t>
      </w:r>
      <w:r>
        <w:t xml:space="preserve"> </w:t>
      </w:r>
      <m:oMath>
        <m:r>
          <m:rPr>
            <m:nor/>
            <m:sty m:val="p"/>
          </m:rPr>
          <m:t>sup</m:t>
        </m:r>
        <m:d>
          <m:dPr>
            <m:begChr m:val="("/>
            <m:endChr m:val=")"/>
            <m:sepChr m:val=""/>
            <m:grow/>
          </m:dPr>
          <m:e>
            <m:r>
              <m:t>S</m:t>
            </m:r>
          </m:e>
        </m:d>
        <m:r>
          <m:rPr>
            <m:sty m:val="p"/>
          </m:rPr>
          <m:t>≤</m:t>
        </m:r>
        <m:r>
          <m:rPr>
            <m:nor/>
            <m:sty m:val="p"/>
          </m:rPr>
          <m:t>sup</m:t>
        </m:r>
        <m:d>
          <m:dPr>
            <m:begChr m:val="("/>
            <m:endChr m:val=")"/>
            <m:sepChr m:val=""/>
            <m:grow/>
          </m:dPr>
          <m:e>
            <m:r>
              <m:t>T</m:t>
            </m:r>
          </m:e>
        </m:d>
        <m:r>
          <m:rPr>
            <m:sty m:val="p"/>
          </m:rPr>
          <m:t>.</m:t>
        </m:r>
      </m:oMath>
    </w:p>
    <w:bookmarkEnd w:id="38"/>
    <w:bookmarkEnd w:id="39"/>
    <w:bookmarkStart w:id="43" w:name="the-definition"/>
    <w:p>
      <w:pPr>
        <w:pStyle w:val="Heading2"/>
      </w:pPr>
      <w:r>
        <w:t xml:space="preserve">The Definition!</w:t>
      </w:r>
    </w:p>
    <w:p>
      <w:pPr>
        <w:pStyle w:val="FirstParagraph"/>
      </w:pPr>
      <w:r>
        <w:t xml:space="preserve">We’re almost ready to define the (Riemann) integral! For our bounded function</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the set of all lower sums is bounded above, and the set of all upper sums is bounded below. Therefore, we can talk about their supremum and infimum respectively. These have special names, and are correspondingly known as</w:t>
      </w:r>
      <w:r>
        <w:t xml:space="preserve"> </w:t>
      </w:r>
      <w:r>
        <w:rPr>
          <w:iCs/>
          <w:i/>
        </w:rPr>
        <w:t xml:space="preserve">lower and upper Riemann integrals</w:t>
      </w:r>
      <w:r>
        <w:t xml:space="preserve">.</w:t>
      </w:r>
    </w:p>
    <w:p>
      <w:pPr>
        <w:pStyle w:val="BodyText"/>
      </w:pPr>
    </w:p>
    <w:p>
      <w:pPr>
        <w:pStyle w:val="BodyText"/>
      </w:pPr>
      <w:bookmarkStart w:id="40" w:name="def:def5"/>
      <w:bookmarkEnd w:id="40"/>
      <w:r>
        <w:rPr>
          <w:rStyle w:val="NameStyle"/>
        </w:rPr>
        <w:t xml:space="preserve">Definition 1.5 (Lower and Upper Riemann Integrals)</w:t>
      </w:r>
      <w:r>
        <w:rPr>
          <w:rStyle w:val="NameStyle"/>
        </w:rPr>
        <w:t xml:space="preserve"> </w:t>
      </w:r>
    </w:p>
    <w:p>
      <w:pPr>
        <w:pStyle w:val="BodyText"/>
      </w:pPr>
      <w:r>
        <w:t xml:space="preserve">Let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bounded. Then:</w:t>
      </w:r>
    </w:p>
    <w:p>
      <w:pPr>
        <w:numPr>
          <w:ilvl w:val="0"/>
          <w:numId w:val="1003"/>
        </w:numPr>
        <w:pStyle w:val="Compact"/>
      </w:pPr>
      <w:r>
        <w:t xml:space="preserve">The</w:t>
      </w:r>
      <w:r>
        <w:t xml:space="preserve"> </w:t>
      </w:r>
      <w:r>
        <w:rPr>
          <w:iCs/>
          <w:i/>
        </w:rPr>
        <w:t xml:space="preserve">lower Riemann integral</w:t>
      </w:r>
      <w:r>
        <w:t xml:space="preserve"> </w:t>
      </w:r>
      <w:r>
        <w:t xml:space="preserve">is</w:t>
      </w:r>
    </w:p>
    <w:p>
      <w:pPr>
        <w:pStyle w:val="Compact"/>
      </w:pPr>
      <m:oMathPara>
        <m:oMathParaPr>
          <m:jc m:val="center"/>
        </m:oMathParaPr>
        <m:oMath>
          <m:limLow>
            <m:e>
              <m:sSubSup>
                <m:e>
                  <m:r>
                    <m:rPr>
                      <m:sty m:val="p"/>
                    </m:rPr>
                    <m:t>∫</m:t>
                  </m:r>
                </m:e>
                <m:sub>
                  <m:r>
                    <m:t>a</m:t>
                  </m:r>
                </m:sub>
                <m:sup>
                  <m:r>
                    <m:t>b</m:t>
                  </m:r>
                </m:sup>
              </m:sSubSup>
            </m:e>
            <m:lim>
              <m:r>
                <m:rPr>
                  <m:sty m:val="p"/>
                </m:rPr>
                <m:t>_</m:t>
              </m:r>
            </m:lim>
          </m:limLow>
          <m:r>
            <m:t>f</m:t>
          </m:r>
          <m:box>
            <m:boxPr>
              <m:opEmu m:val="1"/>
            </m:boxPr>
            <m:e>
              <m:r>
                <m:rPr>
                  <m:sty m:val="p"/>
                </m:rPr>
                <m:t>:=</m:t>
              </m:r>
            </m:e>
          </m:box>
          <m:r>
            <m:rPr>
              <m:nor/>
              <m:sty m:val="p"/>
            </m:rPr>
            <m:t>sup</m:t>
          </m:r>
          <m:d>
            <m:dPr>
              <m:begChr m:val="{"/>
              <m:endChr m:val="}"/>
              <m:sepChr m:val=""/>
              <m:grow/>
            </m:dPr>
            <m:e>
              <m:r>
                <m:t>L</m:t>
              </m:r>
              <m:d>
                <m:dPr>
                  <m:begChr m:val="("/>
                  <m:endChr m:val=")"/>
                  <m:sepChr m:val=""/>
                  <m:grow/>
                </m:dPr>
                <m:e>
                  <m:r>
                    <m:t>f</m:t>
                  </m:r>
                  <m:r>
                    <m:rPr>
                      <m:sty m:val="p"/>
                    </m:rPr>
                    <m:t>,</m:t>
                  </m:r>
                  <m:r>
                    <m:t>P</m:t>
                  </m:r>
                </m:e>
              </m:d>
              <m:r>
                <m:rPr>
                  <m:sty m:val="p"/>
                </m:rPr>
                <m:t>|</m:t>
              </m:r>
              <m:r>
                <m:t> </m:t>
              </m:r>
              <m:r>
                <m:t>P</m:t>
              </m:r>
              <m:r>
                <m:rPr>
                  <m:nor/>
                  <m:sty m:val="p"/>
                </m:rPr>
                <m:t> is a subdivision of </m:t>
              </m:r>
              <m:d>
                <m:dPr>
                  <m:begChr m:val="["/>
                  <m:endChr m:val="]"/>
                  <m:sepChr m:val=""/>
                  <m:grow/>
                </m:dPr>
                <m:e>
                  <m:r>
                    <m:t>a</m:t>
                  </m:r>
                  <m:r>
                    <m:rPr>
                      <m:sty m:val="p"/>
                    </m:rPr>
                    <m:t>.</m:t>
                  </m:r>
                  <m:r>
                    <m:t>b</m:t>
                  </m:r>
                </m:e>
              </m:d>
            </m:e>
          </m:d>
          <m:r>
            <m:rPr>
              <m:sty m:val="p"/>
            </m:rPr>
            <m:t>.</m:t>
          </m:r>
        </m:oMath>
      </m:oMathPara>
    </w:p>
    <w:p>
      <w:pPr>
        <w:numPr>
          <w:ilvl w:val="0"/>
          <w:numId w:val="1003"/>
        </w:numPr>
        <w:pStyle w:val="Compact"/>
      </w:pPr>
      <w:r>
        <w:t xml:space="preserve">The</w:t>
      </w:r>
      <w:r>
        <w:t xml:space="preserve"> </w:t>
      </w:r>
      <w:r>
        <w:rPr>
          <w:iCs/>
          <w:i/>
        </w:rPr>
        <w:t xml:space="preserve">upper Riemann integral</w:t>
      </w:r>
      <w:r>
        <w:t xml:space="preserve"> </w:t>
      </w:r>
      <w:r>
        <w:t xml:space="preserve">is</w:t>
      </w:r>
    </w:p>
    <w:p>
      <w:pPr>
        <w:pStyle w:val="Compact"/>
      </w:pPr>
      <m:oMathPara>
        <m:oMathParaPr>
          <m:jc m:val="center"/>
        </m:oMathParaPr>
        <m:oMath>
          <m:bar>
            <m:barPr>
              <m:pos m:val="top"/>
            </m:barPr>
            <m:e>
              <m:sSubSup>
                <m:e>
                  <m:r>
                    <m:rPr>
                      <m:sty m:val="p"/>
                    </m:rPr>
                    <m:t>∫</m:t>
                  </m:r>
                </m:e>
                <m:sub>
                  <m:r>
                    <m:t>a</m:t>
                  </m:r>
                </m:sub>
                <m:sup>
                  <m:r>
                    <m:t>b</m:t>
                  </m:r>
                </m:sup>
              </m:sSubSup>
            </m:e>
          </m:bar>
          <m:r>
            <m:t>f</m:t>
          </m:r>
          <m:box>
            <m:boxPr>
              <m:opEmu m:val="1"/>
            </m:boxPr>
            <m:e>
              <m:r>
                <m:rPr>
                  <m:sty m:val="p"/>
                </m:rPr>
                <m:t>:=</m:t>
              </m:r>
            </m:e>
          </m:box>
          <m:r>
            <m:rPr>
              <m:nor/>
              <m:sty m:val="p"/>
            </m:rPr>
            <m:t>inf</m:t>
          </m:r>
          <m:d>
            <m:dPr>
              <m:begChr m:val="{"/>
              <m:endChr m:val="}"/>
              <m:sepChr m:val=""/>
              <m:grow/>
            </m:dPr>
            <m:e>
              <m:r>
                <m:t>U</m:t>
              </m:r>
              <m:d>
                <m:dPr>
                  <m:begChr m:val="("/>
                  <m:endChr m:val=")"/>
                  <m:sepChr m:val=""/>
                  <m:grow/>
                </m:dPr>
                <m:e>
                  <m:r>
                    <m:t>f</m:t>
                  </m:r>
                  <m:r>
                    <m:rPr>
                      <m:sty m:val="p"/>
                    </m:rPr>
                    <m:t>,</m:t>
                  </m:r>
                  <m:r>
                    <m:t>P</m:t>
                  </m:r>
                </m:e>
              </m:d>
              <m:r>
                <m:rPr>
                  <m:sty m:val="p"/>
                </m:rPr>
                <m:t>|</m:t>
              </m:r>
              <m:r>
                <m:t> </m:t>
              </m:r>
              <m:r>
                <m:t>P</m:t>
              </m:r>
              <m:r>
                <m:rPr>
                  <m:nor/>
                  <m:sty m:val="p"/>
                </m:rPr>
                <m:t> is a subdivision of </m:t>
              </m:r>
              <m:d>
                <m:dPr>
                  <m:begChr m:val="["/>
                  <m:endChr m:val="]"/>
                  <m:sepChr m:val=""/>
                  <m:grow/>
                </m:dPr>
                <m:e>
                  <m:r>
                    <m:t>a</m:t>
                  </m:r>
                  <m:r>
                    <m:rPr>
                      <m:sty m:val="p"/>
                    </m:rPr>
                    <m:t>.</m:t>
                  </m:r>
                  <m:r>
                    <m:t>b</m:t>
                  </m:r>
                </m:e>
              </m:d>
            </m:e>
          </m:d>
          <m:r>
            <m:rPr>
              <m:sty m:val="p"/>
            </m:rPr>
            <m:t>.</m:t>
          </m:r>
        </m:oMath>
      </m:oMathPara>
    </w:p>
    <w:p>
      <w:pPr>
        <w:pStyle w:val="FirstParagraph"/>
      </w:pPr>
      <w:r>
        <w:t xml:space="preserve">And now, after much ado, we can finally say what it means for a function to be Riemann integrable!</w:t>
      </w:r>
    </w:p>
    <w:p>
      <w:pPr>
        <w:pStyle w:val="BodyText"/>
      </w:pPr>
    </w:p>
    <w:bookmarkStart w:id="42" w:name="def:def6"/>
    <w:p>
      <w:pPr>
        <w:pStyle w:val="DefinitionStyle"/>
      </w:pPr>
      <w:bookmarkStart w:id="41" w:name="def:def6"/>
      <w:bookmarkEnd w:id="41"/>
      <w:r>
        <w:rPr>
          <w:rStyle w:val="NameStyle"/>
        </w:rPr>
        <w:t xml:space="preserve">Definition 1.6 (Riemann Integral)</w:t>
      </w:r>
      <w:r>
        <w:rPr>
          <w:rStyle w:val="NameStyle"/>
        </w:rPr>
        <w:t xml:space="preserve"> </w:t>
      </w:r>
    </w:p>
    <w:p>
      <w:pPr>
        <w:pStyle w:val="DefinitionStyle"/>
      </w:pPr>
      <w:r>
        <w:t xml:space="preserve">Let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be bounded. Then</w:t>
      </w:r>
      <w:r>
        <w:t xml:space="preserve"> </w:t>
      </w:r>
      <m:oMath>
        <m:r>
          <m:t>f</m:t>
        </m:r>
      </m:oMath>
      <w:r>
        <w:t xml:space="preserve"> </w:t>
      </w:r>
      <w:r>
        <w:t xml:space="preserve">is</w:t>
      </w:r>
      <w:r>
        <w:t xml:space="preserve"> </w:t>
      </w:r>
      <w:r>
        <w:rPr>
          <w:iCs/>
          <w:i/>
        </w:rPr>
        <w:t xml:space="preserve">Riemann integrable</w:t>
      </w:r>
      <w:r>
        <w:t xml:space="preserve"> </w:t>
      </w:r>
      <w:r>
        <w:t xml:space="preserve">if</w:t>
      </w:r>
    </w:p>
    <w:p>
      <w:pPr>
        <w:pStyle w:val="DefinitionStyle"/>
      </w:pPr>
      <m:oMathPara>
        <m:oMathParaPr>
          <m:jc m:val="center"/>
        </m:oMathParaPr>
        <m:oMath>
          <m:limLow>
            <m:e>
              <m:sSubSup>
                <m:e>
                  <m:r>
                    <m:rPr>
                      <m:sty m:val="p"/>
                    </m:rPr>
                    <m:t>∫</m:t>
                  </m:r>
                </m:e>
                <m:sub>
                  <m:r>
                    <m:t>a</m:t>
                  </m:r>
                </m:sub>
                <m:sup>
                  <m:r>
                    <m:t>b</m:t>
                  </m:r>
                </m:sup>
              </m:sSubSup>
            </m:e>
            <m:lim>
              <m:r>
                <m:rPr>
                  <m:sty m:val="p"/>
                </m:rPr>
                <m:t>_</m:t>
              </m:r>
            </m:lim>
          </m:limLow>
          <m:r>
            <m:t>f</m:t>
          </m:r>
          <m:r>
            <m:rPr>
              <m:sty m:val="p"/>
            </m:rPr>
            <m:t>=</m:t>
          </m:r>
          <m:bar>
            <m:barPr>
              <m:pos m:val="top"/>
            </m:barPr>
            <m:e>
              <m:sSubSup>
                <m:e>
                  <m:r>
                    <m:rPr>
                      <m:sty m:val="p"/>
                    </m:rPr>
                    <m:t>∫</m:t>
                  </m:r>
                </m:e>
                <m:sub>
                  <m:r>
                    <m:t>a</m:t>
                  </m:r>
                </m:sub>
                <m:sup>
                  <m:r>
                    <m:t>b</m:t>
                  </m:r>
                </m:sup>
              </m:sSubSup>
            </m:e>
          </m:bar>
          <m:r>
            <m:t>f</m:t>
          </m:r>
          <m:r>
            <m:rPr>
              <m:sty m:val="p"/>
            </m:rPr>
            <m:t>.</m:t>
          </m:r>
        </m:oMath>
      </m:oMathPara>
    </w:p>
    <w:p>
      <w:pPr>
        <w:pStyle w:val="DefinitionStyle"/>
      </w:pPr>
      <w:r>
        <w:t xml:space="preserve">If this happens, then the (Riemann) integral of</w:t>
      </w:r>
      <w:r>
        <w:t xml:space="preserve"> </w:t>
      </w:r>
      <m:oMath>
        <m:r>
          <m:t>f</m:t>
        </m:r>
      </m:oMath>
      <w:r>
        <w:t xml:space="preserve"> </w:t>
      </w:r>
      <w:r>
        <w:t xml:space="preserve">is defined to be the common value, and given the notation</w:t>
      </w:r>
      <w:r>
        <w:t xml:space="preserve"> </w:t>
      </w:r>
      <m:oMath>
        <m:nary>
          <m:naryPr>
            <m:chr m:val="∫"/>
            <m:limLoc m:val="subSup"/>
            <m:subHide m:val="0"/>
            <m:supHide m:val="0"/>
          </m:naryPr>
          <m:sub>
            <m:r>
              <m:t>a</m:t>
            </m:r>
          </m:sub>
          <m:sup>
            <m:r>
              <m:t>b</m:t>
            </m:r>
          </m:sup>
          <m:e>
            <m:r>
              <m:t>f</m:t>
            </m:r>
          </m:e>
        </m:nary>
        <m:r>
          <m:rPr>
            <m:sty m:val="p"/>
          </m:rPr>
          <m:t>.</m:t>
        </m:r>
      </m:oMath>
    </w:p>
    <w:bookmarkEnd w:id="42"/>
    <w:bookmarkEnd w:id="43"/>
    <w:bookmarkEnd w:id="44"/>
    <w:bookmarkStart w:id="45" w:name="hints"/>
    <w:p>
      <w:pPr>
        <w:pStyle w:val="Heading1"/>
      </w:pPr>
      <w:r>
        <w:t xml:space="preserve">Hints</w:t>
      </w:r>
    </w:p>
    <w:p>
      <w:pPr>
        <w:pStyle w:val="FirstParagraph"/>
      </w:pPr>
      <w:r>
        <w:t xml:space="preserve">As per usual, here’s where you’ll find the problem sheet hints!</w:t>
      </w:r>
    </w:p>
    <w:p>
      <w:pPr>
        <w:numPr>
          <w:ilvl w:val="0"/>
          <w:numId w:val="1004"/>
        </w:numPr>
        <w:pStyle w:val="Compact"/>
      </w:pPr>
      <w:r>
        <w:t xml:space="preserve">Have a look back at the example we did in tutorials — this one is pretty similar! Calculate both the lower and upper Riemann sums, and make sure to justify the main steps of your argument. Another thing, feel free to quote the values of</w:t>
      </w:r>
    </w:p>
    <w:p>
      <w:pPr>
        <w:pStyle w:val="Compact"/>
      </w:pPr>
      <m:oMathPara>
        <m:oMathParaPr>
          <m:jc m:val="center"/>
        </m:oMathParaPr>
        <m:oMath>
          <m:nary>
            <m:naryPr>
              <m:chr m:val="∑"/>
              <m:limLoc m:val="undOvr"/>
              <m:subHide m:val="0"/>
              <m:supHide m:val="0"/>
            </m:naryPr>
            <m:sub>
              <m:r>
                <m:t>i</m:t>
              </m:r>
              <m:r>
                <m:rPr>
                  <m:sty m:val="p"/>
                </m:rPr>
                <m:t>=</m:t>
              </m:r>
              <m:r>
                <m:t>1</m:t>
              </m:r>
            </m:sub>
            <m:sup>
              <m:r>
                <m:t>n</m:t>
              </m:r>
            </m:sup>
            <m:e>
              <m:sSup>
                <m:e>
                  <m:r>
                    <m:t>i</m:t>
                  </m:r>
                </m:e>
                <m:sup>
                  <m:r>
                    <m:t>k</m:t>
                  </m:r>
                </m:sup>
              </m:sSup>
            </m:e>
          </m:nary>
          <m:r>
            <m:rPr>
              <m:sty m:val="p"/>
            </m:rPr>
            <m:t>,</m:t>
          </m:r>
          <m:r>
            <m:t> </m:t>
          </m:r>
          <m:r>
            <m:t>k</m:t>
          </m:r>
          <m:r>
            <m:rPr>
              <m:sty m:val="p"/>
            </m:rPr>
            <m:t>=</m:t>
          </m:r>
          <m:r>
            <m:t>0</m:t>
          </m:r>
          <m:r>
            <m:rPr>
              <m:sty m:val="p"/>
            </m:rPr>
            <m:t>,</m:t>
          </m:r>
          <m:r>
            <m:t>1</m:t>
          </m:r>
          <m:r>
            <m:rPr>
              <m:sty m:val="p"/>
            </m:rPr>
            <m:t>,</m:t>
          </m:r>
          <m:r>
            <m:t>2</m:t>
          </m:r>
          <m:r>
            <m:rPr>
              <m:sty m:val="p"/>
            </m:rPr>
            <m:t>,</m:t>
          </m:r>
          <m:r>
            <m:rPr>
              <m:sty m:val="p"/>
            </m:rPr>
            <m:t>…</m:t>
          </m:r>
        </m:oMath>
      </m:oMathPara>
    </w:p>
    <w:p>
      <w:pPr>
        <w:numPr>
          <w:ilvl w:val="0"/>
          <w:numId w:val="1004"/>
        </w:numPr>
        <w:pStyle w:val="Compact"/>
      </w:pPr>
      <w:r>
        <w:t xml:space="preserve">as</w:t>
      </w:r>
      <w:r>
        <w:t xml:space="preserve"> </w:t>
      </w:r>
      <w:r>
        <w:t xml:space="preserve">‘</w:t>
      </w:r>
      <w:r>
        <w:t xml:space="preserve">standard results</w:t>
      </w:r>
      <w:r>
        <w:t xml:space="preserve">’</w:t>
      </w:r>
      <w:r>
        <w:t xml:space="preserve">, although being able to prove them is good practice too!</w:t>
      </w:r>
    </w:p>
    <w:p>
      <w:pPr>
        <w:numPr>
          <w:ilvl w:val="0"/>
          <w:numId w:val="1004"/>
        </w:numPr>
        <w:pStyle w:val="Compact"/>
      </w:pPr>
      <w:r>
        <w:t xml:space="preserve">First of all, this is an</w:t>
      </w:r>
      <w:r>
        <w:t xml:space="preserve"> </w:t>
      </w:r>
      <w:r>
        <w:t xml:space="preserve">‘</w:t>
      </w:r>
      <w:r>
        <w:t xml:space="preserve">if and only if</w:t>
      </w:r>
      <w:r>
        <w:t xml:space="preserve">’</w:t>
      </w:r>
      <w:r>
        <w:t xml:space="preserve">, so there are two things to prove! The</w:t>
      </w:r>
      <w:r>
        <w:t xml:space="preserve"> </w:t>
      </w:r>
      <w:r>
        <w:t xml:space="preserve">‘</w:t>
      </w:r>
      <m:oMath>
        <m:r>
          <m:rPr>
            <m:sty m:val="p"/>
          </m:rPr>
          <m:t>⇐</m:t>
        </m:r>
      </m:oMath>
      <w:r>
        <w:t xml:space="preserve">’</w:t>
      </w:r>
      <w:r>
        <w:t xml:space="preserve"> </w:t>
      </w:r>
      <w:r>
        <w:t xml:space="preserve">direction should be fairly straightforward. For the</w:t>
      </w:r>
      <w:r>
        <w:t xml:space="preserve"> </w:t>
      </w:r>
      <w:r>
        <w:t xml:space="preserve">‘</w:t>
      </w:r>
      <m:oMath>
        <m:r>
          <m:rPr>
            <m:sty m:val="p"/>
          </m:rPr>
          <m:t>⇒</m:t>
        </m:r>
      </m:oMath>
      <w:r>
        <w:t xml:space="preserve">’</w:t>
      </w:r>
      <w:r>
        <w:t xml:space="preserve"> </w:t>
      </w:r>
      <w:r>
        <w:t xml:space="preserve">direction, what do you get from considering</w:t>
      </w:r>
      <w:r>
        <w:t xml:space="preserve"> </w:t>
      </w:r>
      <m:oMath>
        <m:r>
          <m:t>U</m:t>
        </m:r>
        <m:d>
          <m:dPr>
            <m:begChr m:val="("/>
            <m:endChr m:val=")"/>
            <m:sepChr m:val=""/>
            <m:grow/>
          </m:dPr>
          <m:e>
            <m:r>
              <m:t>f</m:t>
            </m:r>
            <m:r>
              <m:rPr>
                <m:sty m:val="p"/>
              </m:rPr>
              <m:t>,</m:t>
            </m:r>
            <m:r>
              <m:t>P</m:t>
            </m:r>
          </m:e>
        </m:d>
        <m:r>
          <m:rPr>
            <m:sty m:val="p"/>
          </m:rPr>
          <m:t>−</m:t>
        </m:r>
        <m:r>
          <m:t>L</m:t>
        </m:r>
        <m:d>
          <m:dPr>
            <m:begChr m:val="("/>
            <m:endChr m:val=")"/>
            <m:sepChr m:val=""/>
            <m:grow/>
          </m:dPr>
          <m:e>
            <m:r>
              <m:t>f</m:t>
            </m:r>
            <m:r>
              <m:rPr>
                <m:sty m:val="p"/>
              </m:rPr>
              <m:t>,</m:t>
            </m:r>
            <m:r>
              <m:t>P</m:t>
            </m:r>
          </m:e>
        </m:d>
      </m:oMath>
      <w:r>
        <w:t xml:space="preserve">?</w:t>
      </w:r>
    </w:p>
    <w:p>
      <w:pPr>
        <w:numPr>
          <w:ilvl w:val="0"/>
          <w:numId w:val="1004"/>
        </w:numPr>
        <w:pStyle w:val="Compact"/>
      </w:pPr>
      <w:r>
        <w:t xml:space="preserve">Try the function</w:t>
      </w:r>
    </w:p>
    <w:p>
      <w:pPr>
        <w:pStyle w:val="Compact"/>
      </w:pPr>
      <m:oMathPara>
        <m:oMathParaPr>
          <m:jc m:val="center"/>
        </m:oMathParaPr>
        <m:oMath>
          <m:r>
            <m:t>h</m:t>
          </m:r>
          <m:r>
            <m:rPr>
              <m:sty m:val="p"/>
            </m:rPr>
            <m:t>:</m:t>
          </m:r>
          <m:d>
            <m:dPr>
              <m:begChr m:val="["/>
              <m:endChr m:val="]"/>
              <m:sepChr m:val=""/>
              <m:grow/>
            </m:dPr>
            <m:e>
              <m:r>
                <m:t>0</m:t>
              </m:r>
              <m:r>
                <m:rPr>
                  <m:sty m:val="p"/>
                </m:rPr>
                <m:t>,</m:t>
              </m:r>
              <m:r>
                <m:t>1</m:t>
              </m:r>
            </m:e>
          </m:d>
          <m:r>
            <m:rPr>
              <m:sty m:val="p"/>
            </m:rPr>
            <m:t>→</m:t>
          </m:r>
          <m:r>
            <m:rPr>
              <m:sty m:val="p"/>
              <m:scr m:val="double-struck"/>
            </m:rPr>
            <m:t>R</m:t>
          </m:r>
          <m:r>
            <m:rPr>
              <m:sty m:val="p"/>
            </m:rPr>
            <m:t>,</m:t>
          </m:r>
          <m:r>
            <m:t> </m:t>
          </m:r>
          <m:r>
            <m:t>h</m:t>
          </m:r>
          <m:d>
            <m:dPr>
              <m:begChr m:val="("/>
              <m:endChr m:val=")"/>
              <m:sepChr m:val=""/>
              <m:grow/>
            </m:dPr>
            <m:e>
              <m:r>
                <m:t>x</m:t>
              </m:r>
            </m:e>
          </m:d>
          <m:r>
            <m:rPr>
              <m:sty m:val="p"/>
            </m:rPr>
            <m:t>=</m:t>
          </m:r>
          <m:r>
            <m:t>x</m:t>
          </m:r>
          <m:r>
            <m:t>f</m:t>
          </m:r>
          <m:d>
            <m:dPr>
              <m:begChr m:val="("/>
              <m:endChr m:val=")"/>
              <m:sepChr m:val=""/>
              <m:grow/>
            </m:dPr>
            <m:e>
              <m:r>
                <m:t>x</m:t>
              </m:r>
            </m:e>
          </m:d>
          <m:r>
            <m:rPr>
              <m:sty m:val="p"/>
            </m:rPr>
            <m:t>,</m:t>
          </m:r>
        </m:oMath>
      </m:oMathPara>
    </w:p>
    <w:p>
      <w:pPr>
        <w:numPr>
          <w:ilvl w:val="0"/>
          <w:numId w:val="1004"/>
        </w:numPr>
        <w:pStyle w:val="Compact"/>
      </w:pPr>
      <w:r>
        <w:t xml:space="preserve">where</w:t>
      </w:r>
      <w:r>
        <w:t xml:space="preserve"> </w:t>
      </w:r>
      <m:oMath>
        <m:r>
          <m:t>f</m:t>
        </m:r>
      </m:oMath>
      <w:r>
        <w:t xml:space="preserve"> </w:t>
      </w:r>
      <w:r>
        <w:t xml:space="preserve">is as given in the question. Make sure to prove continuity at zero first. To prove that</w:t>
      </w:r>
      <w:r>
        <w:t xml:space="preserve"> </w:t>
      </w:r>
      <m:oMath>
        <m:r>
          <m:t>h</m:t>
        </m:r>
      </m:oMath>
      <w:r>
        <w:t xml:space="preserve"> </w:t>
      </w:r>
      <w:r>
        <w:t xml:space="preserve">is not integrable, show that the lower and upper Riemann integrals cannot be the same. For any subdivision</w:t>
      </w:r>
      <w:r>
        <w:t xml:space="preserve"> </w:t>
      </w:r>
      <m:oMath>
        <m:r>
          <m:t>P</m:t>
        </m:r>
      </m:oMath>
      <w:r>
        <w:t xml:space="preserve">, finding</w:t>
      </w:r>
      <w:r>
        <w:t xml:space="preserve"> </w:t>
      </w:r>
      <m:oMath>
        <m:r>
          <m:t>L</m:t>
        </m:r>
        <m:d>
          <m:dPr>
            <m:begChr m:val="("/>
            <m:endChr m:val=")"/>
            <m:sepChr m:val=""/>
            <m:grow/>
          </m:dPr>
          <m:e>
            <m:r>
              <m:t>h</m:t>
            </m:r>
            <m:r>
              <m:rPr>
                <m:sty m:val="p"/>
              </m:rPr>
              <m:t>,</m:t>
            </m:r>
            <m:r>
              <m:t>P</m:t>
            </m:r>
          </m:e>
        </m:d>
      </m:oMath>
      <w:r>
        <w:t xml:space="preserve"> </w:t>
      </w:r>
      <w:r>
        <w:t xml:space="preserve">should be OK. For</w:t>
      </w:r>
      <w:r>
        <w:t xml:space="preserve"> </w:t>
      </w:r>
      <m:oMath>
        <m:r>
          <m:t>U</m:t>
        </m:r>
        <m:d>
          <m:dPr>
            <m:begChr m:val="("/>
            <m:endChr m:val=")"/>
            <m:sepChr m:val=""/>
            <m:grow/>
          </m:dPr>
          <m:e>
            <m:r>
              <m:t>h</m:t>
            </m:r>
            <m:r>
              <m:rPr>
                <m:sty m:val="p"/>
              </m:rPr>
              <m:t>,</m:t>
            </m:r>
            <m:r>
              <m:t>P</m:t>
            </m:r>
          </m:e>
        </m:d>
      </m:oMath>
      <w:r>
        <w:t xml:space="preserve">, try and compare it to an upper Riemann sum of a function that you know the integral of.</w:t>
      </w:r>
    </w:p>
    <w:bookmarkEnd w:id="45"/>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svg" /><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1B — Tutorial 9</dc:title>
  <dc:creator>Christian Jones: University of Bath</dc:creator>
  <cp:keywords/>
  <dcterms:created xsi:type="dcterms:W3CDTF">2023-04-16T20:56:25Z</dcterms:created>
  <dcterms:modified xsi:type="dcterms:W3CDTF">2023-04-16T20:56:25Z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April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