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1st Analysis Tutorial on the 10th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4" w:name="lecture-recap"/>
    <w:p>
      <w:pPr>
        <w:pStyle w:val="Heading1"/>
      </w:pPr>
      <w:r>
        <w:t xml:space="preserve">Lecture Recap</w:t>
      </w:r>
    </w:p>
    <w:bookmarkStart w:id="27" w:name="statements"/>
    <w:p>
      <w:pPr>
        <w:pStyle w:val="Heading2"/>
      </w:pPr>
      <w:r>
        <w:t xml:space="preserve">Statements</w:t>
      </w:r>
    </w:p>
    <w:p>
      <w:pPr>
        <w:pStyle w:val="FirstParagraph"/>
      </w:pPr>
      <w:r>
        <w:t xml:space="preserve">This week has been all about logic, and is pretty much the foundation of most of maths! To begin, we need some</w:t>
      </w:r>
      <w:r>
        <w:t xml:space="preserve"> </w:t>
      </w:r>
      <w:r>
        <w:t xml:space="preserve">‘</w:t>
      </w:r>
      <w:r>
        <w:t xml:space="preserve">building blocks</w:t>
      </w:r>
      <w:r>
        <w:t xml:space="preserve">’</w:t>
      </w:r>
      <w:r>
        <w:t xml:space="preserve">, and these come in the form of</w:t>
      </w:r>
      <w:r>
        <w:t xml:space="preserve"> </w:t>
      </w:r>
      <w:r>
        <w:rPr>
          <w:iCs/>
          <w:i/>
        </w:rPr>
        <w:t xml:space="preserve">statements</w:t>
      </w:r>
      <w:r>
        <w:t xml:space="preserve"> </w:t>
      </w:r>
      <w:r>
        <w:t xml:space="preserve">— sentences which are either true or false. For example,</w:t>
      </w:r>
      <w:r>
        <w:t xml:space="preserve"> </w:t>
      </w:r>
      <w:r>
        <w:t xml:space="preserve"> </w:t>
      </w:r>
      <w:r>
        <w:t xml:space="preserve">‘</w:t>
      </w:r>
      <w:r>
        <w:t xml:space="preserve">The sky is blue</w:t>
      </w:r>
      <w:r>
        <w:t xml:space="preserve">’</w:t>
      </w:r>
      <w:r>
        <w:t xml:space="preserve"> </w:t>
      </w:r>
      <w:r>
        <w:t xml:space="preserve"> </w:t>
      </w:r>
      <w:r>
        <w:t xml:space="preserve">is a statement, whereas</w:t>
      </w:r>
      <w:r>
        <w:t xml:space="preserve"> </w:t>
      </w:r>
      <w:r>
        <w:t xml:space="preserve"> </w:t>
      </w:r>
      <w:r>
        <w:t xml:space="preserve">‘</w:t>
      </w:r>
      <w:r>
        <w:t xml:space="preserve">Why is the sky blue?</w:t>
      </w:r>
      <w:r>
        <w:t xml:space="preserve">’</w:t>
      </w:r>
      <w:r>
        <w:t xml:space="preserve"> </w:t>
      </w:r>
      <w:r>
        <w:t xml:space="preserve"> </w:t>
      </w:r>
      <w:r>
        <w:t xml:space="preserve">is not. In this course, statements are denoted by capital letters (usually</w:t>
      </w:r>
      <w:r>
        <w:t xml:space="preserve"> </w:t>
      </w:r>
      <m:oMath>
        <m:r>
          <m:t>P</m:t>
        </m:r>
        <m:r>
          <m:rPr>
            <m:sty m:val="p"/>
          </m:rPr>
          <m:t>,</m:t>
        </m:r>
        <m:r>
          <m:t>Q</m:t>
        </m:r>
        <m:r>
          <m:rPr>
            <m:sty m:val="p"/>
          </m:rPr>
          <m:t>,</m:t>
        </m:r>
        <m:r>
          <m:t>R</m:t>
        </m:r>
        <m:r>
          <m:rPr>
            <m:sty m:val="p"/>
          </m:rPr>
          <m:t>,</m:t>
        </m:r>
        <m:r>
          <m:rPr>
            <m:sty m:val="p"/>
          </m:rPr>
          <m:t>…</m:t>
        </m:r>
      </m:oMath>
      <w:r>
        <w:t xml:space="preserve">)</w:t>
      </w:r>
      <w:r>
        <w:rPr>
          <w:rStyle w:val="FootnoteReference"/>
        </w:rPr>
        <w:footnoteReference w:id="23"/>
      </w:r>
    </w:p>
    <w:p>
      <w:pPr>
        <w:pStyle w:val="BodyText"/>
      </w:pPr>
      <w:r>
        <w:t xml:space="preserve">Now that we have some statements, it makes sense to see if we can build something more complicated using them, and this is where the idea of logical operations come in. Suppose</w:t>
      </w:r>
      <w:r>
        <w:t xml:space="preserve"> </w:t>
      </w:r>
      <m:oMath>
        <m:r>
          <m:t>P</m:t>
        </m:r>
      </m:oMath>
      <w:r>
        <w:t xml:space="preserve"> </w:t>
      </w:r>
      <w:r>
        <w:t xml:space="preserve">and</w:t>
      </w:r>
      <w:r>
        <w:t xml:space="preserve"> </w:t>
      </w:r>
      <m:oMath>
        <m:r>
          <m:t>Q</m:t>
        </m:r>
      </m:oMath>
      <w:r>
        <w:t xml:space="preserve"> </w:t>
      </w:r>
      <w:r>
        <w:t xml:space="preserve">are statements. Then, there are four main ones you should be aware of:</w:t>
      </w:r>
    </w:p>
    <w:p>
      <w:pPr>
        <w:numPr>
          <w:ilvl w:val="0"/>
          <w:numId w:val="1001"/>
        </w:numPr>
        <w:pStyle w:val="Compact"/>
      </w:pPr>
      <w:r>
        <w:rPr>
          <w:bCs/>
          <w:b/>
        </w:rPr>
        <w:t xml:space="preserve">Conjunction</w:t>
      </w:r>
      <w:r>
        <w:t xml:space="preserve"> </w:t>
      </w:r>
      <w:r>
        <w:t xml:space="preserve">(</w:t>
      </w:r>
      <m:oMath>
        <m:r>
          <m:t>P</m:t>
        </m:r>
        <m:r>
          <m:rPr>
            <m:sty m:val="p"/>
          </m:rPr>
          <m:t>∧</m:t>
        </m:r>
        <m:r>
          <m:t>Q</m:t>
        </m:r>
      </m:oMath>
      <w:r>
        <w:t xml:space="preserve">): Said</w:t>
      </w:r>
      <w:r>
        <w:t xml:space="preserve"> </w:t>
      </w:r>
      <w:r>
        <w:t xml:space="preserve">‘</w:t>
      </w:r>
      <m:oMath>
        <m:r>
          <m:t>P</m:t>
        </m:r>
      </m:oMath>
      <w:r>
        <w:t xml:space="preserve"> </w:t>
      </w:r>
      <w:r>
        <w:t xml:space="preserve">and</w:t>
      </w:r>
      <w:r>
        <w:t xml:space="preserve"> </w:t>
      </w:r>
      <m:oMath>
        <m:r>
          <m:t>Q</m:t>
        </m:r>
      </m:oMath>
      <w:r>
        <w:t xml:space="preserve">’</w:t>
      </w:r>
      <w:r>
        <w:t xml:space="preserve">, this is true if both</w:t>
      </w:r>
      <w:r>
        <w:t xml:space="preserve"> </w:t>
      </w:r>
      <m:oMath>
        <m:r>
          <m:t>P</m:t>
        </m:r>
      </m:oMath>
      <w:r>
        <w:t xml:space="preserve"> </w:t>
      </w:r>
      <w:r>
        <w:t xml:space="preserve">and</w:t>
      </w:r>
      <w:r>
        <w:t xml:space="preserve"> </w:t>
      </w:r>
      <m:oMath>
        <m:r>
          <m:t>Q</m:t>
        </m:r>
      </m:oMath>
      <w:r>
        <w:t xml:space="preserve"> </w:t>
      </w:r>
      <w:r>
        <w:t xml:space="preserve">are true; it is false otherwise.</w:t>
      </w:r>
    </w:p>
    <w:p>
      <w:pPr>
        <w:numPr>
          <w:ilvl w:val="0"/>
          <w:numId w:val="1001"/>
        </w:numPr>
        <w:pStyle w:val="Compact"/>
      </w:pPr>
      <w:r>
        <w:rPr>
          <w:bCs/>
          <w:b/>
        </w:rPr>
        <w:t xml:space="preserve">Disjunction</w:t>
      </w:r>
      <w:r>
        <w:t xml:space="preserve"> </w:t>
      </w:r>
      <w:r>
        <w:t xml:space="preserve">(</w:t>
      </w:r>
      <m:oMath>
        <m:r>
          <m:t>P</m:t>
        </m:r>
        <m:r>
          <m:t> </m:t>
        </m:r>
        <m:r>
          <m:rPr>
            <m:sty m:val="p"/>
          </m:rPr>
          <m:t>∨</m:t>
        </m:r>
        <m:r>
          <m:t> </m:t>
        </m:r>
        <m:r>
          <m:t>Q</m:t>
        </m:r>
      </m:oMath>
      <w:r>
        <w:t xml:space="preserve">): Said</w:t>
      </w:r>
      <w:r>
        <w:t xml:space="preserve"> </w:t>
      </w:r>
      <w:r>
        <w:t xml:space="preserve">‘</w:t>
      </w:r>
      <m:oMath>
        <m:r>
          <m:t>P</m:t>
        </m:r>
      </m:oMath>
      <w:r>
        <w:t xml:space="preserve"> </w:t>
      </w:r>
      <w:r>
        <w:t xml:space="preserve">or</w:t>
      </w:r>
      <w:r>
        <w:t xml:space="preserve"> </w:t>
      </w:r>
      <m:oMath>
        <m:r>
          <m:t>Q</m:t>
        </m:r>
      </m:oMath>
      <w:r>
        <w:t xml:space="preserve">’</w:t>
      </w:r>
      <w:r>
        <w:t xml:space="preserve">, this is true when</w:t>
      </w:r>
      <w:r>
        <w:t xml:space="preserve"> </w:t>
      </w:r>
      <w:r>
        <w:rPr>
          <w:iCs/>
          <w:i/>
        </w:rPr>
        <w:t xml:space="preserve">at least</w:t>
      </w:r>
      <w:r>
        <w:t xml:space="preserve"> </w:t>
      </w:r>
      <w:r>
        <w:t xml:space="preserve">one of</w:t>
      </w:r>
      <w:r>
        <w:t xml:space="preserve"> </w:t>
      </w:r>
      <m:oMath>
        <m:r>
          <m:t>P</m:t>
        </m:r>
      </m:oMath>
      <w:r>
        <w:t xml:space="preserve"> </w:t>
      </w:r>
      <w:r>
        <w:t xml:space="preserve">or</w:t>
      </w:r>
      <w:r>
        <w:t xml:space="preserve"> </w:t>
      </w:r>
      <m:oMath>
        <m:r>
          <m:t>Q</m:t>
        </m:r>
      </m:oMath>
      <w:r>
        <w:t xml:space="preserve"> </w:t>
      </w:r>
      <w:r>
        <w:t xml:space="preserve">is true.</w:t>
      </w:r>
    </w:p>
    <w:p>
      <w:pPr>
        <w:numPr>
          <w:ilvl w:val="0"/>
          <w:numId w:val="1001"/>
        </w:numPr>
        <w:pStyle w:val="Compact"/>
      </w:pPr>
      <w:r>
        <w:rPr>
          <w:bCs/>
          <w:b/>
        </w:rPr>
        <w:t xml:space="preserve">Negation</w:t>
      </w:r>
      <w:r>
        <w:t xml:space="preserve"> </w:t>
      </w:r>
      <w:r>
        <w:t xml:space="preserve">(</w:t>
      </w:r>
      <m:oMath>
        <m:r>
          <m:rPr>
            <m:sty m:val="p"/>
          </m:rPr>
          <m:t>¬</m:t>
        </m:r>
        <m:r>
          <m:t>P</m:t>
        </m:r>
      </m:oMath>
      <w:r>
        <w:t xml:space="preserve">): Said</w:t>
      </w:r>
      <w:r>
        <w:t xml:space="preserve"> </w:t>
      </w:r>
      <w:r>
        <w:t xml:space="preserve">‘</w:t>
      </w:r>
      <w:r>
        <w:t xml:space="preserve">not</w:t>
      </w:r>
      <w:r>
        <w:t xml:space="preserve"> </w:t>
      </w:r>
      <m:oMath>
        <m:r>
          <m:t>P</m:t>
        </m:r>
      </m:oMath>
      <w:r>
        <w:t xml:space="preserve">’</w:t>
      </w:r>
      <w:r>
        <w:t xml:space="preserve">, this is true when</w:t>
      </w:r>
      <w:r>
        <w:t xml:space="preserve"> </w:t>
      </w:r>
      <m:oMath>
        <m:r>
          <m:t>P</m:t>
        </m:r>
      </m:oMath>
      <w:r>
        <w:t xml:space="preserve"> </w:t>
      </w:r>
      <w:r>
        <w:t xml:space="preserve">is false, and vice versa.</w:t>
      </w:r>
    </w:p>
    <w:p>
      <w:pPr>
        <w:numPr>
          <w:ilvl w:val="0"/>
          <w:numId w:val="1001"/>
        </w:numPr>
        <w:pStyle w:val="Compact"/>
      </w:pPr>
      <w:r>
        <w:rPr>
          <w:bCs/>
          <w:b/>
        </w:rPr>
        <w:t xml:space="preserve">Implication</w:t>
      </w:r>
      <w:r>
        <w:t xml:space="preserve"> </w:t>
      </w:r>
      <w:r>
        <w:t xml:space="preserve">(</w:t>
      </w:r>
      <m:oMath>
        <m:r>
          <m:t>P</m:t>
        </m:r>
        <m:r>
          <m:rPr>
            <m:sty m:val="p"/>
          </m:rPr>
          <m:t>⇒</m:t>
        </m:r>
        <m:r>
          <m:t>Q</m:t>
        </m:r>
      </m:oMath>
      <w:r>
        <w:t xml:space="preserve">): We have that</w:t>
      </w:r>
      <w:r>
        <w:t xml:space="preserve"> </w:t>
      </w:r>
      <w:r>
        <w:t xml:space="preserve">‘</w:t>
      </w:r>
      <m:oMath>
        <m:r>
          <m:t>P</m:t>
        </m:r>
      </m:oMath>
      <w:r>
        <w:t xml:space="preserve"> </w:t>
      </w:r>
      <w:r>
        <w:t xml:space="preserve">implies</w:t>
      </w:r>
      <w:r>
        <w:t xml:space="preserve"> </w:t>
      </w:r>
      <m:oMath>
        <m:r>
          <m:t>Q</m:t>
        </m:r>
      </m:oMath>
      <w:r>
        <w:t xml:space="preserve">’</w:t>
      </w:r>
      <w:r>
        <w:t xml:space="preserve"> </w:t>
      </w:r>
      <w:r>
        <w:t xml:space="preserve">is true, except when</w:t>
      </w:r>
      <w:r>
        <w:t xml:space="preserve"> </w:t>
      </w:r>
      <m:oMath>
        <m:r>
          <m:t>P</m:t>
        </m:r>
      </m:oMath>
      <w:r>
        <w:t xml:space="preserve"> </w:t>
      </w:r>
      <w:r>
        <w:t xml:space="preserve">is true and</w:t>
      </w:r>
      <w:r>
        <w:t xml:space="preserve"> </w:t>
      </w:r>
      <m:oMath>
        <m:r>
          <m:t>Q</m:t>
        </m:r>
      </m:oMath>
      <w:r>
        <w:t xml:space="preserve"> </w:t>
      </w:r>
      <w:r>
        <w:t xml:space="preserve">is false.</w:t>
      </w:r>
      <w:r>
        <w:rPr>
          <w:rStyle w:val="FootnoteReference"/>
        </w:rPr>
        <w:footnoteReference w:id="24"/>
      </w:r>
      <w:r>
        <w:t xml:space="preserve"> </w:t>
      </w:r>
      <w:r>
        <w:t xml:space="preserve">If you’re still unsure as to what this statement means, there’s a good example</w:t>
      </w:r>
      <w:r>
        <w:t xml:space="preserve"> </w:t>
      </w:r>
      <w:hyperlink r:id="rId25">
        <w:r>
          <w:rPr>
            <w:rStyle w:val="Hyperlink"/>
          </w:rPr>
          <w:t xml:space="preserve">here</w:t>
        </w:r>
      </w:hyperlink>
      <w:r>
        <w:t xml:space="preserve">.</w:t>
      </w:r>
    </w:p>
    <w:p>
      <w:pPr>
        <w:pStyle w:val="FirstParagraph"/>
      </w:pPr>
      <w:r>
        <w:t xml:space="preserve">One way we can represent these statements is via a</w:t>
      </w:r>
      <w:r>
        <w:t xml:space="preserve"> </w:t>
      </w:r>
      <w:r>
        <w:rPr>
          <w:iCs/>
          <w:i/>
        </w:rPr>
        <w:t xml:space="preserve">truth table</w:t>
      </w:r>
      <w:r>
        <w:t xml:space="preserve">. Below is a (combined) truth table for</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P</m:t>
                </m:r>
              </m:e>
              <m:e>
                <m:r>
                  <m:t>Q</m:t>
                </m:r>
              </m:e>
              <m:e>
                <m:r>
                  <m:t>P</m:t>
                </m:r>
                <m:r>
                  <m:rPr>
                    <m:sty m:val="p"/>
                  </m:rPr>
                  <m:t>⇒</m:t>
                </m:r>
                <m:r>
                  <m:t>Q</m:t>
                </m:r>
              </m:e>
              <m:e>
                <m:r>
                  <m:rPr>
                    <m:sty m:val="p"/>
                  </m:rPr>
                  <m:t>¬</m:t>
                </m:r>
                <m:r>
                  <m:t>P</m:t>
                </m:r>
              </m:e>
              <m:e>
                <m:r>
                  <m:rPr>
                    <m:sty m:val="p"/>
                  </m:rPr>
                  <m:t>¬</m:t>
                </m:r>
                <m:r>
                  <m:t>P</m:t>
                </m:r>
                <m:r>
                  <m:t> </m:t>
                </m:r>
                <m:r>
                  <m:rPr>
                    <m:sty m:val="p"/>
                  </m:rPr>
                  <m:t>∨</m:t>
                </m:r>
                <m:r>
                  <m:t>Q</m:t>
                </m:r>
              </m:e>
            </m:mr>
            <m:mr>
              <m:e>
                <m:r>
                  <m:t>T</m:t>
                </m:r>
              </m:e>
              <m:e>
                <m:r>
                  <m:t>T</m:t>
                </m:r>
              </m:e>
              <m:e>
                <m:r>
                  <m:t>T</m:t>
                </m:r>
              </m:e>
              <m:e>
                <m:r>
                  <m:t>F</m:t>
                </m:r>
              </m:e>
              <m:e>
                <m:r>
                  <m:t>T</m:t>
                </m:r>
              </m:e>
            </m:mr>
            <m:mr>
              <m:e>
                <m:r>
                  <m:t>T</m:t>
                </m:r>
              </m:e>
              <m:e>
                <m:r>
                  <m:t>F</m:t>
                </m:r>
              </m:e>
              <m:e>
                <m:r>
                  <m:t>F</m:t>
                </m:r>
              </m:e>
              <m:e>
                <m:r>
                  <m:t>F</m:t>
                </m:r>
              </m:e>
              <m:e>
                <m:r>
                  <m:t>F</m:t>
                </m:r>
              </m:e>
            </m:mr>
            <m:mr>
              <m:e>
                <m:r>
                  <m:t>F</m:t>
                </m:r>
              </m:e>
              <m:e>
                <m:r>
                  <m:t>T</m:t>
                </m:r>
              </m:e>
              <m:e>
                <m:r>
                  <m:t>T</m:t>
                </m:r>
              </m:e>
              <m:e>
                <m:r>
                  <m:t>T</m:t>
                </m:r>
              </m:e>
              <m:e>
                <m:r>
                  <m:t>T</m:t>
                </m:r>
              </m:e>
            </m:mr>
            <m:mr>
              <m:e>
                <m:r>
                  <m:t>F</m:t>
                </m:r>
              </m:e>
              <m:e>
                <m:r>
                  <m:t>F</m:t>
                </m:r>
              </m:e>
              <m:e>
                <m:r>
                  <m:t>T</m:t>
                </m:r>
              </m:e>
              <m:e>
                <m:r>
                  <m:t>T</m:t>
                </m:r>
              </m:e>
              <m:e>
                <m:r>
                  <m:t>T</m:t>
                </m:r>
              </m:e>
            </m:mr>
          </m:m>
        </m:oMath>
      </m:oMathPara>
    </w:p>
    <w:p>
      <w:pPr>
        <w:pStyle w:val="FirstParagraph"/>
      </w:pPr>
      <w:r>
        <w:t xml:space="preserve">Note that in this table, the</w:t>
      </w:r>
      <w:r>
        <w:t xml:space="preserve"> </w:t>
      </w:r>
      <w:r>
        <w:t xml:space="preserve">‘</w:t>
      </w:r>
      <w:r>
        <w:t xml:space="preserve">simple</w:t>
      </w:r>
      <w:r>
        <w:t xml:space="preserve">’</w:t>
      </w:r>
      <w:r>
        <w:t xml:space="preserve"> </w:t>
      </w:r>
      <w:r>
        <w:t xml:space="preserve">statements are on the left, and the</w:t>
      </w:r>
      <w:r>
        <w:t xml:space="preserve"> </w:t>
      </w:r>
      <w:r>
        <w:t xml:space="preserve">‘</w:t>
      </w:r>
      <w:r>
        <w:t xml:space="preserve">compound</w:t>
      </w:r>
      <w:r>
        <w:t xml:space="preserve">’</w:t>
      </w:r>
      <w:r>
        <w:t xml:space="preserve"> </w:t>
      </w:r>
      <w:r>
        <w:t xml:space="preserve">statements are written afterwards.</w:t>
      </w:r>
      <w:r>
        <w:rPr>
          <w:rStyle w:val="FootnoteReference"/>
        </w:rPr>
        <w:footnoteReference w:id="26"/>
      </w:r>
      <w:r>
        <w:t xml:space="preserve"> </w:t>
      </w:r>
      <w:r>
        <w:t xml:space="preserve">Also, what we can see is that the truth table columns for both</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 </w:t>
      </w:r>
      <w:r>
        <w:t xml:space="preserve">are identical. This means that both statements are</w:t>
      </w:r>
      <w:r>
        <w:t xml:space="preserve"> </w:t>
      </w:r>
      <w:r>
        <w:rPr>
          <w:iCs/>
          <w:i/>
        </w:rPr>
        <w:t xml:space="preserve">equivalent</w:t>
      </w:r>
      <w:r>
        <w:t xml:space="preserve">, leading to a fifth logical operation:</w:t>
      </w:r>
    </w:p>
    <w:p>
      <w:pPr>
        <w:numPr>
          <w:ilvl w:val="0"/>
          <w:numId w:val="1002"/>
        </w:numPr>
        <w:pStyle w:val="Compact"/>
      </w:pPr>
      <w:r>
        <w:t xml:space="preserve">Equivalence (</w:t>
      </w:r>
      <m:oMath>
        <m:r>
          <m:t>P</m:t>
        </m:r>
        <m:r>
          <m:rPr>
            <m:sty m:val="p"/>
          </m:rPr>
          <m:t>⇔</m:t>
        </m:r>
        <m:r>
          <m:t>Q</m:t>
        </m:r>
      </m:oMath>
      <w:r>
        <w:t xml:space="preserve">): Two statements are equivalent if they’re both simultaneously true or simultaneously false. This can also be written</w:t>
      </w:r>
      <w:r>
        <w:t xml:space="preserve"> </w:t>
      </w:r>
      <m:oMath>
        <m:d>
          <m:dPr>
            <m:begChr m:val="("/>
            <m:endChr m:val=")"/>
            <m:sepChr m:val=""/>
            <m:grow/>
          </m:dPr>
          <m:e>
            <m:r>
              <m:t>P</m:t>
            </m:r>
            <m:r>
              <m:rPr>
                <m:sty m:val="p"/>
              </m:rPr>
              <m:t>⇒</m:t>
            </m:r>
            <m:r>
              <m:t>Q</m:t>
            </m:r>
          </m:e>
        </m:d>
        <m:r>
          <m:rPr>
            <m:sty m:val="p"/>
          </m:rPr>
          <m:t>∧</m:t>
        </m:r>
        <m:d>
          <m:dPr>
            <m:begChr m:val="("/>
            <m:endChr m:val=")"/>
            <m:sepChr m:val=""/>
            <m:grow/>
          </m:dPr>
          <m:e>
            <m:r>
              <m:t>Q</m:t>
            </m:r>
            <m:r>
              <m:rPr>
                <m:sty m:val="p"/>
              </m:rPr>
              <m:t>⇒</m:t>
            </m:r>
            <m:r>
              <m:t>P</m:t>
            </m:r>
          </m:e>
        </m:d>
      </m:oMath>
      <w:r>
        <w:t xml:space="preserve">.</w:t>
      </w:r>
    </w:p>
    <w:p>
      <w:pPr>
        <w:pStyle w:val="FirstParagraph"/>
      </w:pPr>
      <w:r>
        <w:t xml:space="preserve">In regards to statements, there are two more types which we can discuss. Firstly, if a statement is always true, it is known as a</w:t>
      </w:r>
      <w:r>
        <w:t xml:space="preserve"> </w:t>
      </w:r>
      <w:r>
        <w:rPr>
          <w:iCs/>
          <w:i/>
        </w:rPr>
        <w:t xml:space="preserve">tautology</w:t>
      </w:r>
      <w:r>
        <w:t xml:space="preserve">. Similarly, if a statement is always false, it is known as a</w:t>
      </w:r>
      <w:r>
        <w:t xml:space="preserve"> </w:t>
      </w:r>
      <w:r>
        <w:rPr>
          <w:iCs/>
          <w:i/>
        </w:rPr>
        <w:t xml:space="preserve">contradiction</w:t>
      </w:r>
      <w:r>
        <w:t xml:space="preserve">.</w:t>
      </w:r>
    </w:p>
    <w:bookmarkEnd w:id="27"/>
    <w:bookmarkStart w:id="32" w:name="some-useful-laws"/>
    <w:p>
      <w:pPr>
        <w:pStyle w:val="Heading2"/>
      </w:pPr>
      <w:r>
        <w:t xml:space="preserve">Some Useful Laws</w:t>
      </w:r>
    </w:p>
    <w:p>
      <w:pPr>
        <w:pStyle w:val="FirstParagraph"/>
      </w:pPr>
      <w:r>
        <w:t xml:space="preserve">In the previous section, we combined statements via logical operations. There is nothing stopping us combining these new statements too! We just need to know how to do it systematically. This relies on</w:t>
      </w:r>
      <w:r>
        <w:t xml:space="preserve"> </w:t>
      </w:r>
      <w:r>
        <w:rPr>
          <w:iCs/>
          <w:i/>
        </w:rPr>
        <w:t xml:space="preserve">distributive laws</w:t>
      </w:r>
      <w:r>
        <w:t xml:space="preserve"> </w:t>
      </w:r>
      <w:r>
        <w:t xml:space="preserve">and</w:t>
      </w:r>
      <w:r>
        <w:t xml:space="preserve"> </w:t>
      </w:r>
      <w:r>
        <w:rPr>
          <w:iCs/>
          <w:i/>
        </w:rPr>
        <w:t xml:space="preserve">De Morgan’s laws</w:t>
      </w:r>
      <w:r>
        <w:t xml:space="preserve">. Here,</w:t>
      </w:r>
      <w:r>
        <w:t xml:space="preserve"> </w:t>
      </w:r>
      <m:oMath>
        <m:r>
          <m:t>P</m:t>
        </m:r>
        <m:r>
          <m:rPr>
            <m:sty m:val="p"/>
          </m:rPr>
          <m:t>,</m:t>
        </m:r>
        <m:r>
          <m:t>Q</m:t>
        </m:r>
        <m:r>
          <m:rPr>
            <m:sty m:val="p"/>
          </m:rPr>
          <m:t>,</m:t>
        </m:r>
        <m:r>
          <m:t>R</m:t>
        </m:r>
      </m:oMath>
      <w:r>
        <w:t xml:space="preserve"> </w:t>
      </w:r>
      <w:r>
        <w:t xml:space="preserve">are statements.</w:t>
      </w:r>
    </w:p>
    <w:p>
      <w:pPr>
        <w:pStyle w:val="BodyText"/>
      </w:pPr>
    </w:p>
    <w:bookmarkStart w:id="29" w:name="prp:prop1"/>
    <w:p>
      <w:pPr>
        <w:pStyle w:val="TheoremStyleUpright"/>
      </w:pPr>
      <w:bookmarkStart w:id="28" w:name="prp:prop1"/>
      <w:bookmarkEnd w:id="28"/>
      <w:r>
        <w:rPr>
          <w:rStyle w:val="NameStyle"/>
        </w:rPr>
        <w:t xml:space="preserve">Proposition 1.1 (Distributive Laws)</w:t>
      </w:r>
      <w:r>
        <w:rPr>
          <w:rStyle w:val="NameStyle"/>
        </w:rPr>
        <w:t xml:space="preserve"> </w:t>
      </w:r>
    </w:p>
    <w:p>
      <w:pPr>
        <w:pStyle w:val="TheoremStyleUpright"/>
      </w:pPr>
    </w:p>
    <w:bookmarkEnd w:id="29"/>
    <w:p>
      <w:pPr>
        <w:pStyle w:val="BodyText"/>
      </w:pPr>
    </w:p>
    <w:bookmarkStart w:id="31" w:name="prp:prop2"/>
    <w:p>
      <w:pPr>
        <w:pStyle w:val="TheoremStyleUpright"/>
      </w:pPr>
      <w:bookmarkStart w:id="30" w:name="prp:prop2"/>
      <w:bookmarkEnd w:id="30"/>
      <w:r>
        <w:rPr>
          <w:rStyle w:val="NameStyle"/>
        </w:rPr>
        <w:t xml:space="preserve">Proposition 1.2 (De Morgan’s Laws)</w:t>
      </w:r>
      <w:r>
        <w:rPr>
          <w:rStyle w:val="NameStyle"/>
        </w:rPr>
        <w:t xml:space="preserve"> </w:t>
      </w:r>
    </w:p>
    <w:p>
      <w:pPr>
        <w:pStyle w:val="TheoremStyleUpright"/>
      </w:pPr>
    </w:p>
    <w:bookmarkEnd w:id="31"/>
    <w:p>
      <w:pPr>
        <w:pStyle w:val="BodyText"/>
      </w:pPr>
      <w:r>
        <w:t xml:space="preserve">If you’re ever in a situation where you need to prove these laws, use truth tables! They’re also really helpful when writing complex statements in simpler forms (see, for example, Homework Questions 2 &amp; 3).</w:t>
      </w:r>
    </w:p>
    <w:bookmarkEnd w:id="32"/>
    <w:bookmarkStart w:id="33" w:name="quantifiers"/>
    <w:p>
      <w:pPr>
        <w:pStyle w:val="Heading2"/>
      </w:pPr>
      <w:r>
        <w:t xml:space="preserve">Quantifiers</w:t>
      </w:r>
    </w:p>
    <w:p>
      <w:pPr>
        <w:pStyle w:val="FirstParagraph"/>
      </w:pPr>
      <w:r>
        <w:t xml:space="preserve">Put simply, these are just ways of making your life easier, so that you have fewer words to write out when doing maths. There are two quantifiers you’ll come across in common usage:</w:t>
      </w:r>
    </w:p>
    <w:p>
      <w:pPr>
        <w:numPr>
          <w:ilvl w:val="0"/>
          <w:numId w:val="1003"/>
        </w:numPr>
        <w:pStyle w:val="Compact"/>
      </w:pPr>
      <w:r>
        <w:t xml:space="preserve">Firstly, the phrase</w:t>
      </w:r>
      <w:r>
        <w:t xml:space="preserve"> </w:t>
      </w:r>
      <w:r>
        <w:t xml:space="preserve">‘</w:t>
      </w:r>
      <w:r>
        <w:t xml:space="preserve">for all</w:t>
      </w:r>
      <w:r>
        <w:t xml:space="preserve">’</w:t>
      </w:r>
      <w:r>
        <w:t xml:space="preserve"> </w:t>
      </w:r>
      <w:r>
        <w:t xml:space="preserve">can be represented by</w:t>
      </w:r>
      <w:r>
        <w:t xml:space="preserve"> </w:t>
      </w:r>
      <m:oMath>
        <m:r>
          <m:rPr>
            <m:sty m:val="p"/>
          </m:rPr>
          <m:t>∀</m:t>
        </m:r>
      </m:oMath>
      <w:r>
        <w:t xml:space="preserve">.</w:t>
      </w:r>
    </w:p>
    <w:p>
      <w:pPr>
        <w:numPr>
          <w:ilvl w:val="0"/>
          <w:numId w:val="1003"/>
        </w:numPr>
        <w:pStyle w:val="Compact"/>
      </w:pPr>
      <w:r>
        <w:t xml:space="preserve">Secondly, the phrase</w:t>
      </w:r>
      <w:r>
        <w:t xml:space="preserve"> </w:t>
      </w:r>
      <w:r>
        <w:t xml:space="preserve">‘</w:t>
      </w:r>
      <w:r>
        <w:t xml:space="preserve">there exists</w:t>
      </w:r>
      <w:r>
        <w:t xml:space="preserve">’</w:t>
      </w:r>
      <w:r>
        <w:t xml:space="preserve"> </w:t>
      </w:r>
      <w:r>
        <w:t xml:space="preserve">can be represented by</w:t>
      </w:r>
      <w:r>
        <w:t xml:space="preserve"> </w:t>
      </w:r>
      <m:oMath>
        <m:r>
          <m:rPr>
            <m:sty m:val="p"/>
          </m:rPr>
          <m:t>∃</m:t>
        </m:r>
      </m:oMath>
      <w:r>
        <w:t xml:space="preserve">.</w:t>
      </w:r>
    </w:p>
    <w:p>
      <w:pPr>
        <w:pStyle w:val="FirstParagraph"/>
      </w:pPr>
      <w:r>
        <w:t xml:space="preserve">For example, consider the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
        </m:oMath>
      </m:oMathPara>
    </w:p>
    <w:p>
      <w:pPr>
        <w:pStyle w:val="FirstParagraph"/>
      </w:pPr>
      <w:r>
        <w:t xml:space="preserve">The first one says</w:t>
      </w:r>
      <w:r>
        <w:t xml:space="preserve"> </w:t>
      </w:r>
      <w:r>
        <w:t xml:space="preserve">‘</w:t>
      </w:r>
      <w:r>
        <w:t xml:space="preserve">for all real numbers</w:t>
      </w:r>
      <w:r>
        <w:t xml:space="preserve"> </w:t>
      </w:r>
      <m:oMath>
        <m:r>
          <m:t>x</m:t>
        </m:r>
      </m:oMath>
      <w:r>
        <w:t xml:space="preserve">,</w:t>
      </w:r>
      <w:r>
        <w:t xml:space="preserve"> </w:t>
      </w:r>
      <m:oMath>
        <m:r>
          <m:t>x</m:t>
        </m:r>
      </m:oMath>
      <w:r>
        <w:t xml:space="preserve"> </w:t>
      </w:r>
      <w:r>
        <w:t xml:space="preserve">is greater than 2</w:t>
      </w:r>
      <w:r>
        <w:t xml:space="preserve">’</w:t>
      </w:r>
      <w:r>
        <w:t xml:space="preserve">, whereas the second says</w:t>
      </w:r>
      <w:r>
        <w:t xml:space="preserve"> </w:t>
      </w:r>
      <w:r>
        <w:t xml:space="preserve">‘</w:t>
      </w:r>
      <w:r>
        <w:t xml:space="preserve">there exists a real number</w:t>
      </w:r>
      <w:r>
        <w:t xml:space="preserve"> </w:t>
      </w:r>
      <m:oMath>
        <m:r>
          <m:t>x</m:t>
        </m:r>
      </m:oMath>
      <w:r>
        <w:t xml:space="preserve"> </w:t>
      </w:r>
      <w:r>
        <w:t xml:space="preserve">such that</w:t>
      </w:r>
      <w:r>
        <w:t xml:space="preserve"> </w:t>
      </w:r>
      <m:oMath>
        <m:r>
          <m:t>x</m:t>
        </m:r>
      </m:oMath>
      <w:r>
        <w:t xml:space="preserve"> </w:t>
      </w:r>
      <w:r>
        <w:t xml:space="preserve">is greater than 2</w:t>
      </w:r>
      <w:r>
        <w:t xml:space="preserve">’</w:t>
      </w:r>
      <w:r>
        <w:t xml:space="preserve">. Hopefully you can see that the choice of quantifier can make a huge difference to the truth of a statement! Naturally, for a statement</w:t>
      </w:r>
      <w:r>
        <w:t xml:space="preserve"> </w:t>
      </w:r>
      <m:oMath>
        <m:r>
          <m:t>P</m:t>
        </m:r>
      </m:oMath>
      <w:r>
        <w:t xml:space="preserve">, these can be negated too in the following ways: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
        </m:oMath>
      </m:oMathPara>
    </w:p>
    <w:p>
      <w:pPr>
        <w:pStyle w:val="FirstParagraph"/>
      </w:pPr>
      <w:r>
        <w:t xml:space="preserve">As a final note, if you have statements in which both quantifiers appear, don’t swap them! For example, suppose</w:t>
      </w:r>
      <w:r>
        <w:t xml:space="preserve"> </w:t>
      </w:r>
      <m:oMath>
        <m:r>
          <m:t>S</m:t>
        </m:r>
        <m:r>
          <m:rPr>
            <m:sty m:val="p"/>
          </m:rPr>
          <m:t>⊆</m:t>
        </m:r>
        <m:r>
          <m:rPr>
            <m:sty m:val="p"/>
            <m:scr m:val="double-struck"/>
          </m:rPr>
          <m:t>R</m:t>
        </m:r>
      </m:oMath>
      <w:r>
        <w:t xml:space="preserve"> </w:t>
      </w:r>
      <w:r>
        <w:t xml:space="preserve">is a non-empty set, and consider the two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t>S</m:t>
                    </m:r>
                  </m:e>
                </m:d>
                <m:d>
                  <m:dPr>
                    <m:begChr m:val="("/>
                    <m:endChr m:val=")"/>
                    <m:sepChr m:val=""/>
                    <m:grow/>
                  </m:dPr>
                  <m:e>
                    <m:r>
                      <m:rPr>
                        <m:sty m:val="p"/>
                      </m:rPr>
                      <m:t>∃</m:t>
                    </m:r>
                    <m:r>
                      <m:t>y</m:t>
                    </m:r>
                    <m:r>
                      <m:rPr>
                        <m:sty m:val="p"/>
                      </m:rPr>
                      <m:t>∈</m:t>
                    </m:r>
                    <m:r>
                      <m:t>S</m:t>
                    </m:r>
                  </m:e>
                </m:d>
                <m:d>
                  <m:dPr>
                    <m:begChr m:val="("/>
                    <m:endChr m:val=")"/>
                    <m:sepChr m:val=""/>
                    <m:grow/>
                  </m:dPr>
                  <m:e>
                    <m:r>
                      <m:t>x</m:t>
                    </m:r>
                    <m:r>
                      <m:rPr>
                        <m:sty m:val="p"/>
                      </m:rPr>
                      <m:t>&lt;</m:t>
                    </m:r>
                    <m:r>
                      <m:t>y</m:t>
                    </m:r>
                  </m:e>
                </m:d>
                <m:r>
                  <m:rPr>
                    <m:sty m:val="p"/>
                  </m:rPr>
                  <m:t>,</m:t>
                </m:r>
              </m:e>
            </m:mr>
            <m:mr>
              <m:e>
                <m:d>
                  <m:dPr>
                    <m:begChr m:val="("/>
                    <m:endChr m:val=")"/>
                    <m:sepChr m:val=""/>
                    <m:grow/>
                  </m:dPr>
                  <m:e>
                    <m:r>
                      <m:rPr>
                        <m:sty m:val="p"/>
                      </m:rPr>
                      <m:t>∃</m:t>
                    </m:r>
                    <m:r>
                      <m:t>y</m:t>
                    </m:r>
                    <m:r>
                      <m:rPr>
                        <m:sty m:val="p"/>
                      </m:rPr>
                      <m:t>∈</m:t>
                    </m:r>
                    <m:r>
                      <m:t>S</m:t>
                    </m:r>
                  </m:e>
                </m:d>
                <m:d>
                  <m:dPr>
                    <m:begChr m:val="("/>
                    <m:endChr m:val=")"/>
                    <m:sepChr m:val=""/>
                    <m:grow/>
                  </m:dPr>
                  <m:e>
                    <m:r>
                      <m:rPr>
                        <m:sty m:val="p"/>
                      </m:rPr>
                      <m:t>∀</m:t>
                    </m:r>
                    <m:r>
                      <m:t>x</m:t>
                    </m:r>
                    <m:r>
                      <m:rPr>
                        <m:sty m:val="p"/>
                      </m:rPr>
                      <m:t>∈</m:t>
                    </m:r>
                    <m:r>
                      <m:t>S</m:t>
                    </m:r>
                  </m:e>
                </m:d>
                <m:d>
                  <m:dPr>
                    <m:begChr m:val="("/>
                    <m:endChr m:val=")"/>
                    <m:sepChr m:val=""/>
                    <m:grow/>
                  </m:dPr>
                  <m:e>
                    <m:r>
                      <m:t>x</m:t>
                    </m:r>
                    <m:r>
                      <m:rPr>
                        <m:sty m:val="p"/>
                      </m:rPr>
                      <m:t>&lt;</m:t>
                    </m:r>
                    <m:r>
                      <m:t>y</m:t>
                    </m:r>
                  </m:e>
                </m:d>
                <m:r>
                  <m:rPr>
                    <m:sty m:val="p"/>
                  </m:rPr>
                  <m:t>.</m:t>
                </m:r>
              </m:e>
            </m:mr>
          </m:m>
        </m:oMath>
      </m:oMathPara>
    </w:p>
    <w:p>
      <w:pPr>
        <w:pStyle w:val="FirstParagraph"/>
      </w:pPr>
      <w:r>
        <w:t xml:space="preserve">The first of these says that</w:t>
      </w:r>
      <w:r>
        <w:t xml:space="preserve"> </w:t>
      </w:r>
      <m:oMath>
        <m:r>
          <m:t>S</m:t>
        </m:r>
      </m:oMath>
      <w:r>
        <w:t xml:space="preserve"> </w:t>
      </w:r>
      <w:r>
        <w:t xml:space="preserve">has no largest element, and is a perfectly valid statement. However, if we choose</w:t>
      </w:r>
      <w:r>
        <w:t xml:space="preserve"> </w:t>
      </w:r>
      <m:oMath>
        <m:r>
          <m:t>x</m:t>
        </m:r>
      </m:oMath>
      <w:r>
        <w:t xml:space="preserve"> </w:t>
      </w:r>
      <w:r>
        <w:t xml:space="preserve">to be equal to</w:t>
      </w:r>
      <w:r>
        <w:t xml:space="preserve"> </w:t>
      </w:r>
      <m:oMath>
        <m:r>
          <m:t>y</m:t>
        </m:r>
      </m:oMath>
      <w:r>
        <w:t xml:space="preserve"> </w:t>
      </w:r>
      <w:r>
        <w:t xml:space="preserve">in the second statement, we can see that this version of the statement is totally impossible!</w:t>
      </w:r>
    </w:p>
    <w:bookmarkEnd w:id="33"/>
    <w:bookmarkEnd w:id="34"/>
    <w:bookmarkStart w:id="35" w:name="hints"/>
    <w:p>
      <w:pPr>
        <w:pStyle w:val="Heading1"/>
      </w:pPr>
      <w:r>
        <w:t xml:space="preserve">Hints</w:t>
      </w:r>
    </w:p>
    <w:p>
      <w:pPr>
        <w:pStyle w:val="FirstParagraph"/>
      </w:pPr>
      <w:r>
        <w:t xml:space="preserve">Each week, I’ll send out a list of hints for the homework questions. Try and have a go without them, but if you need them, you’ll usually find them in a document like this one. Anyway, without further ado…</w:t>
      </w:r>
    </w:p>
    <w:p>
      <w:pPr>
        <w:numPr>
          <w:ilvl w:val="0"/>
          <w:numId w:val="1004"/>
        </w:numPr>
        <w:pStyle w:val="Compact"/>
      </w:pPr>
      <w:r>
        <w:t xml:space="preserve">[H1.] You’ve got a few examples of truth tables from lectures, and we just about managed to do tutorial question 1a) in the physical tutorial, so look back over these. Also, recall what it means for two statements to be equivalent.</w:t>
      </w:r>
    </w:p>
    <w:p>
      <w:pPr>
        <w:numPr>
          <w:ilvl w:val="0"/>
          <w:numId w:val="1004"/>
        </w:numPr>
        <w:pStyle w:val="Compact"/>
      </w:pPr>
      <w:r>
        <w:t xml:space="preserve">[H2.] Recall the definition of a tautology. If you’re content writing truth tables out, then this question is similar to H1. Alternatively, you could try applying the different laws from Section 1.2 to simplify the statement.</w:t>
      </w:r>
    </w:p>
    <w:p>
      <w:pPr>
        <w:numPr>
          <w:ilvl w:val="0"/>
          <w:numId w:val="1004"/>
        </w:numPr>
        <w:pStyle w:val="Compact"/>
      </w:pPr>
      <w:r>
        <w:t xml:space="preserve">[H3.] This is similar to the previous two questions.</w:t>
      </w:r>
    </w:p>
    <w:p>
      <w:pPr>
        <w:numPr>
          <w:ilvl w:val="0"/>
          <w:numId w:val="1004"/>
        </w:numPr>
        <w:pStyle w:val="Compact"/>
      </w:pPr>
      <w:r>
        <w:t xml:space="preserve">[H4.] We did an example in tutorials similar to this one — try some values from the sets</w:t>
      </w:r>
      <w:r>
        <w:t xml:space="preserve"> </w:t>
      </w:r>
      <m:oMath>
        <m:r>
          <m:t>A</m:t>
        </m:r>
      </m:oMath>
      <w:r>
        <w:t xml:space="preserve"> </w:t>
      </w:r>
      <w:r>
        <w:t xml:space="preserve">and</w:t>
      </w:r>
      <w:r>
        <w:t xml:space="preserve"> </w:t>
      </w:r>
      <m:oMath>
        <m:r>
          <m:t>B</m:t>
        </m:r>
      </m:oMath>
      <w:r>
        <w:t xml:space="preserve">! For the negation, just take it one step at a time, and apply the rules you’ve learnt this week.</w:t>
      </w:r>
    </w:p>
    <w:bookmarkEnd w:id="3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You can use any capital letter you want; I can only presume we start at</w:t>
      </w:r>
      <w:r>
        <w:t xml:space="preserve"> </w:t>
      </w:r>
      <m:oMath>
        <m:r>
          <m:t>P</m:t>
        </m:r>
      </m:oMath>
      <w:r>
        <w:t xml:space="preserve"> </w:t>
      </w:r>
      <w:r>
        <w:t xml:space="preserve">because of the word</w:t>
      </w:r>
      <w:r>
        <w:t xml:space="preserve"> </w:t>
      </w:r>
      <w:r>
        <w:t xml:space="preserve">‘</w:t>
      </w:r>
      <w:r>
        <w:t xml:space="preserve">proposition</w:t>
      </w:r>
      <w:r>
        <w:t xml:space="preserve">’</w:t>
      </w:r>
      <w:r>
        <w:t xml:space="preserve">.</w:t>
      </w:r>
    </w:p>
  </w:footnote>
  <w:footnote w:id="24">
    <w:p>
      <w:pPr>
        <w:pStyle w:val="FootnoteText"/>
      </w:pPr>
      <w:r>
        <w:rPr>
          <w:rStyle w:val="FootnoteReference"/>
        </w:rPr>
        <w:footnoteRef/>
      </w:r>
      <w:r>
        <w:t xml:space="preserve"> </w:t>
      </w:r>
      <w:r>
        <w:t xml:space="preserve">In case it comes up in anything you read, we can also say that</w:t>
      </w:r>
      <w:r>
        <w:t xml:space="preserve"> </w:t>
      </w:r>
      <m:oMath>
        <m:r>
          <m:t>P</m:t>
        </m:r>
      </m:oMath>
      <w:r>
        <w:t xml:space="preserve"> </w:t>
      </w:r>
      <w:r>
        <w:t xml:space="preserve">is</w:t>
      </w:r>
      <w:r>
        <w:t xml:space="preserve"> </w:t>
      </w:r>
      <w:r>
        <w:rPr>
          <w:iCs/>
          <w:i/>
        </w:rPr>
        <w:t xml:space="preserve">sufficient</w:t>
      </w:r>
      <w:r>
        <w:t xml:space="preserve"> </w:t>
      </w:r>
      <w:r>
        <w:t xml:space="preserve">for</w:t>
      </w:r>
      <w:r>
        <w:t xml:space="preserve"> </w:t>
      </w:r>
      <m:oMath>
        <m:r>
          <m:t>Q</m:t>
        </m:r>
      </m:oMath>
      <w:r>
        <w:t xml:space="preserve"> </w:t>
      </w:r>
      <w:r>
        <w:t xml:space="preserve">and also that</w:t>
      </w:r>
      <w:r>
        <w:t xml:space="preserve"> </w:t>
      </w:r>
      <m:oMath>
        <m:r>
          <m:t>Q</m:t>
        </m:r>
      </m:oMath>
      <w:r>
        <w:t xml:space="preserve"> </w:t>
      </w:r>
      <w:r>
        <w:t xml:space="preserve">is necessary for</w:t>
      </w:r>
      <w:r>
        <w:t xml:space="preserve"> </w:t>
      </w:r>
      <m:oMath>
        <m:r>
          <m:t>P</m:t>
        </m:r>
      </m:oMath>
      <w:r>
        <w:t xml:space="preserve">.</w:t>
      </w:r>
    </w:p>
  </w:footnote>
  <w:footnote w:id="26">
    <w:p>
      <w:pPr>
        <w:pStyle w:val="FootnoteText"/>
      </w:pPr>
      <w:r>
        <w:rPr>
          <w:rStyle w:val="FootnoteReference"/>
        </w:rPr>
        <w:footnoteRef/>
      </w:r>
      <w:r>
        <w:t xml:space="preserve"> </w:t>
      </w:r>
      <w:r>
        <w:rPr>
          <w:iCs/>
          <w:i/>
        </w:rPr>
        <w:t xml:space="preserve">If you’re reading the PDF version of this, ignore this footnote.</w:t>
      </w:r>
      <w:r>
        <w:t xml:space="preserve"> </w:t>
      </w:r>
      <w:r>
        <w:t xml:space="preserve">Ideally, you’d separate the simple statements from the compound ones by use of a double vertical line. However, due to Markdown’s apparent lack of syntax for adding a double line, you’ll just have to imagine one there.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5" Target="https://simple.wikipedia.org/wiki/Implication_(logic)"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5" Target="https://simple.wikipedia.org/wiki/Implication_(logic)"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dc:title>
  <dc:creator>Christian Jones: University of Bath</dc:creator>
  <cp:keywords/>
  <dcterms:created xsi:type="dcterms:W3CDTF">2022-12-18T14:10:12Z</dcterms:created>
  <dcterms:modified xsi:type="dcterms:W3CDTF">2022-12-18T14:10:12Z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