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2</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2nd Analysis Tutorial on the 17th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6" w:name="lecture-recap"/>
    <w:p>
      <w:pPr>
        <w:pStyle w:val="Heading1"/>
      </w:pPr>
      <w:r>
        <w:t xml:space="preserve">Lecture Recap</w:t>
      </w:r>
    </w:p>
    <w:bookmarkStart w:id="22" w:name="induction"/>
    <w:p>
      <w:pPr>
        <w:pStyle w:val="Heading2"/>
      </w:pPr>
      <w:r>
        <w:t xml:space="preserve">Induction</w:t>
      </w:r>
    </w:p>
    <w:p>
      <w:pPr>
        <w:pStyle w:val="FirstParagraph"/>
      </w:pPr>
      <w:r>
        <w:t xml:space="preserve">This week first involves a little bit more about statements, namely those that involve the natural numbers</w:t>
      </w:r>
      <w:r>
        <w:t xml:space="preserve"> </w:t>
      </w:r>
      <m:oMath>
        <m:r>
          <m:rPr>
            <m:sty m:val="p"/>
            <m:scr m:val="double-struck"/>
          </m:rPr>
          <m:t>N</m:t>
        </m:r>
      </m:oMath>
      <w:r>
        <w:t xml:space="preserve">. Suppose we have a statement</w:t>
      </w:r>
      <w:r>
        <w:t xml:space="preserve"> </w:t>
      </w:r>
      <m:oMath>
        <m:r>
          <m:t>P</m:t>
        </m:r>
        <m:d>
          <m:dPr>
            <m:begChr m:val="("/>
            <m:endChr m:val=")"/>
            <m:sepChr m:val=""/>
            <m:grow/>
          </m:dPr>
          <m:e>
            <m:r>
              <m:t>n</m:t>
            </m:r>
          </m:e>
        </m:d>
      </m:oMath>
      <w:r>
        <w:t xml:space="preserve"> </w:t>
      </w:r>
      <w:r>
        <w:t xml:space="preserve">which depends on a natural number</w:t>
      </w:r>
      <w:r>
        <w:t xml:space="preserve"> </w:t>
      </w:r>
      <m:oMath>
        <m:r>
          <m:t>n</m:t>
        </m:r>
      </m:oMath>
      <w:r>
        <w:t xml:space="preserve">. If we want to prove this true for all natural numbers, we use the principle of</w:t>
      </w:r>
      <w:r>
        <w:t xml:space="preserve"> </w:t>
      </w:r>
      <w:r>
        <w:rPr>
          <w:iCs/>
          <w:i/>
        </w:rPr>
        <w:t xml:space="preserve">mathematical induction</w:t>
      </w:r>
      <w:r>
        <w:t xml:space="preserve">.</w:t>
      </w:r>
    </w:p>
    <w:p>
      <w:pPr>
        <w:pStyle w:val="BodyText"/>
      </w:pPr>
      <w:r>
        <w:t xml:space="preserve">Firstly, let</w:t>
      </w:r>
      <w:r>
        <w:t xml:space="preserve"> </w:t>
      </w:r>
      <m:oMath>
        <m:r>
          <m:t>Λ</m:t>
        </m:r>
        <m:r>
          <m:rPr>
            <m:sty m:val="p"/>
          </m:rPr>
          <m:t>⊆</m:t>
        </m:r>
        <m:r>
          <m:rPr>
            <m:sty m:val="p"/>
            <m:scr m:val="double-struck"/>
          </m:rPr>
          <m:t>N</m:t>
        </m:r>
      </m:oMath>
      <w:r>
        <w:t xml:space="preserve"> </w:t>
      </w:r>
      <w:r>
        <w:t xml:space="preserve">be the set of all</w:t>
      </w:r>
      <w:r>
        <w:t xml:space="preserve"> </w:t>
      </w:r>
      <m:oMath>
        <m:r>
          <m:t>n</m:t>
        </m:r>
        <m:r>
          <m:rPr>
            <m:sty m:val="p"/>
          </m:rPr>
          <m:t>∈</m:t>
        </m:r>
        <m:r>
          <m:rPr>
            <m:sty m:val="p"/>
            <m:scr m:val="double-struck"/>
          </m:rPr>
          <m:t>N</m:t>
        </m:r>
      </m:oMath>
      <w:r>
        <w:t xml:space="preserve"> </w:t>
      </w:r>
      <w:r>
        <w:t xml:space="preserve">such that</w:t>
      </w:r>
      <w:r>
        <w:t xml:space="preserve"> </w:t>
      </w:r>
      <m:oMath>
        <m:r>
          <m:t>P</m:t>
        </m:r>
        <m:d>
          <m:dPr>
            <m:begChr m:val="("/>
            <m:endChr m:val=")"/>
            <m:sepChr m:val=""/>
            <m:grow/>
          </m:dPr>
          <m:e>
            <m:r>
              <m:t>n</m:t>
            </m:r>
          </m:e>
        </m:d>
      </m:oMath>
      <w:r>
        <w:t xml:space="preserve"> </w:t>
      </w:r>
      <w:r>
        <w:t xml:space="preserve">is true. Then, to prove something by induction, we use the following procedure:</w:t>
      </w:r>
    </w:p>
    <w:p>
      <w:pPr>
        <w:numPr>
          <w:ilvl w:val="0"/>
          <w:numId w:val="1001"/>
        </w:numPr>
        <w:pStyle w:val="Compact"/>
      </w:pPr>
      <w:r>
        <w:t xml:space="preserve">Show</w:t>
      </w:r>
      <w:r>
        <w:t xml:space="preserve"> </w:t>
      </w:r>
      <m:oMath>
        <m:r>
          <m:t>1</m:t>
        </m:r>
        <m:r>
          <m:rPr>
            <m:sty m:val="p"/>
          </m:rPr>
          <m:t>∈</m:t>
        </m:r>
        <m:r>
          <m:t>Λ</m:t>
        </m:r>
      </m:oMath>
      <w:r>
        <w:t xml:space="preserve">.</w:t>
      </w:r>
    </w:p>
    <w:p>
      <w:pPr>
        <w:numPr>
          <w:ilvl w:val="0"/>
          <w:numId w:val="1001"/>
        </w:numPr>
        <w:pStyle w:val="Compact"/>
      </w:pPr>
      <w:r>
        <w:t xml:space="preserve">Assume</w:t>
      </w:r>
      <w:r>
        <w:t xml:space="preserve"> </w:t>
      </w:r>
      <m:oMath>
        <m:r>
          <m:t>k</m:t>
        </m:r>
        <m:r>
          <m:rPr>
            <m:sty m:val="p"/>
          </m:rPr>
          <m:t>∈</m:t>
        </m:r>
        <m:r>
          <m:t>Λ</m:t>
        </m:r>
      </m:oMath>
      <w:r>
        <w:t xml:space="preserve"> </w:t>
      </w:r>
      <w:r>
        <w:t xml:space="preserve">for some</w:t>
      </w:r>
      <w:r>
        <w:t xml:space="preserve"> </w:t>
      </w:r>
      <m:oMath>
        <m:r>
          <m:t>k</m:t>
        </m:r>
        <m:r>
          <m:rPr>
            <m:sty m:val="p"/>
          </m:rPr>
          <m:t>∈</m:t>
        </m:r>
        <m:r>
          <m:rPr>
            <m:sty m:val="p"/>
            <m:scr m:val="double-struck"/>
          </m:rPr>
          <m:t>N</m:t>
        </m:r>
      </m:oMath>
      <w:r>
        <w:t xml:space="preserve">. Prove</w:t>
      </w:r>
      <w:r>
        <w:t xml:space="preserve"> </w:t>
      </w:r>
      <m:oMath>
        <m:r>
          <m:t>k</m:t>
        </m:r>
        <m:r>
          <m:rPr>
            <m:sty m:val="p"/>
          </m:rPr>
          <m:t>+</m:t>
        </m:r>
        <m:r>
          <m:t>1</m:t>
        </m:r>
        <m:r>
          <m:rPr>
            <m:sty m:val="p"/>
          </m:rPr>
          <m:t>∈</m:t>
        </m:r>
        <m:r>
          <m:t>Λ</m:t>
        </m:r>
      </m:oMath>
      <w:r>
        <w:t xml:space="preserve">.</w:t>
      </w:r>
    </w:p>
    <w:p>
      <w:pPr>
        <w:pStyle w:val="FirstParagraph"/>
      </w:pPr>
      <w:r>
        <w:t xml:space="preserve">If these two steps are satisfied, then</w:t>
      </w:r>
      <w:r>
        <w:t xml:space="preserve"> </w:t>
      </w:r>
      <m:oMath>
        <m:r>
          <m:t>Λ</m:t>
        </m:r>
        <m:r>
          <m:rPr>
            <m:sty m:val="p"/>
          </m:rPr>
          <m:t>=</m:t>
        </m:r>
        <m:r>
          <m:rPr>
            <m:sty m:val="p"/>
            <m:scr m:val="double-struck"/>
          </m:rPr>
          <m:t>N</m:t>
        </m:r>
      </m:oMath>
      <w:r>
        <w:t xml:space="preserve">, and</w:t>
      </w:r>
      <w:r>
        <w:t xml:space="preserve"> </w:t>
      </w:r>
      <m:oMath>
        <m:r>
          <m:t>P</m:t>
        </m:r>
        <m:d>
          <m:dPr>
            <m:begChr m:val="("/>
            <m:endChr m:val=")"/>
            <m:sepChr m:val=""/>
            <m:grow/>
          </m:dPr>
          <m:e>
            <m:r>
              <m:t>n</m:t>
            </m:r>
          </m:e>
        </m:d>
      </m:oMath>
      <w:r>
        <w:t xml:space="preserve"> </w:t>
      </w:r>
      <w:r>
        <w:t xml:space="preserve">holds for all natural numbers</w:t>
      </w:r>
      <w:r>
        <w:t xml:space="preserve"> </w:t>
      </w:r>
      <m:oMath>
        <m:r>
          <m:t>n</m:t>
        </m:r>
      </m:oMath>
      <w:r>
        <w:t xml:space="preserve">. You may come across different styles of inductive proofs from different lecturers at Bath, but as long as you write everything logically, these are fine for this course too!</w:t>
      </w:r>
    </w:p>
    <w:bookmarkEnd w:id="22"/>
    <w:bookmarkStart w:id="28" w:name="axioms1"/>
    <w:p>
      <w:pPr>
        <w:pStyle w:val="Heading2"/>
      </w:pPr>
      <w:r>
        <w:t xml:space="preserve">Axioms</w:t>
      </w:r>
      <w:r>
        <w:rPr>
          <w:rStyle w:val="FootnoteReference"/>
        </w:rPr>
        <w:footnoteReference w:id="23"/>
      </w:r>
    </w:p>
    <w:bookmarkStart w:id="25" w:name="field-axioms"/>
    <w:p>
      <w:pPr>
        <w:pStyle w:val="Heading3"/>
      </w:pPr>
      <w:r>
        <w:t xml:space="preserve">Field Axioms</w:t>
      </w:r>
    </w:p>
    <w:p>
      <w:pPr>
        <w:pStyle w:val="FirstParagraph"/>
      </w:pPr>
      <w:r>
        <w:t xml:space="preserve">As you might know from experience, natural numbers won’t get us very far in maths. So instead, we turn to studying the real numbers (</w:t>
      </w:r>
      <m:oMath>
        <m:r>
          <m:rPr>
            <m:sty m:val="p"/>
            <m:scr m:val="double-struck"/>
          </m:rPr>
          <m:t>R</m:t>
        </m:r>
      </m:oMath>
      <w:r>
        <w:t xml:space="preserve">). But before we do, we need to know how these numbers behave under certain operations. This is where the</w:t>
      </w:r>
      <w:r>
        <w:t xml:space="preserve"> </w:t>
      </w:r>
      <w:r>
        <w:rPr>
          <w:iCs/>
          <w:i/>
        </w:rPr>
        <w:t xml:space="preserve">field axioms</w:t>
      </w:r>
      <w:r>
        <w:t xml:space="preserve"> </w:t>
      </w:r>
      <w:r>
        <w:t xml:space="preserve">come in. There’s a long list of them in Section 2.1 of the lecture notes , so they’re not repeated here in full. However, we can summarise</w:t>
      </w:r>
      <w:r>
        <w:rPr>
          <w:rStyle w:val="FootnoteReference"/>
        </w:rPr>
        <w:footnoteReference w:id="24"/>
      </w:r>
      <w:r>
        <w:t xml:space="preserve"> </w:t>
      </w:r>
      <w:r>
        <w:t xml:space="preserve">them as follows:</w:t>
      </w:r>
    </w:p>
    <w:p>
      <w:pPr>
        <w:numPr>
          <w:ilvl w:val="0"/>
          <w:numId w:val="1002"/>
        </w:numPr>
        <w:pStyle w:val="Compact"/>
      </w:pPr>
      <w:r>
        <w:rPr>
          <w:bCs/>
          <w:b/>
        </w:rPr>
        <w:t xml:space="preserve">Addition</w:t>
      </w:r>
      <w:r>
        <w:t xml:space="preserve">: On</w:t>
      </w:r>
      <w:r>
        <w:t xml:space="preserve"> </w:t>
      </w:r>
      <m:oMath>
        <m:r>
          <m:rPr>
            <m:sty m:val="p"/>
            <m:scr m:val="double-struck"/>
          </m:rPr>
          <m:t>R</m:t>
        </m:r>
      </m:oMath>
      <w:r>
        <w:t xml:space="preserve">, addition is</w:t>
      </w:r>
      <w:r>
        <w:t xml:space="preserve"> </w:t>
      </w:r>
      <w:r>
        <w:rPr>
          <w:iCs/>
          <w:i/>
        </w:rPr>
        <w:t xml:space="preserve">associative</w:t>
      </w:r>
      <w:r>
        <w:t xml:space="preserve"> </w:t>
      </w:r>
      <w:r>
        <w:t xml:space="preserve">and</w:t>
      </w:r>
      <w:r>
        <w:t xml:space="preserve"> </w:t>
      </w:r>
      <w:r>
        <w:rPr>
          <w:iCs/>
          <w:i/>
        </w:rPr>
        <w:t xml:space="preserve">commutative</w:t>
      </w:r>
      <w:r>
        <w:t xml:space="preserve">, an</w:t>
      </w:r>
      <w:r>
        <w:t xml:space="preserve"> </w:t>
      </w:r>
      <w:r>
        <w:rPr>
          <w:iCs/>
          <w:i/>
        </w:rPr>
        <w:t xml:space="preserve">additive identity</w:t>
      </w:r>
      <w:r>
        <w:t xml:space="preserve"> </w:t>
      </w:r>
      <w:r>
        <w:t xml:space="preserve">exists, and</w:t>
      </w:r>
      <w:r>
        <w:t xml:space="preserve"> </w:t>
      </w:r>
      <w:r>
        <w:rPr>
          <w:iCs/>
          <w:i/>
        </w:rPr>
        <w:t xml:space="preserve">additive inverses</w:t>
      </w:r>
      <w:r>
        <w:t xml:space="preserve"> </w:t>
      </w:r>
      <w:r>
        <w:t xml:space="preserve">exist.</w:t>
      </w:r>
    </w:p>
    <w:p>
      <w:pPr>
        <w:numPr>
          <w:ilvl w:val="0"/>
          <w:numId w:val="1002"/>
        </w:numPr>
        <w:pStyle w:val="Compact"/>
      </w:pPr>
      <w:r>
        <w:rPr>
          <w:bCs/>
          <w:b/>
        </w:rPr>
        <w:t xml:space="preserve">Multiplication</w:t>
      </w:r>
      <w:r>
        <w:t xml:space="preserve">: On</w:t>
      </w:r>
      <w:r>
        <w:t xml:space="preserve"> </w:t>
      </w:r>
      <m:oMath>
        <m:r>
          <m:rPr>
            <m:sty m:val="p"/>
            <m:scr m:val="double-struck"/>
          </m:rPr>
          <m:t>R</m:t>
        </m:r>
        <m:r>
          <m:rPr>
            <m:sty m:val="p"/>
          </m:rPr>
          <m:t>\</m:t>
        </m:r>
        <m:r>
          <m:rPr>
            <m:sty m:val="p"/>
          </m:rPr>
          <m:t>{</m:t>
        </m:r>
        <m:r>
          <m:t>0</m:t>
        </m:r>
        <m:r>
          <m:rPr>
            <m:sty m:val="p"/>
          </m:rPr>
          <m:t>}</m:t>
        </m:r>
      </m:oMath>
      <w:r>
        <w:t xml:space="preserve">, multiplication is</w:t>
      </w:r>
      <w:r>
        <w:t xml:space="preserve"> </w:t>
      </w:r>
      <w:r>
        <w:rPr>
          <w:iCs/>
          <w:i/>
        </w:rPr>
        <w:t xml:space="preserve">associative</w:t>
      </w:r>
      <w:r>
        <w:t xml:space="preserve"> </w:t>
      </w:r>
      <w:r>
        <w:t xml:space="preserve">and</w:t>
      </w:r>
      <w:r>
        <w:t xml:space="preserve"> </w:t>
      </w:r>
      <w:r>
        <w:rPr>
          <w:iCs/>
          <w:i/>
        </w:rPr>
        <w:t xml:space="preserve">commutative</w:t>
      </w:r>
      <w:r>
        <w:t xml:space="preserve">, a</w:t>
      </w:r>
      <w:r>
        <w:t xml:space="preserve"> </w:t>
      </w:r>
      <w:r>
        <w:rPr>
          <w:iCs/>
          <w:i/>
        </w:rPr>
        <w:t xml:space="preserve">multiplicative identity</w:t>
      </w:r>
      <w:r>
        <w:t xml:space="preserve"> </w:t>
      </w:r>
      <w:r>
        <w:t xml:space="preserve">exists, and</w:t>
      </w:r>
      <w:r>
        <w:t xml:space="preserve"> </w:t>
      </w:r>
      <w:r>
        <w:rPr>
          <w:iCs/>
          <w:i/>
        </w:rPr>
        <w:t xml:space="preserve">multiplicative inverses</w:t>
      </w:r>
      <w:r>
        <w:t xml:space="preserve"> </w:t>
      </w:r>
      <w:r>
        <w:t xml:space="preserve">exist.</w:t>
      </w:r>
    </w:p>
    <w:p>
      <w:pPr>
        <w:numPr>
          <w:ilvl w:val="0"/>
          <w:numId w:val="1002"/>
        </w:numPr>
        <w:pStyle w:val="Compact"/>
      </w:pPr>
      <w:r>
        <w:t xml:space="preserve">Multiplication</w:t>
      </w:r>
      <w:r>
        <w:t xml:space="preserve"> </w:t>
      </w:r>
      <w:r>
        <w:rPr>
          <w:iCs/>
          <w:i/>
        </w:rPr>
        <w:t xml:space="preserve">distributes</w:t>
      </w:r>
      <w:r>
        <w:t xml:space="preserve"> </w:t>
      </w:r>
      <w:r>
        <w:t xml:space="preserve">over addition.</w:t>
      </w:r>
    </w:p>
    <w:p>
      <w:pPr>
        <w:pStyle w:val="FirstParagraph"/>
      </w:pPr>
      <w:r>
        <w:t xml:space="preserve">Try matching the properties here to the numbered axioms in the lecture notes!</w:t>
      </w:r>
    </w:p>
    <w:bookmarkEnd w:id="25"/>
    <w:bookmarkStart w:id="27" w:name="order-axioms"/>
    <w:p>
      <w:pPr>
        <w:pStyle w:val="Heading3"/>
      </w:pPr>
      <w:r>
        <w:t xml:space="preserve">Order Axioms</w:t>
      </w:r>
    </w:p>
    <w:p>
      <w:pPr>
        <w:pStyle w:val="FirstParagraph"/>
      </w:pPr>
      <w:r>
        <w:t xml:space="preserve">As if the first 9 field axioms weren’t enough, there are 5</w:t>
      </w:r>
      <w:r>
        <w:t xml:space="preserve"> </w:t>
      </w:r>
      <w:r>
        <w:rPr>
          <w:iCs/>
          <w:i/>
        </w:rPr>
        <w:t xml:space="preserve">order axioms</w:t>
      </w:r>
      <w:r>
        <w:t xml:space="preserve"> </w:t>
      </w:r>
      <w:r>
        <w:t xml:space="preserve">you need to know. As these are useful for the problem sheet, they are presented below.</w:t>
      </w:r>
      <w:r>
        <w:t xml:space="preserve"> </w:t>
      </w:r>
    </w:p>
    <w:bookmarkStart w:id="26" w:name="OA:unnamed-chunk-2"/>
    <w:p>
      <w:pPr>
        <w:pStyle w:val="TheoremStyleUpright"/>
      </w:pPr>
      <w:r>
        <w:rPr>
          <w:rStyle w:val="NameStyle"/>
        </w:rPr>
        <w:t xml:space="preserve"> </w:t>
      </w:r>
      <w:r>
        <w:rPr>
          <w:rStyle w:val="NameStyle"/>
        </w:rPr>
        <w:t xml:space="preserve">Order Axioms:</w:t>
      </w:r>
      <w:r>
        <w:rPr>
          <w:rStyle w:val="NameStyle"/>
        </w:rPr>
        <w:t xml:space="preserve"> </w:t>
      </w:r>
    </w:p>
    <w:p>
      <w:pPr>
        <w:pStyle w:val="TheoremStyleUpright"/>
      </w:pPr>
      <w:r>
        <w:t xml:space="preserve">For</w:t>
      </w:r>
      <w:r>
        <w:t xml:space="preserve"> </w:t>
      </w:r>
      <m:oMath>
        <m:r>
          <m:t>x</m:t>
        </m:r>
        <m:r>
          <m:rPr>
            <m:sty m:val="p"/>
          </m:rPr>
          <m:t>,</m:t>
        </m:r>
        <m:r>
          <m:t>y</m:t>
        </m:r>
        <m:r>
          <m:rPr>
            <m:sty m:val="p"/>
          </m:rPr>
          <m:t>,</m:t>
        </m:r>
        <m:r>
          <m:t>z</m:t>
        </m:r>
        <m:r>
          <m:rPr>
            <m:sty m:val="p"/>
          </m:rPr>
          <m:t>∈</m:t>
        </m:r>
        <m:r>
          <m:rPr>
            <m:sty m:val="p"/>
            <m:scr m:val="double-struck"/>
          </m:rPr>
          <m:t>R</m:t>
        </m:r>
      </m:oMath>
      <w:r>
        <w:t xml:space="preserve">:</w:t>
      </w:r>
    </w:p>
    <w:p>
      <w:pPr>
        <w:numPr>
          <w:ilvl w:val="0"/>
          <w:numId w:val="1003"/>
        </w:numPr>
        <w:pStyle w:val="Compact"/>
      </w:pPr>
      <m:oMath>
        <m:r>
          <m:t>x</m:t>
        </m:r>
        <m:r>
          <m:rPr>
            <m:sty m:val="p"/>
          </m:rPr>
          <m:t>≤</m:t>
        </m:r>
        <m:r>
          <m:t>y</m:t>
        </m:r>
      </m:oMath>
      <w:r>
        <w:t xml:space="preserve"> </w:t>
      </w:r>
      <w:r>
        <w:t xml:space="preserve">or</w:t>
      </w:r>
      <w:r>
        <w:t xml:space="preserve"> </w:t>
      </w:r>
      <m:oMath>
        <m:r>
          <m:t>y</m:t>
        </m:r>
        <m:r>
          <m:rPr>
            <m:sty m:val="p"/>
          </m:rPr>
          <m:t>≤</m:t>
        </m:r>
        <m:r>
          <m:t>x</m:t>
        </m:r>
      </m:oMath>
      <w:r>
        <w:t xml:space="preserve">.</w:t>
      </w:r>
    </w:p>
    <w:p>
      <w:pPr>
        <w:numPr>
          <w:ilvl w:val="0"/>
          <w:numId w:val="1003"/>
        </w:numPr>
        <w:pStyle w:val="Compact"/>
      </w:pPr>
      <w:r>
        <w:t xml:space="preserve">If</w:t>
      </w:r>
      <w:r>
        <w:t xml:space="preserve"> </w:t>
      </w:r>
      <m:oMath>
        <m:r>
          <m:t>x</m:t>
        </m:r>
        <m:r>
          <m:rPr>
            <m:sty m:val="p"/>
          </m:rPr>
          <m:t>≤</m:t>
        </m:r>
        <m:r>
          <m:t>y</m:t>
        </m:r>
      </m:oMath>
      <w:r>
        <w:t xml:space="preserve"> </w:t>
      </w:r>
      <w:r>
        <w:t xml:space="preserve">and</w:t>
      </w:r>
      <w:r>
        <w:t xml:space="preserve"> </w:t>
      </w:r>
      <m:oMath>
        <m:r>
          <m:t>y</m:t>
        </m:r>
        <m:r>
          <m:rPr>
            <m:sty m:val="p"/>
          </m:rPr>
          <m:t>≤</m:t>
        </m:r>
        <m:r>
          <m:t>x</m:t>
        </m:r>
      </m:oMath>
      <w:r>
        <w:t xml:space="preserve">, then</w:t>
      </w:r>
      <w:r>
        <w:t xml:space="preserve"> </w:t>
      </w:r>
      <m:oMath>
        <m:r>
          <m:t>x</m:t>
        </m:r>
        <m:r>
          <m:rPr>
            <m:sty m:val="p"/>
          </m:rPr>
          <m:t>=</m:t>
        </m:r>
        <m:r>
          <m:t>y</m:t>
        </m:r>
      </m:oMath>
      <w:r>
        <w:t xml:space="preserve">.</w:t>
      </w:r>
    </w:p>
    <w:p>
      <w:pPr>
        <w:numPr>
          <w:ilvl w:val="0"/>
          <w:numId w:val="1003"/>
        </w:numPr>
        <w:pStyle w:val="Compact"/>
      </w:pPr>
      <w:r>
        <w:t xml:space="preserve">If</w:t>
      </w:r>
      <w:r>
        <w:t xml:space="preserve"> </w:t>
      </w:r>
      <m:oMath>
        <m:r>
          <m:t>x</m:t>
        </m:r>
        <m:r>
          <m:rPr>
            <m:sty m:val="p"/>
          </m:rPr>
          <m:t>≤</m:t>
        </m:r>
        <m:r>
          <m:t>y</m:t>
        </m:r>
      </m:oMath>
      <w:r>
        <w:t xml:space="preserve"> </w:t>
      </w:r>
      <w:r>
        <w:t xml:space="preserve">and</w:t>
      </w:r>
      <w:r>
        <w:t xml:space="preserve"> </w:t>
      </w:r>
      <m:oMath>
        <m:r>
          <m:t>y</m:t>
        </m:r>
        <m:r>
          <m:rPr>
            <m:sty m:val="p"/>
          </m:rPr>
          <m:t>≤</m:t>
        </m:r>
        <m:r>
          <m:t>z</m:t>
        </m:r>
      </m:oMath>
      <w:r>
        <w:t xml:space="preserve">, then</w:t>
      </w:r>
      <w:r>
        <w:t xml:space="preserve"> </w:t>
      </w:r>
      <m:oMath>
        <m:r>
          <m:t>x</m:t>
        </m:r>
        <m:r>
          <m:rPr>
            <m:sty m:val="p"/>
          </m:rPr>
          <m:t>≤</m:t>
        </m:r>
        <m:r>
          <m:t>z</m:t>
        </m:r>
      </m:oMath>
      <w:r>
        <w:t xml:space="preserve">.</w:t>
      </w:r>
    </w:p>
    <w:p>
      <w:pPr>
        <w:numPr>
          <w:ilvl w:val="0"/>
          <w:numId w:val="1003"/>
        </w:numPr>
        <w:pStyle w:val="Compact"/>
      </w:pPr>
      <w:r>
        <w:t xml:space="preserve">If</w:t>
      </w:r>
      <w:r>
        <w:t xml:space="preserve"> </w:t>
      </w:r>
      <m:oMath>
        <m:r>
          <m:t>x</m:t>
        </m:r>
        <m:r>
          <m:rPr>
            <m:sty m:val="p"/>
          </m:rPr>
          <m:t>≤</m:t>
        </m:r>
        <m:r>
          <m:t>y</m:t>
        </m:r>
      </m:oMath>
      <w:r>
        <w:t xml:space="preserve">, then</w:t>
      </w:r>
      <w:r>
        <w:t xml:space="preserve"> </w:t>
      </w:r>
      <m:oMath>
        <m:r>
          <m:t>x</m:t>
        </m:r>
        <m:r>
          <m:rPr>
            <m:sty m:val="p"/>
          </m:rPr>
          <m:t>+</m:t>
        </m:r>
        <m:r>
          <m:t>z</m:t>
        </m:r>
        <m:r>
          <m:rPr>
            <m:sty m:val="p"/>
          </m:rPr>
          <m:t>≤</m:t>
        </m:r>
        <m:r>
          <m:t>y</m:t>
        </m:r>
        <m:r>
          <m:rPr>
            <m:sty m:val="p"/>
          </m:rPr>
          <m:t>+</m:t>
        </m:r>
        <m:r>
          <m:t>z</m:t>
        </m:r>
      </m:oMath>
      <w:r>
        <w:t xml:space="preserve">.</w:t>
      </w:r>
    </w:p>
    <w:p>
      <w:pPr>
        <w:numPr>
          <w:ilvl w:val="0"/>
          <w:numId w:val="1003"/>
        </w:numPr>
        <w:pStyle w:val="Compact"/>
      </w:pPr>
      <w:r>
        <w:t xml:space="preserve">If</w:t>
      </w:r>
      <w:r>
        <w:t xml:space="preserve"> </w:t>
      </w:r>
      <m:oMath>
        <m:r>
          <m:t>x</m:t>
        </m:r>
        <m:r>
          <m:rPr>
            <m:sty m:val="p"/>
          </m:rPr>
          <m:t>≤</m:t>
        </m:r>
        <m:r>
          <m:t>y</m:t>
        </m:r>
      </m:oMath>
      <w:r>
        <w:t xml:space="preserve"> </w:t>
      </w:r>
      <w:r>
        <w:t xml:space="preserve">and</w:t>
      </w:r>
      <w:r>
        <w:t xml:space="preserve"> </w:t>
      </w:r>
      <m:oMath>
        <m:r>
          <m:t>z</m:t>
        </m:r>
        <m:r>
          <m:rPr>
            <m:sty m:val="p"/>
          </m:rPr>
          <m:t>≥</m:t>
        </m:r>
        <m:r>
          <m:t>0</m:t>
        </m:r>
      </m:oMath>
      <w:r>
        <w:t xml:space="preserve">, then</w:t>
      </w:r>
      <w:r>
        <w:t xml:space="preserve"> </w:t>
      </w:r>
      <m:oMath>
        <m:r>
          <m:t>x</m:t>
        </m:r>
        <m:r>
          <m:t>z</m:t>
        </m:r>
        <m:r>
          <m:rPr>
            <m:sty m:val="p"/>
          </m:rPr>
          <m:t>≤</m:t>
        </m:r>
        <m:r>
          <m:t>y</m:t>
        </m:r>
        <m:r>
          <m:t>z</m:t>
        </m:r>
      </m:oMath>
      <w:r>
        <w:t xml:space="preserve">.</w:t>
      </w:r>
    </w:p>
    <w:bookmarkEnd w:id="26"/>
    <w:bookmarkEnd w:id="27"/>
    <w:bookmarkEnd w:id="28"/>
    <w:bookmarkStart w:id="45" w:name="set-bounds"/>
    <w:p>
      <w:pPr>
        <w:pStyle w:val="Heading2"/>
      </w:pPr>
      <w:r>
        <w:t xml:space="preserve">Set Bounds</w:t>
      </w:r>
    </w:p>
    <w:p>
      <w:pPr>
        <w:pStyle w:val="FirstParagraph"/>
      </w:pPr>
      <w:r>
        <w:t xml:space="preserve">You might be interested to know that at this stage, despite the fact we have specified 14 axioms, these still aren’t unique to the real numbers! For example, the exact same axioms also apply to the set of rational numbers</w:t>
      </w:r>
      <w:r>
        <w:t xml:space="preserve"> </w:t>
      </w:r>
      <m:oMath>
        <m:r>
          <m:rPr>
            <m:sty m:val="p"/>
            <m:scr m:val="double-struck"/>
          </m:rPr>
          <m:t>Q</m:t>
        </m:r>
      </m:oMath>
      <w:r>
        <w:t xml:space="preserve">. Luckily, we only need one more axiom to complete our description of the real numbers. Unfortunately, there are a few definitions we need first…</w:t>
      </w:r>
    </w:p>
    <w:p>
      <w:pPr>
        <w:pStyle w:val="BodyText"/>
      </w:pPr>
    </w:p>
    <w:bookmarkStart w:id="30" w:name="def:def1"/>
    <w:p>
      <w:pPr>
        <w:pStyle w:val="DefinitionStyle"/>
      </w:pPr>
      <w:bookmarkStart w:id="29" w:name="def:def1"/>
      <w:bookmarkEnd w:id="29"/>
      <w:r>
        <w:rPr>
          <w:rStyle w:val="NameStyle"/>
        </w:rPr>
        <w:t xml:space="preserve">Definition 1.1 (Upper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an upper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w:t>
      </w:r>
      <w:r>
        <w:t xml:space="preserve"> </w:t>
      </w:r>
      <m:oMath>
        <m:r>
          <m:t>S</m:t>
        </m:r>
      </m:oMath>
      <w:r>
        <w:t xml:space="preserve"> </w:t>
      </w:r>
      <w:r>
        <w:t xml:space="preserve">is bounded above.</w:t>
      </w:r>
    </w:p>
    <w:bookmarkEnd w:id="30"/>
    <w:p>
      <w:pPr>
        <w:pStyle w:val="BodyText"/>
      </w:pPr>
    </w:p>
    <w:bookmarkStart w:id="32" w:name="def:def2"/>
    <w:p>
      <w:pPr>
        <w:pStyle w:val="DefinitionStyle"/>
      </w:pPr>
      <w:bookmarkStart w:id="31" w:name="def:def2"/>
      <w:bookmarkEnd w:id="31"/>
      <w:r>
        <w:rPr>
          <w:rStyle w:val="NameStyle"/>
        </w:rPr>
        <w:t xml:space="preserve">Definition 1.2 (Lower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 lower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 that</w:t>
      </w:r>
      <w:r>
        <w:t xml:space="preserve"> </w:t>
      </w:r>
      <m:oMath>
        <m:r>
          <m:t>S</m:t>
        </m:r>
      </m:oMath>
      <w:r>
        <w:t xml:space="preserve"> </w:t>
      </w:r>
      <w:r>
        <w:t xml:space="preserve">is bounded below.</w:t>
      </w:r>
    </w:p>
    <w:bookmarkEnd w:id="32"/>
    <w:p>
      <w:pPr>
        <w:pStyle w:val="BodyText"/>
      </w:pPr>
    </w:p>
    <w:bookmarkStart w:id="34" w:name="def:def3"/>
    <w:p>
      <w:pPr>
        <w:pStyle w:val="DefinitionStyle"/>
      </w:pPr>
      <w:bookmarkStart w:id="33" w:name="def:def3"/>
      <w:bookmarkEnd w:id="33"/>
      <w:r>
        <w:rPr>
          <w:rStyle w:val="NameStyle"/>
        </w:rPr>
        <w:t xml:space="preserve">Definition 1.3 (Bounded Set)</w:t>
      </w:r>
      <w:r>
        <w:rPr>
          <w:rStyle w:val="NameStyle"/>
        </w:rPr>
        <w:t xml:space="preserve"> </w:t>
      </w:r>
    </w:p>
    <w:p>
      <w:pPr>
        <w:pStyle w:val="DefinitionStyle"/>
      </w:pPr>
      <w:r>
        <w:t xml:space="preserve">A set</w:t>
      </w:r>
      <w:r>
        <w:t xml:space="preserve"> </w:t>
      </w:r>
      <m:oMath>
        <m:r>
          <m:t>S</m:t>
        </m:r>
      </m:oMath>
      <w:r>
        <w:t xml:space="preserve"> </w:t>
      </w:r>
      <w:r>
        <w:t xml:space="preserve">is bounded if it is both bounded above and below. Equivalently,</w:t>
      </w:r>
      <w:r>
        <w:t xml:space="preserve"> </w:t>
      </w:r>
      <m:oMath>
        <m:r>
          <m:t>S</m:t>
        </m:r>
      </m:oMath>
      <w:r>
        <w:t xml:space="preserve"> </w:t>
      </w:r>
      <w:r>
        <w:t xml:space="preserve">is bounded if there exists</w:t>
      </w:r>
      <w:r>
        <w:t xml:space="preserve"> </w:t>
      </w:r>
      <m:oMath>
        <m:r>
          <m:t>m</m:t>
        </m:r>
        <m:r>
          <m:rPr>
            <m:sty m:val="p"/>
          </m:rPr>
          <m:t>,</m:t>
        </m:r>
        <m:r>
          <m:t>M</m:t>
        </m:r>
        <m:r>
          <m:rPr>
            <m:sty m:val="p"/>
          </m:rPr>
          <m:t>∈</m:t>
        </m:r>
        <m:r>
          <m:rPr>
            <m:sty m:val="p"/>
            <m:scr m:val="double-struck"/>
          </m:rPr>
          <m:t>R</m:t>
        </m:r>
      </m:oMath>
      <w:r>
        <w:t xml:space="preserve"> </w:t>
      </w:r>
      <w:r>
        <w:t xml:space="preserve">such that for all</w:t>
      </w:r>
      <w:r>
        <w:t xml:space="preserve"> </w:t>
      </w:r>
      <m:oMath>
        <m:r>
          <m:t>x</m:t>
        </m:r>
        <m:r>
          <m:rPr>
            <m:sty m:val="p"/>
          </m:rPr>
          <m:t>∈</m:t>
        </m:r>
        <m:r>
          <m:t>S</m:t>
        </m:r>
      </m:oMath>
      <w:r>
        <w:t xml:space="preserve">,</w:t>
      </w:r>
      <w:r>
        <w:t xml:space="preserve"> </w:t>
      </w:r>
      <m:oMath>
        <m:r>
          <m:t>m</m:t>
        </m:r>
        <m:r>
          <m:rPr>
            <m:sty m:val="p"/>
          </m:rPr>
          <m:t>≤</m:t>
        </m:r>
        <m:r>
          <m:t>x</m:t>
        </m:r>
        <m:r>
          <m:rPr>
            <m:sty m:val="p"/>
          </m:rPr>
          <m:t>≤</m:t>
        </m:r>
        <m:r>
          <m:t>M</m:t>
        </m:r>
      </m:oMath>
      <w:r>
        <w:t xml:space="preserve">.</w:t>
      </w:r>
    </w:p>
    <w:bookmarkEnd w:id="34"/>
    <w:p>
      <w:pPr>
        <w:pStyle w:val="BodyText"/>
      </w:pPr>
      <w:r>
        <w:t xml:space="preserve">We can go one step further with the definition of a bounded set. Namely, we can say that</w:t>
      </w:r>
      <w:r>
        <w:t xml:space="preserve"> </w:t>
      </w:r>
      <m:oMath>
        <m:r>
          <m:t>S</m:t>
        </m:r>
      </m:oMath>
      <w:r>
        <w:t xml:space="preserve"> </w:t>
      </w:r>
      <w:r>
        <w:t xml:space="preserve">is bounded if</w:t>
      </w:r>
      <w:r>
        <w:t xml:space="preserve"> </w:t>
      </w:r>
      <m:oMath>
        <m:r>
          <m:rPr>
            <m:sty m:val="p"/>
          </m:rPr>
          <m:t>∃</m:t>
        </m:r>
        <m:sSup>
          <m:e>
            <m:r>
              <m:t>M</m:t>
            </m:r>
          </m:e>
          <m:sup>
            <m:r>
              <m:rPr>
                <m:sty m:val="p"/>
              </m:rPr>
              <m:t>*</m:t>
            </m:r>
          </m:sup>
        </m:sSup>
        <m:r>
          <m:rPr>
            <m:sty m:val="p"/>
          </m:rPr>
          <m:t>≥</m:t>
        </m:r>
        <m:r>
          <m:t>0</m:t>
        </m:r>
      </m:oMath>
      <w:r>
        <w:t xml:space="preserve"> </w:t>
      </w:r>
      <w:r>
        <w:t xml:space="preserve">such that</w:t>
      </w:r>
      <w:r>
        <w:t xml:space="preserve"> </w:t>
      </w:r>
      <m:oMath>
        <m:r>
          <m:rPr>
            <m:sty m:val="p"/>
          </m:rPr>
          <m:t>|</m:t>
        </m:r>
        <m:r>
          <m:t>x</m:t>
        </m:r>
        <m:r>
          <m:rPr>
            <m:sty m:val="p"/>
          </m:rPr>
          <m:t>|</m:t>
        </m:r>
        <m:r>
          <m:rPr>
            <m:sty m:val="p"/>
          </m:rPr>
          <m:t>≤</m:t>
        </m:r>
        <m:r>
          <m:t>M</m:t>
        </m:r>
      </m:oMath>
      <w:r>
        <w:t xml:space="preserve"> </w:t>
      </w:r>
      <w:r>
        <w:t xml:space="preserve">for all members</w:t>
      </w:r>
      <w:r>
        <w:t xml:space="preserve"> </w:t>
      </w:r>
      <m:oMath>
        <m:r>
          <m:t>x</m:t>
        </m:r>
      </m:oMath>
      <w:r>
        <w:t xml:space="preserve"> </w:t>
      </w:r>
      <w:r>
        <w:t xml:space="preserve">of</w:t>
      </w:r>
      <w:r>
        <w:t xml:space="preserve"> </w:t>
      </w:r>
      <m:oMath>
        <m:r>
          <m:t>S</m:t>
        </m:r>
      </m:oMath>
      <w:r>
        <w:t xml:space="preserve">. The link here is that</w:t>
      </w:r>
      <w:r>
        <w:t xml:space="preserve"> </w:t>
      </w:r>
      <m:oMath>
        <m:sSup>
          <m:e>
            <m:r>
              <m:t>M</m:t>
            </m:r>
          </m:e>
          <m:sup>
            <m:r>
              <m:rPr>
                <m:sty m:val="p"/>
              </m:rPr>
              <m:t>*</m:t>
            </m:r>
          </m:sup>
        </m:sSup>
        <m:r>
          <m:rPr>
            <m:sty m:val="p"/>
          </m:rPr>
          <m:t>=</m:t>
        </m:r>
        <m:r>
          <m:rPr>
            <m:nor/>
            <m:sty m:val="p"/>
          </m:rPr>
          <m:t>max</m:t>
        </m:r>
        <m:d>
          <m:dPr>
            <m:begChr m:val="{"/>
            <m:endChr m:val="}"/>
            <m:sepChr m:val=""/>
            <m:grow/>
          </m:dPr>
          <m:e>
            <m:r>
              <m:rPr>
                <m:sty m:val="p"/>
              </m:rPr>
              <m:t>|</m:t>
            </m:r>
            <m:r>
              <m:t>m</m:t>
            </m:r>
            <m:r>
              <m:rPr>
                <m:sty m:val="p"/>
              </m:rPr>
              <m:t>|</m:t>
            </m:r>
            <m:r>
              <m:rPr>
                <m:sty m:val="p"/>
              </m:rPr>
              <m:t>,</m:t>
            </m:r>
            <m:r>
              <m:rPr>
                <m:sty m:val="p"/>
              </m:rPr>
              <m:t>|</m:t>
            </m:r>
            <m:r>
              <m:t>M</m:t>
            </m:r>
            <m:r>
              <m:rPr>
                <m:sty m:val="p"/>
              </m:rPr>
              <m:t>|</m:t>
            </m:r>
          </m:e>
        </m:d>
      </m:oMath>
      <w:r>
        <w:t xml:space="preserve">.</w:t>
      </w:r>
    </w:p>
    <w:p>
      <w:pPr>
        <w:pStyle w:val="BodyText"/>
      </w:pPr>
      <w:r>
        <w:t xml:space="preserve">Thinking of upper bounds for a moment, if we have one, we could ask if there is a smaller number which also bounds the set from above. You might also be tempted to ask what the</w:t>
      </w:r>
      <w:r>
        <w:t xml:space="preserve"> </w:t>
      </w:r>
      <w:r>
        <w:t xml:space="preserve">‘</w:t>
      </w:r>
      <w:r>
        <w:t xml:space="preserve">best</w:t>
      </w:r>
      <w:r>
        <w:t xml:space="preserve">’</w:t>
      </w:r>
      <w:r>
        <w:t xml:space="preserve"> </w:t>
      </w:r>
      <w:r>
        <w:t xml:space="preserve">upper bound on a set could be, such that no smaller number will bound the set from above. This leads to the ideas of suprema and infima:</w:t>
      </w:r>
    </w:p>
    <w:p>
      <w:pPr>
        <w:pStyle w:val="BodyText"/>
      </w:pPr>
    </w:p>
    <w:bookmarkStart w:id="36" w:name="def:def4"/>
    <w:p>
      <w:pPr>
        <w:pStyle w:val="DefinitionStyle"/>
      </w:pPr>
      <w:bookmarkStart w:id="35" w:name="def:def4"/>
      <w:bookmarkEnd w:id="35"/>
      <w:r>
        <w:rPr>
          <w:rStyle w:val="NameStyle"/>
        </w:rPr>
        <w:t xml:space="preserve">Definition 1.4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36"/>
    <w:p>
      <w:pPr>
        <w:pStyle w:val="BodyText"/>
      </w:pPr>
    </w:p>
    <w:bookmarkStart w:id="38" w:name="def:def5"/>
    <w:p>
      <w:pPr>
        <w:pStyle w:val="DefinitionStyle"/>
      </w:pPr>
      <w:bookmarkStart w:id="37" w:name="def:def5"/>
      <w:bookmarkEnd w:id="37"/>
      <w:r>
        <w:rPr>
          <w:rStyle w:val="NameStyle"/>
        </w:rPr>
        <w:t xml:space="preserve">Definition 1.5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38"/>
    <w:p>
      <w:pPr>
        <w:pStyle w:val="BodyText"/>
      </w:pPr>
      <w:r>
        <w:t xml:space="preserve">For example, if we consider the set</w:t>
      </w:r>
      <w:r>
        <w:t xml:space="preserve"> </w:t>
      </w:r>
      <m:oMath>
        <m:r>
          <m:t>S</m:t>
        </m:r>
        <m:r>
          <m:rPr>
            <m:sty m:val="p"/>
          </m:rPr>
          <m:t>=</m:t>
        </m:r>
        <m:r>
          <m:rPr>
            <m:sty m:val="p"/>
          </m:rPr>
          <m:t>(</m:t>
        </m:r>
        <m:r>
          <m:rPr>
            <m:sty m:val="p"/>
          </m:rPr>
          <m:t>−</m:t>
        </m:r>
        <m:r>
          <m:t>1</m:t>
        </m:r>
        <m:r>
          <m:rPr>
            <m:sty m:val="p"/>
          </m:rPr>
          <m:t>,</m:t>
        </m:r>
        <m:r>
          <m:t>2</m:t>
        </m:r>
        <m:r>
          <m:rPr>
            <m:sty m:val="p"/>
          </m:rPr>
          <m:t>]</m:t>
        </m:r>
        <m:r>
          <m:rPr>
            <m:sty m:val="p"/>
          </m:rPr>
          <m:t>=</m:t>
        </m:r>
        <m:r>
          <m:rPr>
            <m:sty m:val="p"/>
          </m:rPr>
          <m:t>{</m:t>
        </m:r>
        <m:r>
          <m:t>x</m:t>
        </m:r>
        <m:r>
          <m:rPr>
            <m:sty m:val="p"/>
          </m:rPr>
          <m:t>|</m:t>
        </m:r>
        <m:r>
          <m:rPr>
            <m:sty m:val="p"/>
          </m:rPr>
          <m:t>−</m:t>
        </m:r>
        <m:r>
          <m:t>1</m:t>
        </m:r>
        <m:r>
          <m:rPr>
            <m:sty m:val="p"/>
          </m:rPr>
          <m:t>&lt;</m:t>
        </m:r>
        <m:r>
          <m:t>x</m:t>
        </m:r>
        <m:r>
          <m:rPr>
            <m:sty m:val="p"/>
          </m:rPr>
          <m:t>≤</m:t>
        </m:r>
        <m:r>
          <m:t>2</m:t>
        </m:r>
        <m:r>
          <m:rPr>
            <m:sty m:val="p"/>
          </m:rPr>
          <m:t>}</m:t>
        </m:r>
      </m:oMath>
      <w:r>
        <w:t xml:space="preserve">, we can see that possible upper and lower bounds are</w:t>
      </w:r>
      <w:r>
        <w:t xml:space="preserve"> </w:t>
      </w:r>
      <m:oMath>
        <m:r>
          <m:t>M</m:t>
        </m:r>
        <m:r>
          <m:rPr>
            <m:sty m:val="p"/>
          </m:rPr>
          <m:t>=</m:t>
        </m:r>
        <m:r>
          <m:t>3</m:t>
        </m:r>
      </m:oMath>
      <w:r>
        <w:t xml:space="preserve"> </w:t>
      </w:r>
      <w:r>
        <w:t xml:space="preserve">and</w:t>
      </w:r>
      <w:r>
        <w:t xml:space="preserve"> </w:t>
      </w:r>
      <m:oMath>
        <m:r>
          <m:t>m</m:t>
        </m:r>
        <m:r>
          <m:rPr>
            <m:sty m:val="p"/>
          </m:rPr>
          <m:t>=</m:t>
        </m:r>
        <m:r>
          <m:rPr>
            <m:sty m:val="p"/>
          </m:rPr>
          <m:t>−</m:t>
        </m:r>
        <m:r>
          <m:t>2</m:t>
        </m:r>
      </m:oMath>
      <w:r>
        <w:t xml:space="preserve"> </w:t>
      </w:r>
      <w:r>
        <w:t xml:space="preserve">respectively, so the set is bounded. Its supremum and infimum are</w:t>
      </w:r>
      <w:r>
        <w:t xml:space="preserve"> </w:t>
      </w:r>
      <m:oMath>
        <m:r>
          <m:rPr>
            <m:nor/>
            <m:sty m:val="p"/>
          </m:rPr>
          <m:t>sup</m:t>
        </m:r>
        <m:d>
          <m:dPr>
            <m:begChr m:val="("/>
            <m:endChr m:val=")"/>
            <m:sepChr m:val=""/>
            <m:grow/>
          </m:dPr>
          <m:e>
            <m:r>
              <m:t>S</m:t>
            </m:r>
          </m:e>
        </m:d>
        <m:r>
          <m:rPr>
            <m:sty m:val="p"/>
          </m:rPr>
          <m:t>=</m:t>
        </m:r>
        <m:r>
          <m:t>2</m:t>
        </m:r>
      </m:oMath>
      <w:r>
        <w:t xml:space="preserve"> </w:t>
      </w:r>
      <w:r>
        <w:t xml:space="preserve">and</w:t>
      </w:r>
      <w:r>
        <w:t xml:space="preserve"> </w:t>
      </w:r>
      <m:oMath>
        <m:r>
          <m:rPr>
            <m:nor/>
            <m:sty m:val="p"/>
          </m:rPr>
          <m:t>inf</m:t>
        </m:r>
        <m:d>
          <m:dPr>
            <m:begChr m:val="("/>
            <m:endChr m:val=")"/>
            <m:sepChr m:val=""/>
            <m:grow/>
          </m:dPr>
          <m:e>
            <m:r>
              <m:t>S</m:t>
            </m:r>
          </m:e>
        </m:d>
        <m:r>
          <m:rPr>
            <m:sty m:val="p"/>
          </m:rPr>
          <m:t>=</m:t>
        </m:r>
        <m:r>
          <m:rPr>
            <m:sty m:val="p"/>
          </m:rPr>
          <m:t>−</m:t>
        </m:r>
        <m:r>
          <m:t>1</m:t>
        </m:r>
      </m:oMath>
      <w:r>
        <w:t xml:space="preserve">. However, note that the supremum lies inside</w:t>
      </w:r>
      <w:r>
        <w:t xml:space="preserve"> </w:t>
      </w:r>
      <m:oMath>
        <m:r>
          <m:t>S</m:t>
        </m:r>
      </m:oMath>
      <w:r>
        <w:t xml:space="preserve">, whereas the infimum does not lie inside</w:t>
      </w:r>
      <w:r>
        <w:t xml:space="preserve"> </w:t>
      </w:r>
      <m:oMath>
        <m:r>
          <m:t>S</m:t>
        </m:r>
      </m:oMath>
      <w:r>
        <w:t xml:space="preserve">. This also tells us that the maximum element of</w:t>
      </w:r>
      <w:r>
        <w:t xml:space="preserve"> </w:t>
      </w:r>
      <m:oMath>
        <m:r>
          <m:t>S</m:t>
        </m:r>
      </m:oMath>
      <w:r>
        <w:t xml:space="preserve"> </w:t>
      </w:r>
      <w:r>
        <w:t xml:space="preserve">is</w:t>
      </w:r>
      <w:r>
        <w:t xml:space="preserve"> </w:t>
      </w:r>
      <m:oMath>
        <m:r>
          <m:t>2</m:t>
        </m:r>
      </m:oMath>
      <w:r>
        <w:t xml:space="preserve">, whereas</w:t>
      </w:r>
      <w:r>
        <w:t xml:space="preserve"> </w:t>
      </w:r>
      <m:oMath>
        <m:r>
          <m:t>S</m:t>
        </m:r>
      </m:oMath>
      <w:r>
        <w:t xml:space="preserve"> </w:t>
      </w:r>
      <w:r>
        <w:t xml:space="preserve">has no minimum element!</w:t>
      </w:r>
    </w:p>
    <w:bookmarkStart w:id="41" w:name="the-completeness-axiom"/>
    <w:p>
      <w:pPr>
        <w:pStyle w:val="Heading3"/>
      </w:pPr>
      <w:r>
        <w:t xml:space="preserve">The Completeness Axiom</w:t>
      </w:r>
    </w:p>
    <w:p>
      <w:pPr>
        <w:pStyle w:val="FirstParagraph"/>
      </w:pPr>
      <w:r>
        <w:t xml:space="preserve">Finally, we are ready to state the required</w:t>
      </w:r>
      <w:r>
        <w:t xml:space="preserve"> </w:t>
      </w:r>
      <m:oMath>
        <m:sSup>
          <m:e>
            <m:r>
              <m:t>15</m:t>
            </m:r>
          </m:e>
          <m:sup>
            <m:r>
              <m:t>t</m:t>
            </m:r>
            <m:r>
              <m:t>h</m:t>
            </m:r>
          </m:sup>
        </m:sSup>
      </m:oMath>
      <w:r>
        <w:t xml:space="preserve"> </w:t>
      </w:r>
      <w:r>
        <w:t xml:space="preserve">axiom! As the title suggests, this is known as the</w:t>
      </w:r>
      <w:r>
        <w:t xml:space="preserve"> </w:t>
      </w:r>
      <w:r>
        <w:rPr>
          <w:iCs/>
          <w:i/>
        </w:rPr>
        <w:t xml:space="preserve">Completeness Axiom</w:t>
      </w:r>
      <w:r>
        <w:t xml:space="preserve">. It says that every non-empty set</w:t>
      </w:r>
      <w:r>
        <w:t xml:space="preserve"> </w:t>
      </w:r>
      <m:oMath>
        <m:r>
          <m:t>S</m:t>
        </m:r>
      </m:oMath>
      <w:r>
        <w:t xml:space="preserve"> </w:t>
      </w:r>
      <w:r>
        <w:t xml:space="preserve">in</w:t>
      </w:r>
      <w:r>
        <w:t xml:space="preserve"> </w:t>
      </w:r>
      <m:oMath>
        <m:r>
          <m:rPr>
            <m:sty m:val="p"/>
            <m:scr m:val="double-struck"/>
          </m:rPr>
          <m:t>R</m:t>
        </m:r>
      </m:oMath>
      <w:r>
        <w:t xml:space="preserve"> </w:t>
      </w:r>
      <w:r>
        <w:t xml:space="preserve">that is bounded above has a supremum</w:t>
      </w:r>
      <w:r>
        <w:rPr>
          <w:rStyle w:val="FootnoteReference"/>
        </w:rPr>
        <w:footnoteReference w:id="39"/>
      </w:r>
      <w:r>
        <w:t xml:space="preserve">.</w:t>
      </w:r>
    </w:p>
    <w:p>
      <w:pPr>
        <w:pStyle w:val="BodyText"/>
      </w:pPr>
      <w:r>
        <w:t xml:space="preserve">Loosely, this axiom ensures that there are no</w:t>
      </w:r>
      <w:r>
        <w:t xml:space="preserve"> </w:t>
      </w:r>
      <w:r>
        <w:t xml:space="preserve">‘</w:t>
      </w:r>
      <w:r>
        <w:t xml:space="preserve">gaps</w:t>
      </w:r>
      <w:r>
        <w:t xml:space="preserve">’</w:t>
      </w:r>
      <w:r>
        <w:t xml:space="preserve"> </w:t>
      </w:r>
      <w:r>
        <w:t xml:space="preserve">in the real number line. For some more (precise) information, see</w:t>
      </w:r>
      <w:r>
        <w:t xml:space="preserve"> </w:t>
      </w:r>
      <w:hyperlink r:id="rId40">
        <w:r>
          <w:rPr>
            <w:rStyle w:val="Hyperlink"/>
          </w:rPr>
          <w:t xml:space="preserve">this link.</w:t>
        </w:r>
      </w:hyperlink>
    </w:p>
    <w:bookmarkEnd w:id="41"/>
    <w:bookmarkStart w:id="44" w:name="the-archimedian-postulate"/>
    <w:p>
      <w:pPr>
        <w:pStyle w:val="Heading3"/>
      </w:pPr>
      <w:r>
        <w:t xml:space="preserve">The Archimedian Postulate</w:t>
      </w:r>
    </w:p>
    <w:p>
      <w:pPr>
        <w:pStyle w:val="FirstParagraph"/>
      </w:pPr>
      <w:r>
        <w:t xml:space="preserve">To finish, we mention one result which will become very useful when studying sequences in the next few weeks. This is the</w:t>
      </w:r>
      <w:r>
        <w:t xml:space="preserve"> </w:t>
      </w:r>
      <w:r>
        <w:rPr>
          <w:iCs/>
          <w:i/>
        </w:rPr>
        <w:t xml:space="preserve">Archimedian Postulate</w:t>
      </w:r>
      <w:r>
        <w:t xml:space="preserve">, and says that the set of natural numbers is unbounded above. In maths terms:</w:t>
      </w:r>
    </w:p>
    <w:p>
      <w:pPr>
        <w:pStyle w:val="BodyText"/>
      </w:pPr>
    </w:p>
    <w:bookmarkStart w:id="43" w:name="prp:prop1"/>
    <w:p>
      <w:pPr>
        <w:pStyle w:val="TheoremStyleUpright"/>
      </w:pPr>
      <w:bookmarkStart w:id="42" w:name="prp:prop1"/>
      <w:bookmarkEnd w:id="42"/>
      <w:r>
        <w:rPr>
          <w:rStyle w:val="NameStyle"/>
        </w:rPr>
        <w:t xml:space="preserve">Proposition 1.1 (Archimedian Postulate)</w:t>
      </w:r>
      <w:r>
        <w:rPr>
          <w:rStyle w:val="NameStyle"/>
        </w:rPr>
        <w:t xml:space="preserve"> </w:t>
      </w:r>
    </w:p>
    <w:p>
      <w:pPr>
        <w:pStyle w:val="TheoremStyleUpright"/>
      </w:pPr>
      <w:r>
        <w:t xml:space="preserve">We have that</w:t>
      </w:r>
      <w:r>
        <w:t xml:space="preserve"> </w:t>
      </w:r>
      <m:oMath>
        <m:r>
          <m:rPr>
            <m:sty m:val="p"/>
          </m:rPr>
          <m:t>∀</m:t>
        </m:r>
        <m:r>
          <m:t>x</m:t>
        </m:r>
        <m:r>
          <m:rPr>
            <m:sty m:val="p"/>
          </m:rPr>
          <m:t>∈</m:t>
        </m:r>
        <m:r>
          <m:rPr>
            <m:sty m:val="p"/>
            <m:scr m:val="double-struck"/>
          </m:rPr>
          <m:t>R</m:t>
        </m:r>
        <m:r>
          <m:rPr>
            <m:sty m:val="p"/>
          </m:rPr>
          <m:t>,</m:t>
        </m:r>
        <m:r>
          <m:rPr>
            <m:sty m:val="p"/>
          </m:rPr>
          <m:t>∃</m:t>
        </m:r>
        <m:r>
          <m:t>N</m:t>
        </m:r>
        <m:r>
          <m:rPr>
            <m:sty m:val="p"/>
          </m:rPr>
          <m:t>∈</m:t>
        </m:r>
        <m:r>
          <m:rPr>
            <m:sty m:val="p"/>
            <m:scr m:val="double-struck"/>
          </m:rPr>
          <m:t>N</m:t>
        </m:r>
      </m:oMath>
      <w:r>
        <w:t xml:space="preserve"> </w:t>
      </w:r>
      <w:r>
        <w:t xml:space="preserve">such that</w:t>
      </w:r>
      <w:r>
        <w:t xml:space="preserve"> </w:t>
      </w:r>
      <m:oMath>
        <m:r>
          <m:t>N</m:t>
        </m:r>
        <m:r>
          <m:rPr>
            <m:sty m:val="p"/>
          </m:rPr>
          <m:t>&gt;</m:t>
        </m:r>
        <m:r>
          <m:t>x</m:t>
        </m:r>
        <m:r>
          <m:rPr>
            <m:sty m:val="p"/>
          </m:rPr>
          <m:t>.</m:t>
        </m:r>
      </m:oMath>
    </w:p>
    <w:bookmarkEnd w:id="43"/>
    <w:bookmarkEnd w:id="44"/>
    <w:bookmarkEnd w:id="45"/>
    <w:bookmarkEnd w:id="46"/>
    <w:bookmarkStart w:id="47" w:name="hints"/>
    <w:p>
      <w:pPr>
        <w:pStyle w:val="Heading1"/>
      </w:pPr>
      <w:r>
        <w:t xml:space="preserve">Hints</w:t>
      </w:r>
    </w:p>
    <w:p>
      <w:pPr>
        <w:pStyle w:val="FirstParagraph"/>
      </w:pPr>
      <w:r>
        <w:t xml:space="preserve">As per last week, here’s the hints section of this document.</w:t>
      </w:r>
    </w:p>
    <w:p>
      <w:pPr>
        <w:numPr>
          <w:ilvl w:val="0"/>
          <w:numId w:val="1004"/>
        </w:numPr>
        <w:pStyle w:val="Compact"/>
      </w:pPr>
      <w:r>
        <w:t xml:space="preserve">[H1.] Recall that a number</w:t>
      </w:r>
      <w:r>
        <w:t xml:space="preserve"> </w:t>
      </w:r>
      <m:oMath>
        <m:r>
          <m:t>N</m:t>
        </m:r>
      </m:oMath>
      <w:r>
        <w:t xml:space="preserve"> </w:t>
      </w:r>
      <w:r>
        <w:t xml:space="preserve">is a multiple of 3 if there exists</w:t>
      </w:r>
      <w:r>
        <w:t xml:space="preserve"> </w:t>
      </w:r>
      <m:oMath>
        <m:r>
          <m:t>j</m:t>
        </m:r>
        <m:r>
          <m:rPr>
            <m:sty m:val="p"/>
          </m:rPr>
          <m:t>∈</m:t>
        </m:r>
        <m:r>
          <m:rPr>
            <m:sty m:val="p"/>
            <m:scr m:val="double-struck"/>
          </m:rPr>
          <m:t>Z</m:t>
        </m:r>
      </m:oMath>
      <w:r>
        <w:t xml:space="preserve"> </w:t>
      </w:r>
      <w:r>
        <w:t xml:space="preserve">such that</w:t>
      </w:r>
      <w:r>
        <w:t xml:space="preserve"> </w:t>
      </w:r>
      <m:oMath>
        <m:r>
          <m:t>N</m:t>
        </m:r>
        <m:r>
          <m:rPr>
            <m:sty m:val="p"/>
          </m:rPr>
          <m:t>=</m:t>
        </m:r>
        <m:r>
          <m:t>3</m:t>
        </m:r>
        <m:r>
          <m:t>j</m:t>
        </m:r>
      </m:oMath>
      <w:r>
        <w:t xml:space="preserve">. The proof is then similar to tutorial question 1.</w:t>
      </w:r>
    </w:p>
    <w:p>
      <w:pPr>
        <w:numPr>
          <w:ilvl w:val="0"/>
          <w:numId w:val="1004"/>
        </w:numPr>
        <w:pStyle w:val="Compact"/>
      </w:pPr>
      <w:r>
        <w:t xml:space="preserve">[H2.] Try and get the problems into the form of one of the order axioms. Make sure to state each axiom you use, when you use it!</w:t>
      </w:r>
    </w:p>
    <w:p>
      <w:pPr>
        <w:numPr>
          <w:ilvl w:val="0"/>
          <w:numId w:val="1004"/>
        </w:numPr>
        <w:pStyle w:val="Compact"/>
      </w:pPr>
      <w:r>
        <w:t xml:space="preserve">[H3.] This is a similar procedure to tutorial question 3. Splitting the fraction up will help!</w:t>
      </w:r>
    </w:p>
    <w:p>
      <w:pPr>
        <w:numPr>
          <w:ilvl w:val="0"/>
          <w:numId w:val="1004"/>
        </w:numPr>
        <w:pStyle w:val="Compact"/>
      </w:pPr>
      <w:r>
        <w:t xml:space="preserve">[H4.] The induction should be straightforward. To find the formula you need to prove, have you seen a way of rewriting</w:t>
      </w:r>
      <w:r>
        <w:t xml:space="preserve"> </w:t>
      </w:r>
      <m:oMath>
        <m:d>
          <m:dPr>
            <m:begChr m:val="("/>
            <m:endChr m:val=")"/>
            <m:sepChr m:val=""/>
            <m:grow/>
          </m:dPr>
          <m:e>
            <m:m>
              <m:mPr>
                <m:baseJc m:val="center"/>
                <m:plcHide m:val="1"/>
                <m:mcs>
                  <m:mc>
                    <m:mcPr>
                      <m:mcJc m:val="center"/>
                      <m:count m:val="1"/>
                    </m:mcPr>
                  </m:mc>
                </m:mcs>
              </m:mPr>
              <m:mr>
                <m:e>
                  <m:r>
                    <m:t>n</m:t>
                  </m:r>
                </m:e>
              </m:mr>
              <m:mr>
                <m:e>
                  <m:r>
                    <m:t>10</m:t>
                  </m:r>
                </m:e>
              </m:mr>
            </m:m>
          </m:e>
        </m:d>
      </m:oMath>
      <w:r>
        <w:t xml:space="preserve"> </w:t>
      </w:r>
      <w:r>
        <w:t xml:space="preserve">recently? (Have a look at the proof of the binomial theorem).</w:t>
      </w:r>
    </w:p>
    <w:p>
      <w:pPr>
        <w:numPr>
          <w:ilvl w:val="0"/>
          <w:numId w:val="1004"/>
        </w:numPr>
        <w:pStyle w:val="Compact"/>
      </w:pPr>
      <w:r>
        <w:t xml:space="preserve">[H5.] Think back to the definitions, and use them to construct your proof of this result.</w:t>
      </w:r>
    </w:p>
    <w:bookmarkEnd w:id="4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Or Axiomata, if you’re into your archaic English.</w:t>
      </w:r>
    </w:p>
  </w:footnote>
  <w:footnote w:id="24">
    <w:p>
      <w:pPr>
        <w:pStyle w:val="FootnoteText"/>
      </w:pPr>
      <w:r>
        <w:rPr>
          <w:rStyle w:val="FootnoteReference"/>
        </w:rPr>
        <w:footnoteRef/>
      </w:r>
      <w:r>
        <w:t xml:space="preserve"> </w:t>
      </w:r>
      <w:r>
        <w:t xml:space="preserve">Once you’ve learned some group theory, we can obscure everything behind more definitions. The first two bullet points can be stated as:</w:t>
      </w:r>
      <w:r>
        <w:t xml:space="preserve"> </w:t>
      </w:r>
      <m:oMath>
        <m:d>
          <m:dPr>
            <m:begChr m:val="("/>
            <m:endChr m:val=")"/>
            <m:sepChr m:val=""/>
            <m:grow/>
          </m:dPr>
          <m:e>
            <m:r>
              <m:rPr>
                <m:sty m:val="p"/>
                <m:scr m:val="double-struck"/>
              </m:rPr>
              <m:t>R</m:t>
            </m:r>
            <m:r>
              <m:rPr>
                <m:sty m:val="p"/>
              </m:rPr>
              <m:t>,</m:t>
            </m:r>
            <m:r>
              <m:rPr>
                <m:sty m:val="p"/>
              </m:rPr>
              <m:t>+</m:t>
            </m:r>
          </m:e>
        </m:d>
      </m:oMath>
      <w:r>
        <w:t xml:space="preserve"> </w:t>
      </w:r>
      <w:r>
        <w:t xml:space="preserve">and</w:t>
      </w:r>
      <w:r>
        <w:t xml:space="preserve"> </w:t>
      </w:r>
      <m:oMath>
        <m:d>
          <m:dPr>
            <m:begChr m:val="("/>
            <m:endChr m:val=")"/>
            <m:sepChr m:val=""/>
            <m:grow/>
          </m:dPr>
          <m:e>
            <m:r>
              <m:rPr>
                <m:sty m:val="p"/>
                <m:scr m:val="double-struck"/>
              </m:rPr>
              <m:t>R</m:t>
            </m:r>
            <m:r>
              <m:rPr>
                <m:sty m:val="p"/>
              </m:rPr>
              <m:t>\</m:t>
            </m:r>
            <m:r>
              <m:rPr>
                <m:sty m:val="p"/>
              </m:rPr>
              <m:t>{</m:t>
            </m:r>
            <m:r>
              <m:t>0</m:t>
            </m:r>
            <m:r>
              <m:rPr>
                <m:sty m:val="p"/>
              </m:rPr>
              <m:t>}</m:t>
            </m:r>
            <m:r>
              <m:rPr>
                <m:sty m:val="p"/>
              </m:rPr>
              <m:t>,</m:t>
            </m:r>
            <m:r>
              <m:rPr>
                <m:sty m:val="p"/>
              </m:rPr>
              <m:t>⋅</m:t>
            </m:r>
          </m:e>
        </m:d>
      </m:oMath>
      <w:r>
        <w:t xml:space="preserve"> </w:t>
      </w:r>
      <w:r>
        <w:t xml:space="preserve">are abelian groups. The third bullet point remains the same.</w:t>
      </w:r>
    </w:p>
  </w:footnote>
  <w:footnote w:id="39">
    <w:p>
      <w:pPr>
        <w:pStyle w:val="FootnoteText"/>
      </w:pPr>
      <w:r>
        <w:rPr>
          <w:rStyle w:val="FootnoteReference"/>
        </w:rPr>
        <w:footnoteRef/>
      </w:r>
      <w:r>
        <w:t xml:space="preserve"> </w:t>
      </w:r>
      <w:r>
        <w:t xml:space="preserve">In the lecture notes, it also states that</w:t>
      </w:r>
      <w:r>
        <w:t xml:space="preserve"> </w:t>
      </w:r>
      <w:r>
        <w:t xml:space="preserve">‘</w:t>
      </w:r>
      <w:r>
        <w:t xml:space="preserve">Every non-empty set of real numbers that is bounded below has an infimum.</w:t>
      </w:r>
      <w:r>
        <w:t xml:space="preserve">’</w:t>
      </w:r>
      <w:r>
        <w:t xml:space="preserve"> </w:t>
      </w:r>
      <w:r>
        <w:t xml:space="preserve">But you can deduce this from the supremum result by considering the set</w:t>
      </w:r>
      <w:r>
        <w:t xml:space="preserve"> </w:t>
      </w:r>
      <m:oMath>
        <m:r>
          <m:rPr>
            <m:sty m:val="p"/>
          </m:rPr>
          <m:t>−</m:t>
        </m:r>
        <m:r>
          <m:t>S</m:t>
        </m:r>
        <m:box>
          <m:boxPr>
            <m:opEmu m:val="1"/>
          </m:boxPr>
          <m:e>
            <m:r>
              <m:rPr>
                <m:sty m:val="p"/>
              </m:rPr>
              <m:t>:=</m:t>
            </m:r>
          </m:e>
        </m:box>
        <m:r>
          <m:rPr>
            <m:sty m:val="p"/>
          </m:rPr>
          <m:t>{</m:t>
        </m:r>
        <m:r>
          <m:rPr>
            <m:sty m:val="p"/>
          </m:rPr>
          <m:t>−</m:t>
        </m:r>
        <m:r>
          <m:t>x</m:t>
        </m:r>
        <m:r>
          <m:rPr>
            <m:sty m:val="p"/>
          </m:rPr>
          <m:t>|</m:t>
        </m:r>
        <m:r>
          <m:t>x</m:t>
        </m:r>
        <m:r>
          <m:rPr>
            <m:sty m:val="p"/>
          </m:rPr>
          <m:t>∈</m:t>
        </m:r>
        <m:r>
          <m:t>S</m:t>
        </m:r>
        <m:r>
          <m:rPr>
            <m:sty m:val="p"/>
          </m:rPr>
          <m:t>}</m:t>
        </m:r>
        <m:r>
          <m:rPr>
            <m:sty m:val="p"/>
          </m:rPr>
          <m:t>.</m:t>
        </m:r>
      </m:oMath>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en.wikipedia.org/wiki/Completeness_of_the_real_numbers"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0" Target="https://en.wikipedia.org/wiki/Completeness_of_the_real_numbers"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2</dc:title>
  <dc:creator>Christian Jones: University of Bath</dc:creator>
  <cp:keywords/>
  <dcterms:created xsi:type="dcterms:W3CDTF">2022-12-13T15:51:34Z</dcterms:created>
  <dcterms:modified xsi:type="dcterms:W3CDTF">2022-12-13T15:51:34Z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