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1A</w:t>
      </w:r>
      <w:r>
        <w:t xml:space="preserve"> </w:t>
      </w:r>
      <w:r>
        <w:t xml:space="preserve">—</w:t>
      </w:r>
      <w:r>
        <w:t xml:space="preserve"> </w:t>
      </w:r>
      <w:r>
        <w:t xml:space="preserve">Tutorial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version of Tutorial Question 3 off of Problem Sheet 3 with an alternative solution for part c). Parts a) and b) are included for completeness.</w:t>
      </w:r>
    </w:p>
    <w:p>
      <w:pPr>
        <w:pStyle w:val="BodyText"/>
      </w:pPr>
    </w:p>
    <w:p>
      <w:pPr>
        <w:pStyle w:val="BodyText"/>
      </w:pPr>
      <w:bookmarkStart w:id="20" w:name="exm:ex1"/>
      <w:bookmarkEnd w:id="20"/>
      <w:r>
        <w:rPr>
          <w:rStyle w:val="NameStyle"/>
        </w:rPr>
        <w:t xml:space="preserve">Example 1 (PS3 Question 3)</w:t>
      </w:r>
      <w:r>
        <w:rPr>
          <w:rStyle w:val="NameStyle"/>
        </w:rP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Show that</w:t>
      </w:r>
    </w:p>
    <w:p>
      <w:pPr>
        <w:pStyle w:val="Compact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t>y</m:t>
          </m:r>
          <m:r>
            <m:rPr>
              <m:sty m:val="p"/>
            </m:rPr>
            <m:t>≤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  <m:r>
            <m:t> </m:t>
          </m:r>
          <m:r>
            <m:t> 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and that equality holds only if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Show that</w:t>
      </w:r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2</m:t>
                  </m:r>
                </m:den>
              </m:f>
            </m:e>
          </m:rad>
          <m:r>
            <m:rPr>
              <m:sty m:val="p"/>
            </m:rPr>
            <m:t>+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y</m:t>
                  </m:r>
                </m:num>
                <m:den>
                  <m:r>
                    <m:t>2</m:t>
                  </m:r>
                </m:den>
              </m:f>
            </m:e>
          </m:rad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</m:e>
          </m:rad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x</m:t>
              </m:r>
            </m:e>
          </m:rad>
          <m:r>
            <m:rPr>
              <m:sty m:val="p"/>
            </m:rPr>
            <m:t>+</m:t>
          </m:r>
          <m:rad>
            <m:radPr>
              <m:degHide m:val="1"/>
            </m:radPr>
            <m:deg/>
            <m:e>
              <m:r>
                <m:t>y</m:t>
              </m:r>
            </m:e>
          </m:rad>
          <m:r>
            <m:rPr>
              <m:sty m:val="p"/>
            </m:rPr>
            <m:t>,</m:t>
          </m:r>
          <m:r>
            <m:t> </m:t>
          </m:r>
          <m:r>
            <m:t> 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Prove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−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|</m:t>
          </m:r>
          <m:r>
            <m:rPr>
              <m:sty m:val="p"/>
            </m:rPr>
            <m:t>≤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|</m:t>
          </m:r>
          <m:r>
            <m:t> </m:t>
          </m:r>
          <m:r>
            <m:t> 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bookmarkStart w:id="21" w:name="part-a"/>
    <w:p>
      <w:pPr>
        <w:pStyle w:val="Heading2"/>
      </w:pPr>
      <w:r>
        <w:t xml:space="preserve">Part a)</w:t>
      </w:r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We have that for any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,</m:t>
        </m:r>
      </m:oMath>
    </w:p>
    <w:p>
      <w:pPr>
        <w:pStyle w:val="ProofStyle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t>y</m:t>
          </m:r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ProofStyle"/>
      </w:pPr>
      <w:r>
        <w:t xml:space="preserve">from which rearranging gives</w:t>
      </w:r>
    </w:p>
    <w:p>
      <w:pPr>
        <w:pStyle w:val="ProofStyle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t>y</m:t>
          </m:r>
          <m:r>
            <m:rPr>
              <m:sty m:val="p"/>
            </m:rPr>
            <m:t>≤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Now,</w:t>
      </w:r>
    </w:p>
    <w:p>
      <w:pPr>
        <w:pStyle w:val="ProofStyle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t>y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 </m:t>
          </m:r>
          <m:r>
            <m:rPr>
              <m:sty m:val="p"/>
            </m:rPr>
            <m:t>⇔</m:t>
          </m:r>
          <m:r>
            <m:t> </m:t>
          </m:r>
          <m:r>
            <m:t>0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</m:d>
            </m:e>
            <m:sup>
              <m:r>
                <m:t>2</m:t>
              </m:r>
            </m:sup>
          </m:sSup>
          <m:r>
            <m:t> </m:t>
          </m:r>
          <m:r>
            <m:rPr>
              <m:sty m:val="p"/>
            </m:rPr>
            <m:t>⇔</m:t>
          </m:r>
          <m:r>
            <m:t> 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0</m:t>
          </m:r>
          <m:r>
            <m:t> </m:t>
          </m:r>
          <m:r>
            <m:rPr>
              <m:sty m:val="p"/>
            </m:rPr>
            <m:t>⇔</m:t>
          </m:r>
          <m:r>
            <m:t> </m:t>
          </m:r>
          <m:r>
            <m:t>x</m:t>
          </m:r>
          <m:r>
            <m:rPr>
              <m:sty m:val="p"/>
            </m:rPr>
            <m:t>=</m:t>
          </m:r>
          <m:r>
            <m:t>y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So equality holds</w:t>
      </w:r>
      <w:r>
        <w:t xml:space="preserve"> </w:t>
      </w:r>
      <w:r>
        <w:rPr>
          <w:iCs/>
          <w:i/>
        </w:rPr>
        <w:t xml:space="preserve">if and only if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rPr>
            <m:sty m:val="p"/>
          </m:rPr>
          <m:t>.</m:t>
        </m:r>
      </m:oMath>
    </w:p>
    <w:bookmarkEnd w:id="21"/>
    <w:bookmarkStart w:id="22" w:name="part-b"/>
    <w:p>
      <w:pPr>
        <w:pStyle w:val="Heading2"/>
      </w:pPr>
      <w:r>
        <w:t xml:space="preserve">Part b)</w:t>
      </w:r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Consider the second inequality first. Note that since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  <m:r>
          <m:rPr>
            <m:sty m:val="p"/>
          </m:rPr>
          <m:t>,</m:t>
        </m:r>
        <m:rad>
          <m:radPr>
            <m:degHide m:val="1"/>
          </m:radPr>
          <m:deg/>
          <m:e>
            <m:r>
              <m:t>y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, and so</w:t>
      </w:r>
    </w:p>
    <w:p>
      <w:pPr>
        <w:pStyle w:val="ProofStyle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ad>
            <m:radPr>
              <m:degHide m:val="1"/>
            </m:radPr>
            <m:deg/>
            <m:e>
              <m:r>
                <m:t>x</m:t>
              </m:r>
            </m:e>
          </m:rad>
          <m:rad>
            <m:radPr>
              <m:degHide m:val="1"/>
            </m:radPr>
            <m:deg/>
            <m:e>
              <m:r>
                <m:t>y</m:t>
              </m:r>
            </m:e>
          </m:rad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1"/>
                    </m:radPr>
                    <m:deg/>
                    <m:e>
                      <m:r>
                        <m:t>x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1"/>
                    </m:radPr>
                    <m:deg/>
                    <m:e>
                      <m:r>
                        <m:t>y</m:t>
                      </m:r>
                    </m:e>
                  </m:rad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Square rooting this result gives us that</w:t>
      </w:r>
    </w:p>
    <w:p>
      <w:pPr>
        <w:pStyle w:val="ProofStyle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</m:e>
          </m:rad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x</m:t>
              </m:r>
            </m:e>
          </m:rad>
          <m:r>
            <m:rPr>
              <m:sty m:val="p"/>
            </m:rPr>
            <m:t>+</m:t>
          </m:r>
          <m:rad>
            <m:radPr>
              <m:degHide m:val="1"/>
            </m:radPr>
            <m:deg/>
            <m:e>
              <m:r>
                <m:t>y</m:t>
              </m:r>
            </m:e>
          </m:rad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Next, we have that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</m:num>
                              <m:den>
                                <m:r>
                                  <m:t>2</m:t>
                                </m:r>
                              </m:den>
                            </m:f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1"/>
                          </m:radPr>
                          <m:deg/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y</m:t>
                                </m:r>
                              </m:num>
                              <m:den>
                                <m:r>
                                  <m:t>2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2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rad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y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ra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y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2</m:t>
                    </m:r>
                  </m:den>
                </m:f>
                <m:r>
                  <m:t> </m:t>
                </m:r>
                <m:r>
                  <m:t> </m:t>
                </m:r>
                <m:r>
                  <m:t> </m:t>
                </m:r>
                <m:r>
                  <m:rPr>
                    <m:nor/>
                    <m:sty m:val="p"/>
                  </m:rPr>
                  <m:t>(by part a)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Again, square rooting gives us that</w:t>
      </w:r>
    </w:p>
    <w:p>
      <w:pPr>
        <w:pStyle w:val="ProofStyle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2</m:t>
                  </m:r>
                </m:den>
              </m:f>
            </m:e>
          </m:rad>
          <m:r>
            <m:rPr>
              <m:sty m:val="p"/>
            </m:rPr>
            <m:t>+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y</m:t>
                  </m:r>
                </m:num>
                <m:den>
                  <m:r>
                    <m:t>2</m:t>
                  </m:r>
                </m:den>
              </m:f>
            </m:e>
          </m:rad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</m:e>
          </m:rad>
          <m:r>
            <m:rPr>
              <m:sty m:val="p"/>
            </m:rPr>
            <m:t>.</m:t>
          </m:r>
        </m:oMath>
      </m:oMathPara>
    </w:p>
    <w:bookmarkEnd w:id="22"/>
    <w:bookmarkStart w:id="23" w:name="part-c"/>
    <w:p>
      <w:pPr>
        <w:pStyle w:val="Heading2"/>
      </w:pPr>
      <w:r>
        <w:t xml:space="preserve">Part c)</w:t>
      </w:r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Firstly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y</m:t>
        </m:r>
      </m:oMath>
      <w:r>
        <w:t xml:space="preserve">,</w:t>
      </w:r>
    </w:p>
    <w:p>
      <w:pPr>
        <w:pStyle w:val="ProofStyle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−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≤</m:t>
          </m:r>
          <m:r>
            <m:rPr>
              <m:sty m:val="p"/>
            </m:rPr>
            <m:t>|</m:t>
          </m:r>
          <m:r>
            <m:rPr>
              <m:sty m:val="p"/>
            </m:rPr>
            <m:t>−</m:t>
          </m:r>
          <m:r>
            <m:t>2</m:t>
          </m:r>
          <m:r>
            <m:t>y</m:t>
          </m:r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|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For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−</m:t>
        </m:r>
        <m:r>
          <m:t>y</m:t>
        </m:r>
      </m:oMath>
      <w:r>
        <w:t xml:space="preserve">, we have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|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|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|</m:t>
                    </m:r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m:t>|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|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|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Now,</w:t>
      </w:r>
    </w:p>
    <w:p>
      <w:pPr>
        <w:pStyle w:val="ProofStyle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|</m:t>
          </m:r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,</m:t>
          </m:r>
          <m:r>
            <m:t> </m:t>
          </m:r>
          <m:r>
            <m:t> </m:t>
          </m:r>
          <m:r>
            <m:rPr>
              <m:nor/>
              <m:sty m:val="p"/>
            </m:rPr>
            <m:t>and</m:t>
          </m:r>
          <m:r>
            <m:t> </m:t>
          </m:r>
          <m:r>
            <m:t> </m:t>
          </m:r>
          <m:r>
            <m:rPr>
              <m:sty m:val="p"/>
            </m:rPr>
            <m:t>|</m:t>
          </m:r>
          <m:r>
            <m:t>y</m:t>
          </m:r>
          <m:r>
            <m:rPr>
              <m:sty m:val="p"/>
            </m:rPr>
            <m:t>|</m:t>
          </m:r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(This can be seen by squaring both sides of each inequality)</w:t>
      </w:r>
    </w:p>
    <w:p>
      <w:pPr>
        <w:pStyle w:val="ProofStyle"/>
      </w:pPr>
      <w:r>
        <w:t xml:space="preserve">So,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|</m:t>
                </m:r>
              </m:e>
              <m:e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|</m:t>
                </m:r>
                <m:r>
                  <m:t>y</m:t>
                </m:r>
                <m:r>
                  <m:rPr>
                    <m:sty m:val="p"/>
                  </m:rPr>
                  <m:t>|</m:t>
                </m:r>
                <m:r>
                  <m:t> </m:t>
                </m:r>
                <m:r>
                  <m:t> </m:t>
                </m:r>
                <m:r>
                  <m:t> </m:t>
                </m:r>
                <m:r>
                  <m:rPr>
                    <m:nor/>
                    <m:sty m:val="p"/>
                  </m:rPr>
                  <m:t>(by the triangle inequality)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sty m:val="p"/>
                  </m:rPr>
                  <m:t>⇔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</m:den>
                </m:f>
              </m:e>
              <m:e>
                <m:r>
                  <m:rPr>
                    <m:sty m:val="p"/>
                  </m:rPr>
                  <m:t>≥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Therefore,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|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−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|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</m:num>
                  <m:den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ProofStyle"/>
      </w:pPr>
      <w:r>
        <w:t xml:space="preserve">as required!</w:t>
      </w:r>
    </w:p>
    <w:p>
      <w:pPr>
        <w:pStyle w:val="BodyText"/>
      </w:pPr>
      <w:r>
        <w:t xml:space="preserve">You might have a few questions about this:</w:t>
      </w:r>
    </w:p>
    <w:p>
      <w:pPr>
        <w:pStyle w:val="BodyText"/>
      </w:pPr>
      <w:r>
        <w:rPr>
          <w:bCs/>
          <w:b/>
        </w:rPr>
        <w:t xml:space="preserve">Q1)</w:t>
      </w:r>
      <w:r>
        <w:t xml:space="preserve"> </w:t>
      </w:r>
      <w:r>
        <w:t xml:space="preserve">Why is 3c) done in this way?</w:t>
      </w:r>
    </w:p>
    <w:p>
      <w:pPr>
        <w:pStyle w:val="BodyText"/>
      </w:pPr>
      <w:r>
        <w:t xml:space="preserve">A1) It’s an alternative way to the one in the model solutions, but I think it’s good because it uses some techniques that are useful for the sequences part of the course (e.g. the triangle inequality and step (*)).</w:t>
      </w:r>
    </w:p>
    <w:p>
      <w:pPr>
        <w:pStyle w:val="BodyText"/>
      </w:pPr>
      <w:r>
        <w:rPr>
          <w:bCs/>
          <w:b/>
        </w:rPr>
        <w:t xml:space="preserve">Q2)</w:t>
      </w:r>
      <w:r>
        <w:t xml:space="preserve"> </w:t>
      </w:r>
      <w:r>
        <w:t xml:space="preserve">Where on Earth did the case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y</m:t>
        </m:r>
      </m:oMath>
      <w:r>
        <w:t xml:space="preserve"> </w:t>
      </w:r>
      <w:r>
        <w:t xml:space="preserve">come from?</w:t>
      </w:r>
    </w:p>
    <w:p>
      <w:pPr>
        <w:pStyle w:val="BodyText"/>
      </w:pPr>
      <w:r>
        <w:t xml:space="preserve">A2) If you look at (**), this expression doesn’t work if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y</m:t>
        </m:r>
      </m:oMath>
      <w:r>
        <w:t xml:space="preserve">, so you need to consider this separately. It’s not an obvious case until you actually reach (**), but once you realise it, it’s an easy thing to add to the start of your solution.</w:t>
      </w:r>
    </w:p>
    <w:p>
      <w:pPr>
        <w:pStyle w:val="BodyText"/>
      </w:pPr>
      <w:r>
        <w:rPr>
          <w:bCs/>
          <w:b/>
        </w:rPr>
        <w:t xml:space="preserve">Q3)</w:t>
      </w:r>
      <w:r>
        <w:t xml:space="preserve"> </w:t>
      </w:r>
      <w:r>
        <w:t xml:space="preserve">What about (*)? Where does this come from?</w:t>
      </w:r>
    </w:p>
    <w:p>
      <w:pPr>
        <w:pStyle w:val="BodyText"/>
      </w:pPr>
      <w:r>
        <w:t xml:space="preserve">A3) Recall for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Taking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,</m:t>
        </m:r>
        <m:r>
          <m:t> </m:t>
        </m:r>
        <m:r>
          <m:t> </m:t>
        </m:r>
        <m:r>
          <m:rPr>
            <m:nor/>
            <m:sty m:val="p"/>
          </m:rPr>
          <m:t>and</m:t>
        </m:r>
        <m:r>
          <m:t> </m:t>
        </m:r>
        <m:r>
          <m:t> </m:t>
        </m:r>
        <m:r>
          <m:t>b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,</m:t>
        </m:r>
      </m:oMath>
      <w:r>
        <w:t xml:space="preserve"> </w:t>
      </w:r>
      <w:r>
        <w:t xml:space="preserve">we have that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−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m:t>.</m:t>
          </m:r>
        </m:oMath>
      </m:oMathPara>
    </w:p>
    <w:bookmarkEnd w:id="23"/>
    <w:bookmarkEnd w:id="24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1A — Tutorial 3</dc:title>
  <dc:creator>Christian Jones: University of Bath</dc:creator>
  <cp:keywords/>
  <dcterms:created xsi:type="dcterms:W3CDTF">2022-12-26T13:08:45Z</dcterms:created>
  <dcterms:modified xsi:type="dcterms:W3CDTF">2022-12-26T13:08:45Z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October 2022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