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3</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Analysis Tutorial in Week 3.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1" w:name="lecture-recap"/>
    <w:p>
      <w:pPr>
        <w:pStyle w:val="Heading1"/>
      </w:pPr>
      <w:r>
        <w:t xml:space="preserve">Lecture Recap</w:t>
      </w:r>
    </w:p>
    <w:bookmarkStart w:id="30" w:name="suprema-and-infima"/>
    <w:p>
      <w:pPr>
        <w:pStyle w:val="Heading2"/>
      </w:pPr>
      <w:r>
        <w:t xml:space="preserve">Suprema and Infima</w:t>
      </w:r>
    </w:p>
    <w:p>
      <w:pPr>
        <w:pStyle w:val="FirstParagraph"/>
      </w:pPr>
      <w:r>
        <w:t xml:space="preserve">There’s still a bit of material to cover regarding the supremum and infimum of a set. To begin, we re-cover the definitions from last week.</w:t>
      </w:r>
      <w:r>
        <w:t xml:space="preserve"> </w:t>
      </w:r>
    </w:p>
    <w:bookmarkStart w:id="24" w:name="def:def1"/>
    <w:p>
      <w:pPr>
        <w:pStyle w:val="DefinitionStyle"/>
      </w:pPr>
      <w:bookmarkStart w:id="23" w:name="def:def1"/>
      <w:bookmarkEnd w:id="23"/>
      <w:r>
        <w:rPr>
          <w:rStyle w:val="NameStyle"/>
        </w:rPr>
        <w:t xml:space="preserve">Definition 1.1 (Supremum)</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number</w:t>
      </w:r>
      <w:r>
        <w:t xml:space="preserve"> </w:t>
      </w:r>
      <m:oMath>
        <m:r>
          <m:t>T</m:t>
        </m:r>
        <m:r>
          <m:rPr>
            <m:sty m:val="p"/>
          </m:rPr>
          <m:t>∈</m:t>
        </m:r>
        <m:r>
          <m:rPr>
            <m:sty m:val="p"/>
            <m:scr m:val="double-struck"/>
          </m:rPr>
          <m:t>R</m:t>
        </m:r>
      </m:oMath>
      <w:r>
        <w:t xml:space="preserve"> </w:t>
      </w:r>
      <w:r>
        <w:t xml:space="preserve">is said to be the supremum of</w:t>
      </w:r>
      <w:r>
        <w:t xml:space="preserve"> </w:t>
      </w:r>
      <m:oMath>
        <m:r>
          <m:t>S</m:t>
        </m:r>
      </m:oMath>
      <w:r>
        <w:t xml:space="preserve"> </w:t>
      </w:r>
      <w:r>
        <w:t xml:space="preserve">if it is an upper bound for</w:t>
      </w:r>
      <w:r>
        <w:t xml:space="preserve"> </w:t>
      </w:r>
      <m:oMath>
        <m:r>
          <m:t>S</m:t>
        </m:r>
      </m:oMath>
      <w:r>
        <w:t xml:space="preserve">, and for any other upper bound</w:t>
      </w:r>
      <w:r>
        <w:t xml:space="preserve"> </w:t>
      </w:r>
      <m:oMath>
        <m:r>
          <m:t>M</m:t>
        </m:r>
      </m:oMath>
      <w:r>
        <w:t xml:space="preserve">,</w:t>
      </w:r>
      <w:r>
        <w:t xml:space="preserve"> </w:t>
      </w:r>
      <m:oMath>
        <m:r>
          <m:t>T</m:t>
        </m:r>
        <m:r>
          <m:rPr>
            <m:sty m:val="p"/>
          </m:rPr>
          <m:t>≤</m:t>
        </m:r>
        <m:r>
          <m:t>M</m:t>
        </m:r>
      </m:oMath>
      <w:r>
        <w:t xml:space="preserve">. Here, we write</w:t>
      </w:r>
      <w:r>
        <w:t xml:space="preserve"> </w:t>
      </w:r>
      <m:oMath>
        <m:r>
          <m:t>T</m:t>
        </m:r>
        <m:r>
          <m:rPr>
            <m:sty m:val="p"/>
          </m:rPr>
          <m:t>=</m:t>
        </m:r>
        <m:r>
          <m:rPr>
            <m:nor/>
            <m:sty m:val="p"/>
          </m:rPr>
          <m:t>sup</m:t>
        </m:r>
        <m:d>
          <m:dPr>
            <m:begChr m:val="("/>
            <m:endChr m:val=")"/>
            <m:sepChr m:val=""/>
            <m:grow/>
          </m:dPr>
          <m:e>
            <m:r>
              <m:t>S</m:t>
            </m:r>
          </m:e>
        </m:d>
      </m:oMath>
      <w:r>
        <w:t xml:space="preserve">.</w:t>
      </w:r>
    </w:p>
    <w:bookmarkEnd w:id="24"/>
    <w:p>
      <w:pPr>
        <w:pStyle w:val="BodyText"/>
      </w:pPr>
    </w:p>
    <w:bookmarkStart w:id="26" w:name="def:def2"/>
    <w:p>
      <w:pPr>
        <w:pStyle w:val="DefinitionStyle"/>
      </w:pPr>
      <w:bookmarkStart w:id="25" w:name="def:def2"/>
      <w:bookmarkEnd w:id="25"/>
      <w:r>
        <w:rPr>
          <w:rStyle w:val="NameStyle"/>
        </w:rPr>
        <w:t xml:space="preserve">Definition 1.2 (Infimum)</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number</w:t>
      </w:r>
      <w:r>
        <w:t xml:space="preserve"> </w:t>
      </w:r>
      <m:oMath>
        <m:r>
          <m:t>t</m:t>
        </m:r>
        <m:r>
          <m:rPr>
            <m:sty m:val="p"/>
          </m:rPr>
          <m:t>∈</m:t>
        </m:r>
        <m:r>
          <m:rPr>
            <m:sty m:val="p"/>
            <m:scr m:val="double-struck"/>
          </m:rPr>
          <m:t>R</m:t>
        </m:r>
      </m:oMath>
      <w:r>
        <w:t xml:space="preserve"> </w:t>
      </w:r>
      <w:r>
        <w:t xml:space="preserve">is said to be the infimum of</w:t>
      </w:r>
      <w:r>
        <w:t xml:space="preserve"> </w:t>
      </w:r>
      <m:oMath>
        <m:r>
          <m:t>S</m:t>
        </m:r>
      </m:oMath>
      <w:r>
        <w:t xml:space="preserve"> </w:t>
      </w:r>
      <w:r>
        <w:t xml:space="preserve">if it is a lower bound for</w:t>
      </w:r>
      <w:r>
        <w:t xml:space="preserve"> </w:t>
      </w:r>
      <m:oMath>
        <m:r>
          <m:t>S</m:t>
        </m:r>
      </m:oMath>
      <w:r>
        <w:t xml:space="preserve">, and for any other lower bound</w:t>
      </w:r>
      <w:r>
        <w:t xml:space="preserve"> </w:t>
      </w:r>
      <m:oMath>
        <m:r>
          <m:t>m</m:t>
        </m:r>
      </m:oMath>
      <w:r>
        <w:t xml:space="preserve">,</w:t>
      </w:r>
      <w:r>
        <w:t xml:space="preserve"> </w:t>
      </w:r>
      <m:oMath>
        <m:r>
          <m:t>t</m:t>
        </m:r>
        <m:r>
          <m:rPr>
            <m:sty m:val="p"/>
          </m:rPr>
          <m:t>≥</m:t>
        </m:r>
        <m:r>
          <m:t>m</m:t>
        </m:r>
      </m:oMath>
      <w:r>
        <w:t xml:space="preserve">. Here, we write</w:t>
      </w:r>
      <w:r>
        <w:t xml:space="preserve"> </w:t>
      </w:r>
      <m:oMath>
        <m:r>
          <m:t>t</m:t>
        </m:r>
        <m:r>
          <m:rPr>
            <m:sty m:val="p"/>
          </m:rPr>
          <m:t>=</m:t>
        </m:r>
        <m:r>
          <m:rPr>
            <m:nor/>
            <m:sty m:val="p"/>
          </m:rPr>
          <m:t>inf</m:t>
        </m:r>
        <m:d>
          <m:dPr>
            <m:begChr m:val="("/>
            <m:endChr m:val=")"/>
            <m:sepChr m:val=""/>
            <m:grow/>
          </m:dPr>
          <m:e>
            <m:r>
              <m:t>S</m:t>
            </m:r>
          </m:e>
        </m:d>
      </m:oMath>
      <w:r>
        <w:t xml:space="preserve">.</w:t>
      </w:r>
    </w:p>
    <w:bookmarkEnd w:id="26"/>
    <w:p>
      <w:pPr>
        <w:pStyle w:val="BodyText"/>
      </w:pPr>
      <w:r>
        <w:t xml:space="preserve">There’s also two results from last week’s notes that you didn’t reach in lectures either, so we (re)state these below too.</w:t>
      </w:r>
      <w:r>
        <w:t xml:space="preserve"> </w:t>
      </w:r>
    </w:p>
    <w:bookmarkStart w:id="27" w:name="CA:unnamed-chunk-2"/>
    <w:p>
      <w:pPr>
        <w:pStyle w:val="TheoremStyleUpright"/>
      </w:pPr>
      <w:r>
        <w:rPr>
          <w:rStyle w:val="NameStyle"/>
        </w:rPr>
        <w:t xml:space="preserve"> </w:t>
      </w:r>
      <w:r>
        <w:rPr>
          <w:rStyle w:val="NameStyle"/>
        </w:rPr>
        <w:t xml:space="preserve">Completeness Axiom:</w:t>
      </w:r>
      <w:r>
        <w:rPr>
          <w:rStyle w:val="NameStyle"/>
        </w:rPr>
        <w:t xml:space="preserve"> </w:t>
      </w:r>
    </w:p>
    <w:p>
      <w:pPr>
        <w:pStyle w:val="TheoremStyleUpright"/>
      </w:pPr>
      <w:r>
        <w:t xml:space="preserve">Every non-empty set</w:t>
      </w:r>
      <w:r>
        <w:t xml:space="preserve"> </w:t>
      </w:r>
      <m:oMath>
        <m:r>
          <m:t>S</m:t>
        </m:r>
      </m:oMath>
      <w:r>
        <w:t xml:space="preserve"> </w:t>
      </w:r>
      <w:r>
        <w:t xml:space="preserve">in</w:t>
      </w:r>
      <w:r>
        <w:t xml:space="preserve"> </w:t>
      </w:r>
      <m:oMath>
        <m:r>
          <m:rPr>
            <m:sty m:val="p"/>
            <m:scr m:val="double-struck"/>
          </m:rPr>
          <m:t>R</m:t>
        </m:r>
      </m:oMath>
      <w:r>
        <w:t xml:space="preserve"> </w:t>
      </w:r>
      <w:r>
        <w:t xml:space="preserve">that is bounded above has a supremum.</w:t>
      </w:r>
    </w:p>
    <w:bookmarkEnd w:id="27"/>
    <w:p>
      <w:pPr>
        <w:pStyle w:val="BodyText"/>
      </w:pPr>
    </w:p>
    <w:bookmarkStart w:id="29" w:name="prp:prop1"/>
    <w:p>
      <w:pPr>
        <w:pStyle w:val="TheoremStyleUpright"/>
      </w:pPr>
      <w:bookmarkStart w:id="28" w:name="prp:prop1"/>
      <w:bookmarkEnd w:id="28"/>
      <w:r>
        <w:rPr>
          <w:rStyle w:val="NameStyle"/>
        </w:rPr>
        <w:t xml:space="preserve">Proposition 1.1 (Archimedian Postulate)</w:t>
      </w:r>
      <w:r>
        <w:rPr>
          <w:rStyle w:val="NameStyle"/>
        </w:rPr>
        <w:t xml:space="preserve"> </w:t>
      </w:r>
    </w:p>
    <w:p>
      <w:pPr>
        <w:pStyle w:val="TheoremStyleUpright"/>
      </w:pPr>
      <w:r>
        <w:t xml:space="preserve">We have that</w:t>
      </w:r>
      <w:r>
        <w:t xml:space="preserve"> </w:t>
      </w:r>
      <m:oMath>
        <m:r>
          <m:rPr>
            <m:sty m:val="p"/>
          </m:rPr>
          <m:t>∀</m:t>
        </m:r>
        <m:r>
          <m:t>x</m:t>
        </m:r>
        <m:r>
          <m:rPr>
            <m:sty m:val="p"/>
          </m:rPr>
          <m:t>∈</m:t>
        </m:r>
        <m:r>
          <m:rPr>
            <m:sty m:val="p"/>
            <m:scr m:val="double-struck"/>
          </m:rPr>
          <m:t>R</m:t>
        </m:r>
        <m:r>
          <m:rPr>
            <m:sty m:val="p"/>
          </m:rPr>
          <m:t>,</m:t>
        </m:r>
        <m:r>
          <m:rPr>
            <m:sty m:val="p"/>
          </m:rPr>
          <m:t>∃</m:t>
        </m:r>
        <m:r>
          <m:t>N</m:t>
        </m:r>
        <m:r>
          <m:rPr>
            <m:sty m:val="p"/>
          </m:rPr>
          <m:t>∈</m:t>
        </m:r>
        <m:r>
          <m:rPr>
            <m:sty m:val="p"/>
            <m:scr m:val="double-struck"/>
          </m:rPr>
          <m:t>N</m:t>
        </m:r>
      </m:oMath>
      <w:r>
        <w:t xml:space="preserve"> </w:t>
      </w:r>
      <w:r>
        <w:t xml:space="preserve">such that</w:t>
      </w:r>
      <w:r>
        <w:t xml:space="preserve"> </w:t>
      </w:r>
      <m:oMath>
        <m:r>
          <m:t>N</m:t>
        </m:r>
        <m:r>
          <m:rPr>
            <m:sty m:val="p"/>
          </m:rPr>
          <m:t>&gt;</m:t>
        </m:r>
        <m:r>
          <m:t>x</m:t>
        </m:r>
        <m:r>
          <m:rPr>
            <m:sty m:val="p"/>
          </m:rPr>
          <m:t>.</m:t>
        </m:r>
      </m:oMath>
      <w:r>
        <w:t xml:space="preserve"> </w:t>
      </w:r>
      <w:r>
        <w:t xml:space="preserve">In other words, the set of natural numbers</w:t>
      </w:r>
      <w:r>
        <w:t xml:space="preserve"> </w:t>
      </w:r>
      <m:oMath>
        <m:r>
          <m:rPr>
            <m:sty m:val="p"/>
            <m:scr m:val="double-struck"/>
          </m:rPr>
          <m:t>N</m:t>
        </m:r>
      </m:oMath>
      <w:r>
        <w:t xml:space="preserve"> </w:t>
      </w:r>
      <w:r>
        <w:t xml:space="preserve">is unbounded above.</w:t>
      </w:r>
    </w:p>
    <w:bookmarkEnd w:id="29"/>
    <w:p>
      <w:pPr>
        <w:pStyle w:val="BodyText"/>
      </w:pPr>
      <w:r>
        <w:t xml:space="preserve">As mentioned in last week’s notes, the completeness axiom assumes that there are no</w:t>
      </w:r>
      <w:r>
        <w:t xml:space="preserve"> </w:t>
      </w:r>
      <w:r>
        <w:t xml:space="preserve">‘</w:t>
      </w:r>
      <w:r>
        <w:t xml:space="preserve">gaps</w:t>
      </w:r>
      <w:r>
        <w:t xml:space="preserve">’</w:t>
      </w:r>
      <w:r>
        <w:t xml:space="preserve"> </w:t>
      </w:r>
      <w:r>
        <w:t xml:space="preserve">in the real number line (and allows us to solve equations such as</w:t>
      </w:r>
      <w:r>
        <w:t xml:space="preserve"> </w:t>
      </w:r>
      <m:oMath>
        <m:sSup>
          <m:e>
            <m:r>
              <m:t>x</m:t>
            </m:r>
          </m:e>
          <m:sup>
            <m:r>
              <m:t>2</m:t>
            </m:r>
          </m:sup>
        </m:sSup>
        <m:r>
          <m:rPr>
            <m:sty m:val="p"/>
          </m:rPr>
          <m:t>−</m:t>
        </m:r>
        <m:r>
          <m:t>2</m:t>
        </m:r>
        <m:r>
          <m:rPr>
            <m:sty m:val="p"/>
          </m:rPr>
          <m:t>=</m:t>
        </m:r>
        <m:r>
          <m:t>0</m:t>
        </m:r>
      </m:oMath>
      <w:r>
        <w:t xml:space="preserve">, for example.) It’s also worth mentioning how useful Archimedes’ Postulate is — this is usually the result you will contradict when showing a set is not bounded.</w:t>
      </w:r>
    </w:p>
    <w:bookmarkEnd w:id="30"/>
    <w:bookmarkStart w:id="40" w:name="inequalities"/>
    <w:p>
      <w:pPr>
        <w:pStyle w:val="Heading2"/>
      </w:pPr>
      <w:r>
        <w:t xml:space="preserve">Inequalities</w:t>
      </w:r>
    </w:p>
    <w:p>
      <w:pPr>
        <w:pStyle w:val="FirstParagraph"/>
      </w:pPr>
      <w:r>
        <w:t xml:space="preserve">Inequalities come up everywhere in maths! For example, they can be used in statistics for estimation (Markov/Chebyshev inequalities), they can be used as constraints in optimisation problems (see Section 3.1 of</w:t>
      </w:r>
      <w:r>
        <w:t xml:space="preserve"> </w:t>
      </w:r>
      <w:hyperlink r:id="rId31">
        <w:r>
          <w:rPr>
            <w:rStyle w:val="Hyperlink"/>
          </w:rPr>
          <w:t xml:space="preserve">this Wikipedia link.</w:t>
        </w:r>
      </w:hyperlink>
      <w:r>
        <w:t xml:space="preserve">), and quite famously appear in Quantum Mechanics. In this latter case, we have the</w:t>
      </w:r>
      <w:r>
        <w:t xml:space="preserve"> </w:t>
      </w:r>
      <w:hyperlink r:id="rId32">
        <w:r>
          <w:rPr>
            <w:rStyle w:val="Hyperlink"/>
          </w:rPr>
          <w:t xml:space="preserve">Heisenberg Uncertainty Principle</w:t>
        </w:r>
      </w:hyperlink>
      <w:r>
        <w:t xml:space="preserve">, and this inequality states that you can’t simultaneously know the position and momentum of a quantum particle, such as an electron.</w:t>
      </w:r>
    </w:p>
    <w:p>
      <w:pPr>
        <w:pStyle w:val="BodyText"/>
      </w:pPr>
      <w:r>
        <w:t xml:space="preserve">Most of the inequalities in this course will be based on the absolute value, which is defined as follows:</w:t>
      </w:r>
      <w:r>
        <w:t xml:space="preserve"> </w:t>
      </w:r>
    </w:p>
    <w:bookmarkStart w:id="34" w:name="def:def3"/>
    <w:p>
      <w:pPr>
        <w:pStyle w:val="DefinitionStyle"/>
      </w:pPr>
      <w:bookmarkStart w:id="33" w:name="def:def3"/>
      <w:bookmarkEnd w:id="33"/>
      <w:r>
        <w:rPr>
          <w:rStyle w:val="NameStyle"/>
        </w:rPr>
        <w:t xml:space="preserve">Definition 1.3 (Absolute Value)</w:t>
      </w:r>
      <w:r>
        <w:rPr>
          <w:rStyle w:val="NameStyle"/>
        </w:rPr>
        <w:t xml:space="preserve"> </w:t>
      </w:r>
    </w:p>
    <w:p>
      <w:pPr>
        <w:pStyle w:val="DefinitionStyle"/>
      </w:pPr>
      <w:r>
        <w:t xml:space="preserve">For</w:t>
      </w:r>
      <w:r>
        <w:t xml:space="preserve"> </w:t>
      </w:r>
      <m:oMath>
        <m:r>
          <m:t>x</m:t>
        </m:r>
        <m:r>
          <m:rPr>
            <m:sty m:val="p"/>
          </m:rPr>
          <m:t>∈</m:t>
        </m:r>
        <m:r>
          <m:rPr>
            <m:sty m:val="p"/>
            <m:scr m:val="double-struck"/>
          </m:rPr>
          <m:t>R</m:t>
        </m:r>
      </m:oMath>
      <w:r>
        <w:t xml:space="preserve">, the absolute value of</w:t>
      </w:r>
      <w:r>
        <w:t xml:space="preserve"> </w:t>
      </w:r>
      <m:oMath>
        <m:r>
          <m:t>x</m:t>
        </m:r>
      </m:oMath>
      <w:r>
        <w:t xml:space="preserve"> </w:t>
      </w:r>
      <w:r>
        <w:t xml:space="preserve">is given by</w:t>
      </w:r>
      <w:r>
        <w:t xml:space="preserve"> </w:t>
      </w:r>
    </w:p>
    <w:bookmarkEnd w:id="34"/>
    <w:p>
      <w:pPr>
        <w:pStyle w:val="BodyText"/>
      </w:pPr>
      <w:r>
        <w:t xml:space="preserve">The absolute value has the following properties:</w:t>
      </w:r>
      <w:r>
        <w:t xml:space="preserve"> </w:t>
      </w:r>
    </w:p>
    <w:bookmarkStart w:id="36" w:name="prp:prop4"/>
    <w:p>
      <w:pPr>
        <w:pStyle w:val="TheoremStyleUpright"/>
      </w:pPr>
      <w:bookmarkStart w:id="35" w:name="prp:prop4"/>
      <w:bookmarkEnd w:id="35"/>
      <w:r>
        <w:rPr>
          <w:rStyle w:val="NameStyle"/>
        </w:rPr>
        <w:t xml:space="preserve">Proposition 1.2</w:t>
      </w:r>
      <w:r>
        <w:rPr>
          <w:rStyle w:val="NameStyle"/>
        </w:rPr>
        <w:t xml:space="preserve"> </w:t>
      </w:r>
    </w:p>
    <w:p>
      <w:pPr>
        <w:pStyle w:val="TheoremStyleUpright"/>
      </w:pPr>
      <w:r>
        <w:t xml:space="preserve">For</w:t>
      </w:r>
      <w:r>
        <w:t xml:space="preserve"> </w:t>
      </w:r>
      <m:oMath>
        <m:r>
          <m:t>x</m:t>
        </m:r>
        <m:r>
          <m:rPr>
            <m:sty m:val="p"/>
          </m:rPr>
          <m:t>,</m:t>
        </m:r>
        <m:r>
          <m:t>y</m:t>
        </m:r>
        <m:r>
          <m:rPr>
            <m:sty m:val="p"/>
          </m:rPr>
          <m:t>∈</m:t>
        </m:r>
        <m:r>
          <m:rPr>
            <m:sty m:val="p"/>
            <m:scr m:val="double-struck"/>
          </m:rPr>
          <m:t>R</m:t>
        </m:r>
      </m:oMath>
      <w:r>
        <w:t xml:space="preserve">:</w:t>
      </w:r>
      <w:r>
        <w:t xml:space="preserve"> </w:t>
      </w:r>
      <w:r>
        <w:t xml:space="preserve">$$</w:t>
      </w:r>
    </w:p>
    <w:bookmarkEnd w:id="36"/>
    <w:p>
      <w:pPr>
        <w:pStyle w:val="BodyText"/>
      </w:pPr>
      <w:r>
        <w:t xml:space="preserve">Now we come on to what I consider to be the most important thing in this course.</w:t>
      </w:r>
    </w:p>
    <w:p>
      <w:pPr>
        <w:pStyle w:val="BodyText"/>
      </w:pPr>
    </w:p>
    <w:p>
      <w:pPr>
        <w:pStyle w:val="BodyText"/>
      </w:pPr>
      <w:bookmarkStart w:id="37" w:name="thm:thm4"/>
      <w:bookmarkEnd w:id="37"/>
      <w:r>
        <w:rPr>
          <w:rStyle w:val="NameStyle"/>
        </w:rPr>
        <w:t xml:space="preserve">Theorem 1.3 (Triangle Inequalities)</w:t>
      </w:r>
      <w:r>
        <w:rPr>
          <w:rStyle w:val="NameStyle"/>
        </w:rPr>
        <w:t xml:space="preserve"> </w:t>
      </w:r>
    </w:p>
    <w:p>
      <w:pPr>
        <w:pStyle w:val="BodyText"/>
      </w:pPr>
      <w:r>
        <w:t xml:space="preserve">For</w:t>
      </w:r>
      <w:r>
        <w:t xml:space="preserve"> </w:t>
      </w:r>
      <m:oMath>
        <m:r>
          <m:t>x</m:t>
        </m:r>
        <m:r>
          <m:rPr>
            <m:sty m:val="p"/>
          </m:rPr>
          <m:t>,</m:t>
        </m:r>
        <m:r>
          <m:t>y</m:t>
        </m:r>
        <m:r>
          <m:rPr>
            <m:sty m:val="p"/>
          </m:rPr>
          <m:t>∈</m:t>
        </m:r>
        <m:r>
          <m:rPr>
            <m:sty m:val="p"/>
            <m:scr m:val="double-struck"/>
          </m:rPr>
          <m:t>R</m:t>
        </m:r>
      </m:oMath>
      <w:r>
        <w:t xml:space="preserve">:</w:t>
      </w:r>
    </w:p>
    <w:p>
      <w:pPr>
        <w:numPr>
          <w:ilvl w:val="0"/>
          <w:numId w:val="1001"/>
        </w:numPr>
        <w:pStyle w:val="Compact"/>
      </w:pPr>
      <m:oMath>
        <m:r>
          <m:rPr>
            <m:sty m:val="p"/>
          </m:rPr>
          <m:t>|</m:t>
        </m:r>
        <m:r>
          <m:t>x</m:t>
        </m:r>
        <m:r>
          <m:rPr>
            <m:sty m:val="p"/>
          </m:rPr>
          <m:t>+</m:t>
        </m:r>
        <m:r>
          <m:t>y</m:t>
        </m:r>
        <m:r>
          <m:rPr>
            <m:sty m:val="p"/>
          </m:rPr>
          <m:t>|</m:t>
        </m:r>
        <m:r>
          <m:rPr>
            <m:sty m:val="p"/>
          </m:rPr>
          <m:t>≤</m:t>
        </m:r>
        <m:r>
          <m:rPr>
            <m:sty m:val="p"/>
          </m:rPr>
          <m:t>|</m:t>
        </m:r>
        <m:r>
          <m:t>x</m:t>
        </m:r>
        <m:r>
          <m:rPr>
            <m:sty m:val="p"/>
          </m:rPr>
          <m:t>|</m:t>
        </m:r>
        <m:r>
          <m:rPr>
            <m:sty m:val="p"/>
          </m:rPr>
          <m:t>+</m:t>
        </m:r>
        <m:r>
          <m:rPr>
            <m:sty m:val="p"/>
          </m:rPr>
          <m:t>|</m:t>
        </m:r>
        <m:r>
          <m:t>y</m:t>
        </m:r>
        <m:r>
          <m:rPr>
            <m:sty m:val="p"/>
          </m:rPr>
          <m:t>|</m:t>
        </m:r>
      </m:oMath>
      <w:r>
        <w:t xml:space="preserve">, and</w:t>
      </w:r>
    </w:p>
    <w:p>
      <w:pPr>
        <w:numPr>
          <w:ilvl w:val="0"/>
          <w:numId w:val="1001"/>
        </w:numPr>
        <w:pStyle w:val="Compact"/>
      </w:pPr>
      <m:oMath>
        <m:d>
          <m:dPr>
            <m:begChr m:val="|"/>
            <m:endChr m:val="|"/>
            <m:sepChr m:val=""/>
            <m:grow/>
          </m:dPr>
          <m:e>
            <m:r>
              <m:rPr>
                <m:sty m:val="p"/>
              </m:rPr>
              <m:t>|</m:t>
            </m:r>
            <m:r>
              <m:t>x</m:t>
            </m:r>
            <m:r>
              <m:rPr>
                <m:sty m:val="p"/>
              </m:rPr>
              <m:t>|</m:t>
            </m:r>
            <m:r>
              <m:rPr>
                <m:sty m:val="p"/>
              </m:rPr>
              <m:t>−</m:t>
            </m:r>
            <m:r>
              <m:rPr>
                <m:sty m:val="p"/>
              </m:rPr>
              <m:t>|</m:t>
            </m:r>
            <m:r>
              <m:t>y</m:t>
            </m:r>
            <m:r>
              <m:rPr>
                <m:sty m:val="p"/>
              </m:rPr>
              <m:t>|</m:t>
            </m:r>
          </m:e>
        </m:d>
        <m:r>
          <m:rPr>
            <m:sty m:val="p"/>
          </m:rPr>
          <m:t>≤</m:t>
        </m:r>
        <m:r>
          <m:rPr>
            <m:sty m:val="p"/>
          </m:rPr>
          <m:t>|</m:t>
        </m:r>
        <m:r>
          <m:t>x</m:t>
        </m:r>
        <m:r>
          <m:rPr>
            <m:sty m:val="p"/>
          </m:rPr>
          <m:t>−</m:t>
        </m:r>
        <m:r>
          <m:t>y</m:t>
        </m:r>
        <m:r>
          <m:rPr>
            <m:sty m:val="p"/>
          </m:rPr>
          <m:t>|</m:t>
        </m:r>
        <m:r>
          <m:rPr>
            <m:sty m:val="p"/>
          </m:rPr>
          <m:t>.</m:t>
        </m:r>
      </m:oMath>
    </w:p>
    <w:p>
      <w:pPr>
        <w:numPr>
          <w:ilvl w:val="0"/>
          <w:numId w:val="1000"/>
        </w:numPr>
        <w:pStyle w:val="Compact"/>
      </w:pPr>
      <w:r>
        <w:t xml:space="preserve">The first of these is known as the</w:t>
      </w:r>
      <w:r>
        <w:t xml:space="preserve"> </w:t>
      </w:r>
      <w:r>
        <w:rPr>
          <w:bCs/>
          <w:b/>
        </w:rPr>
        <w:t xml:space="preserve">Triangle Inequality</w:t>
      </w:r>
      <w:r>
        <w:t xml:space="preserve">, and the second is the</w:t>
      </w:r>
      <w:r>
        <w:t xml:space="preserve"> </w:t>
      </w:r>
      <w:r>
        <w:rPr>
          <w:bCs/>
          <w:b/>
        </w:rPr>
        <w:t xml:space="preserve">Reverse Triangle Inequality</w:t>
      </w:r>
      <w:r>
        <w:t xml:space="preserve">. Why do I think this is so important? This will come up in almost any course you take at university that uses analysis! If you’re studying vector calculus, fluid mechanics, statistics, probability, or anything that’s not abstract algebra, there’s guaranteed to be a proof or technique which involves an inequality of this form! So if you only learn one result from Analysis 1A, make it this one.</w:t>
      </w:r>
    </w:p>
    <w:p>
      <w:pPr>
        <w:pStyle w:val="FirstParagraph"/>
      </w:pPr>
      <w:r>
        <w:t xml:space="preserve">Finally, there’s one more inequality to mention — the binomial inequality.</w:t>
      </w:r>
      <w:r>
        <w:t xml:space="preserve"> </w:t>
      </w:r>
    </w:p>
    <w:bookmarkStart w:id="39" w:name="prp:prop5"/>
    <w:p>
      <w:pPr>
        <w:pStyle w:val="TheoremStyleUpright"/>
      </w:pPr>
      <w:bookmarkStart w:id="38" w:name="prp:prop5"/>
      <w:bookmarkEnd w:id="38"/>
      <w:r>
        <w:rPr>
          <w:rStyle w:val="NameStyle"/>
        </w:rPr>
        <w:t xml:space="preserve">Proposition 1.4 (Binomial Inequality)</w:t>
      </w:r>
      <w:r>
        <w:rPr>
          <w:rStyle w:val="NameStyle"/>
        </w:rPr>
        <w:t xml:space="preserve"> </w:t>
      </w:r>
    </w:p>
    <w:p>
      <w:pPr>
        <w:pStyle w:val="TheoremStyleUpright"/>
      </w:pPr>
      <w:r>
        <w:t xml:space="preserve">We have</w:t>
      </w:r>
      <w:r>
        <w:t xml:space="preserve"> </w:t>
      </w:r>
      <m:oMath>
        <m:r>
          <m:rPr>
            <m:sty m:val="p"/>
          </m:rPr>
          <m:t>∀</m:t>
        </m:r>
        <m:r>
          <m:t>n</m:t>
        </m:r>
        <m:r>
          <m:rPr>
            <m:sty m:val="p"/>
          </m:rPr>
          <m:t>∈</m:t>
        </m:r>
        <m:sSub>
          <m:e>
            <m:r>
              <m:rPr>
                <m:sty m:val="p"/>
                <m:scr m:val="double-struck"/>
              </m:rPr>
              <m:t>N</m:t>
            </m:r>
          </m:e>
          <m:sub>
            <m:r>
              <m:t>0</m:t>
            </m:r>
          </m:sub>
        </m:sSub>
      </m:oMath>
      <w:r>
        <w:t xml:space="preserve"> </w:t>
      </w:r>
      <w:r>
        <w:t xml:space="preserve">(i.e. all the natural numbers with</w:t>
      </w:r>
      <w:r>
        <w:t xml:space="preserve"> </w:t>
      </w:r>
      <m:oMath>
        <m:r>
          <m:t>0</m:t>
        </m:r>
      </m:oMath>
      <w:r>
        <w:t xml:space="preserve">), and</w:t>
      </w:r>
      <w:r>
        <w:t xml:space="preserve"> </w:t>
      </w:r>
      <m:oMath>
        <m:r>
          <m:rPr>
            <m:sty m:val="p"/>
          </m:rPr>
          <m:t>∀</m:t>
        </m:r>
        <m:r>
          <m:t>x</m:t>
        </m:r>
        <m:r>
          <m:rPr>
            <m:sty m:val="p"/>
          </m:rPr>
          <m:t>≥</m:t>
        </m:r>
        <m:r>
          <m:rPr>
            <m:sty m:val="p"/>
          </m:rPr>
          <m:t>−</m:t>
        </m:r>
        <m:r>
          <m:t>1</m:t>
        </m:r>
      </m:oMath>
      <w:r>
        <w:t xml:space="preserve">,</w:t>
      </w:r>
    </w:p>
    <w:p>
      <w:pPr>
        <w:pStyle w:val="TheoremStyleUpright"/>
      </w:pPr>
      <m:oMathPara>
        <m:oMathParaPr>
          <m:jc m:val="center"/>
        </m:oMathParaPr>
        <m:oMath>
          <m:sSup>
            <m:e>
              <m:d>
                <m:dPr>
                  <m:begChr m:val="("/>
                  <m:endChr m:val=")"/>
                  <m:sepChr m:val=""/>
                  <m:grow/>
                </m:dPr>
                <m:e>
                  <m:r>
                    <m:t>1</m:t>
                  </m:r>
                  <m:r>
                    <m:rPr>
                      <m:sty m:val="p"/>
                    </m:rPr>
                    <m:t>+</m:t>
                  </m:r>
                  <m:r>
                    <m:t>x</m:t>
                  </m:r>
                </m:e>
              </m:d>
            </m:e>
            <m:sup>
              <m:r>
                <m:t>n</m:t>
              </m:r>
            </m:sup>
          </m:sSup>
          <m:r>
            <m:rPr>
              <m:sty m:val="p"/>
            </m:rPr>
            <m:t>≥</m:t>
          </m:r>
          <m:r>
            <m:t>1</m:t>
          </m:r>
          <m:r>
            <m:rPr>
              <m:sty m:val="p"/>
            </m:rPr>
            <m:t>+</m:t>
          </m:r>
          <m:r>
            <m:t>n</m:t>
          </m:r>
          <m:r>
            <m:t>x</m:t>
          </m:r>
          <m:r>
            <m:rPr>
              <m:sty m:val="p"/>
            </m:rPr>
            <m:t>.</m:t>
          </m:r>
        </m:oMath>
      </m:oMathPara>
    </w:p>
    <w:bookmarkEnd w:id="39"/>
    <w:bookmarkEnd w:id="40"/>
    <w:bookmarkEnd w:id="41"/>
    <w:bookmarkStart w:id="42" w:name="hints"/>
    <w:p>
      <w:pPr>
        <w:pStyle w:val="Heading1"/>
      </w:pPr>
      <w:r>
        <w:t xml:space="preserve">Hints</w:t>
      </w:r>
    </w:p>
    <w:p>
      <w:pPr>
        <w:pStyle w:val="FirstParagraph"/>
      </w:pPr>
      <w:r>
        <w:t xml:space="preserve">As per usual, here’s where you’ll find the problem sheet hints!</w:t>
      </w:r>
    </w:p>
    <w:p>
      <w:pPr>
        <w:numPr>
          <w:ilvl w:val="0"/>
          <w:numId w:val="1002"/>
        </w:numPr>
        <w:pStyle w:val="Compact"/>
      </w:pPr>
      <w:r>
        <w:t xml:space="preserve">The techniques involved in this one are similar to those used in Tutorial Question 1 (and there were some questions on this last week too!)</w:t>
      </w:r>
    </w:p>
    <w:p>
      <w:pPr>
        <w:numPr>
          <w:ilvl w:val="0"/>
          <w:numId w:val="1002"/>
        </w:numPr>
        <w:pStyle w:val="Compact"/>
      </w:pPr>
    </w:p>
    <w:p>
      <w:pPr>
        <w:numPr>
          <w:ilvl w:val="1"/>
          <w:numId w:val="1003"/>
        </w:numPr>
        <w:pStyle w:val="Compact"/>
      </w:pPr>
      <w:r>
        <w:t xml:space="preserve">Firstly, note that this is an</w:t>
      </w:r>
      <w:r>
        <w:t xml:space="preserve"> </w:t>
      </w:r>
      <w:r>
        <w:rPr>
          <w:bCs/>
          <w:b/>
        </w:rPr>
        <w:t xml:space="preserve">if and only if</w:t>
      </w:r>
      <w:r>
        <w:t xml:space="preserve"> </w:t>
      </w:r>
      <w:r>
        <w:t xml:space="preserve">statement, so there are two things to prove! You can get most of the way between both statements by completing the square on the polynomial. For the</w:t>
      </w:r>
      <w:r>
        <w:t xml:space="preserve"> </w:t>
      </w:r>
      <w:r>
        <w:t xml:space="preserve">“</w:t>
      </w:r>
      <m:oMath>
        <m:r>
          <m:rPr>
            <m:sty m:val="p"/>
          </m:rPr>
          <m:t>⇒</m:t>
        </m:r>
      </m:oMath>
      <w:r>
        <w:t xml:space="preserve">”</w:t>
      </w:r>
      <w:r>
        <w:t xml:space="preserve"> </w:t>
      </w:r>
      <w:r>
        <w:t xml:space="preserve">direction, remember square numbers are non-negative. For the</w:t>
      </w:r>
      <w:r>
        <w:t xml:space="preserve"> </w:t>
      </w:r>
      <w:r>
        <w:t xml:space="preserve">“</w:t>
      </w:r>
      <m:oMath>
        <m:r>
          <m:rPr>
            <m:sty m:val="p"/>
          </m:rPr>
          <m:t>⇐</m:t>
        </m:r>
      </m:oMath>
      <w:r>
        <w:t xml:space="preserve">”</w:t>
      </w:r>
      <w:r>
        <w:t xml:space="preserve"> </w:t>
      </w:r>
      <w:r>
        <w:t xml:space="preserve">direction, make a specific choice of</w:t>
      </w:r>
      <w:r>
        <w:t xml:space="preserve"> </w:t>
      </w:r>
      <m:oMath>
        <m:r>
          <m:t>x</m:t>
        </m:r>
      </m:oMath>
      <w:r>
        <w:t xml:space="preserve">.</w:t>
      </w:r>
    </w:p>
    <w:p>
      <w:pPr>
        <w:numPr>
          <w:ilvl w:val="1"/>
          <w:numId w:val="1003"/>
        </w:numPr>
        <w:pStyle w:val="Compact"/>
      </w:pPr>
      <w:r>
        <w:t xml:space="preserve">Follow the hint here, and be careful when collecting terms together.</w:t>
      </w:r>
    </w:p>
    <w:p>
      <w:pPr>
        <w:numPr>
          <w:ilvl w:val="0"/>
          <w:numId w:val="1002"/>
        </w:numPr>
        <w:pStyle w:val="Compact"/>
      </w:pPr>
      <w:r>
        <w:t xml:space="preserve">Take cases on</w:t>
      </w:r>
      <w:r>
        <w:t xml:space="preserve"> </w:t>
      </w:r>
      <m:oMath>
        <m:r>
          <m:t>x</m:t>
        </m:r>
      </m:oMath>
      <w:r>
        <w:t xml:space="preserve">.</w:t>
      </w:r>
    </w:p>
    <w:p>
      <w:pPr>
        <w:numPr>
          <w:ilvl w:val="0"/>
          <w:numId w:val="1002"/>
        </w:numPr>
        <w:pStyle w:val="Compact"/>
      </w:pPr>
      <w:r>
        <w:t xml:space="preserve">Without loss of generality (WLOG), consider</w:t>
      </w:r>
      <w:r>
        <w:t xml:space="preserve"> </w:t>
      </w:r>
      <m:oMath>
        <m:r>
          <m:t>x</m:t>
        </m:r>
        <m:r>
          <m:rPr>
            <m:sty m:val="p"/>
          </m:rPr>
          <m:t>≥</m:t>
        </m:r>
        <m:r>
          <m:t>y</m:t>
        </m:r>
      </m:oMath>
      <w:r>
        <w:t xml:space="preserve"> </w:t>
      </w:r>
      <w:r>
        <w:t xml:space="preserve">(otherwise you can just swap them), and consider</w:t>
      </w:r>
      <w:r>
        <w:t xml:space="preserve"> </w:t>
      </w:r>
      <m:oMath>
        <m:r>
          <m:rPr>
            <m:sty m:val="p"/>
          </m:rPr>
          <m:t>|</m:t>
        </m:r>
        <m:rad>
          <m:radPr>
            <m:degHide m:val="1"/>
          </m:radPr>
          <m:deg/>
          <m:e>
            <m:r>
              <m:t>x</m:t>
            </m:r>
          </m:e>
        </m:rad>
        <m:r>
          <m:rPr>
            <m:sty m:val="p"/>
          </m:rPr>
          <m:t>−</m:t>
        </m:r>
        <m:rad>
          <m:radPr>
            <m:degHide m:val="1"/>
          </m:radPr>
          <m:deg/>
          <m:e>
            <m:r>
              <m:t>y</m:t>
            </m:r>
          </m:e>
        </m:rad>
        <m:sSup>
          <m:e>
            <m:r>
              <m:rPr>
                <m:sty m:val="p"/>
              </m:rPr>
              <m:t>|</m:t>
            </m:r>
          </m:e>
          <m:sup>
            <m:r>
              <m:t>2</m:t>
            </m:r>
          </m:sup>
        </m:sSup>
      </m:oMath>
      <w:r>
        <w:t xml:space="preserve">. On expanding, try and find a bound for the</w:t>
      </w:r>
      <w:r>
        <w:t xml:space="preserve"> </w:t>
      </w:r>
      <w:r>
        <w:t xml:space="preserve">‘</w:t>
      </w:r>
      <w:r>
        <w:t xml:space="preserve">middle</w:t>
      </w:r>
      <w:r>
        <w:t xml:space="preserve">’</w:t>
      </w:r>
      <w:r>
        <w:t xml:space="preserve"> </w:t>
      </w:r>
      <w:r>
        <w:t xml:space="preserve">term.</w:t>
      </w:r>
    </w:p>
    <w:p>
      <w:pPr>
        <w:numPr>
          <w:ilvl w:val="0"/>
          <w:numId w:val="1002"/>
        </w:numPr>
        <w:pStyle w:val="Compact"/>
      </w:pPr>
      <w:r>
        <w:t xml:space="preserve">Solve the modulus equation, and then use your solutions to formulate simultaneous equations for</w:t>
      </w:r>
      <w:r>
        <w:t xml:space="preserve"> </w:t>
      </w:r>
      <m:oMath>
        <m:r>
          <m:t>c</m:t>
        </m:r>
      </m:oMath>
      <w:r>
        <w:t xml:space="preserve"> </w:t>
      </w:r>
      <w:r>
        <w:t xml:space="preserve">and</w:t>
      </w:r>
      <w:r>
        <w:t xml:space="preserve"> </w:t>
      </w:r>
      <m:oMath>
        <m:r>
          <m:t>r</m:t>
        </m:r>
      </m:oMath>
      <w:r>
        <w:t xml:space="preserve">.</w:t>
      </w:r>
    </w:p>
    <w:p>
      <w:pPr>
        <w:numPr>
          <w:ilvl w:val="0"/>
          <w:numId w:val="1002"/>
        </w:numPr>
        <w:pStyle w:val="Compact"/>
      </w:pPr>
      <w:r>
        <w:t xml:space="preserve">You should only need the definitions given in lectures to solve this question. Make sure to write things logically!</w:t>
      </w:r>
    </w:p>
    <w:bookmarkEnd w:id="42"/>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32" Target="http://hyperphysics.phy-astr.gsu.edu/hbase/uncer.html" TargetMode="External" /><Relationship Type="http://schemas.openxmlformats.org/officeDocument/2006/relationships/hyperlink" Id="rId31" Target="https://en.wikipedia.org/wiki/Linear_programming"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32" Target="http://hyperphysics.phy-astr.gsu.edu/hbase/uncer.html" TargetMode="External" /><Relationship Type="http://schemas.openxmlformats.org/officeDocument/2006/relationships/hyperlink" Id="rId31" Target="https://en.wikipedia.org/wiki/Linear_programming"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3</dc:title>
  <dc:creator>Christian Jones: University of Bath</dc:creator>
  <cp:keywords/>
  <dcterms:created xsi:type="dcterms:W3CDTF">2023-10-22T19:19:43Z</dcterms:created>
  <dcterms:modified xsi:type="dcterms:W3CDTF">2023-10-22T19:19:43Z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October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