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4</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Analysis Tutorial in Week 4.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9" w:name="lecture-recap"/>
    <w:p>
      <w:pPr>
        <w:pStyle w:val="Heading1"/>
      </w:pPr>
      <w:r>
        <w:t xml:space="preserve">Lecture Recap</w:t>
      </w:r>
    </w:p>
    <w:bookmarkStart w:id="27" w:name="suprema-and-infima"/>
    <w:p>
      <w:pPr>
        <w:pStyle w:val="Heading2"/>
      </w:pPr>
      <w:r>
        <w:t xml:space="preserve">Suprema and Infima</w:t>
      </w:r>
    </w:p>
    <w:p>
      <w:pPr>
        <w:pStyle w:val="FirstParagraph"/>
      </w:pPr>
      <w:r>
        <w:t xml:space="preserve">Hopefully by now you’re getting more familiar with the ideas of set bounds, especially the idea of suprema/infima! It also turns out that there’s an alternative characterisation of suprema and infima which can be very useful, especially if the members of a set aren’t indexed by natural numbers. Technically, this is something that came up in last week’s lectures, but is more relevant to this week’s problem sheet (see Tutorial Question 1).</w:t>
      </w:r>
    </w:p>
    <w:p>
      <w:pPr>
        <w:pStyle w:val="BodyText"/>
      </w:pPr>
    </w:p>
    <w:bookmarkStart w:id="24" w:name="prp:prop1"/>
    <w:p>
      <w:pPr>
        <w:pStyle w:val="TheoremStyleUpright"/>
      </w:pPr>
      <w:bookmarkStart w:id="23" w:name="prp:prop1"/>
      <w:bookmarkEnd w:id="23"/>
      <w:r>
        <w:rPr>
          <w:rStyle w:val="NameStyle"/>
        </w:rPr>
        <w:t xml:space="preserve">Proposition 1.1</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 supremum of</w:t>
      </w:r>
      <w:r>
        <w:t xml:space="preserve"> </w:t>
      </w:r>
      <m:oMath>
        <m:r>
          <m:t>S</m:t>
        </m:r>
      </m:oMath>
      <w:r>
        <w:t xml:space="preserve">, denoted</w:t>
      </w:r>
      <w:r>
        <w:t xml:space="preserve"> </w:t>
      </w:r>
      <m:oMath>
        <m:r>
          <m:rPr>
            <m:nor/>
            <m:sty m:val="p"/>
          </m:rPr>
          <m:t>sup</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&gt;</m:t>
          </m:r>
          <m:r>
            <m:t>T</m:t>
          </m:r>
          <m:r>
            <m:rPr>
              <m:sty m:val="p"/>
            </m:rPr>
            <m:t>−</m:t>
          </m:r>
          <m:r>
            <m:t>ϵ</m:t>
          </m:r>
          <m:r>
            <m:rPr>
              <m:sty m:val="p"/>
            </m:rPr>
            <m:t>.</m:t>
          </m:r>
        </m:oMath>
      </m:oMathPara>
    </w:p>
    <w:bookmarkEnd w:id="24"/>
    <w:p>
      <w:pPr>
        <w:pStyle w:val="FirstParagraph"/>
      </w:pPr>
    </w:p>
    <w:bookmarkStart w:id="26" w:name="prp:prop2"/>
    <w:p>
      <w:pPr>
        <w:pStyle w:val="TheoremStyleUpright"/>
      </w:pPr>
      <w:bookmarkStart w:id="25" w:name="prp:prop2"/>
      <w:bookmarkEnd w:id="25"/>
      <w:r>
        <w:rPr>
          <w:rStyle w:val="NameStyle"/>
        </w:rPr>
        <w:t xml:space="preserve">Proposition 1.2</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 infimum of</w:t>
      </w:r>
      <w:r>
        <w:t xml:space="preserve"> </w:t>
      </w:r>
      <m:oMath>
        <m:r>
          <m:t>S</m:t>
        </m:r>
      </m:oMath>
      <w:r>
        <w:t xml:space="preserve">, denoted</w:t>
      </w:r>
      <w:r>
        <w:t xml:space="preserve"> </w:t>
      </w:r>
      <m:oMath>
        <m:r>
          <m:rPr>
            <m:nor/>
            <m:sty m:val="p"/>
          </m:rPr>
          <m:t>inf</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&lt;</m:t>
          </m:r>
          <m:r>
            <m:t>t</m:t>
          </m:r>
          <m:r>
            <m:rPr>
              <m:sty m:val="p"/>
            </m:rPr>
            <m:t>+</m:t>
          </m:r>
          <m:r>
            <m:t>ϵ</m:t>
          </m:r>
          <m:r>
            <m:rPr>
              <m:sty m:val="p"/>
            </m:rPr>
            <m:t>.</m:t>
          </m:r>
        </m:oMath>
      </m:oMathPara>
    </w:p>
    <w:bookmarkEnd w:id="26"/>
    <w:p>
      <w:pPr>
        <w:pStyle w:val="FirstParagraph"/>
      </w:pPr>
      <w:r>
        <w:t xml:space="preserve">As an example, take the set</w:t>
      </w:r>
      <w:r>
        <w:t xml:space="preserve"> </w:t>
      </w:r>
      <m:oMath>
        <m:r>
          <m:t>S</m:t>
        </m:r>
        <m:r>
          <m:rPr>
            <m:sty m:val="p"/>
          </m:rPr>
          <m:t>=</m:t>
        </m:r>
        <m:r>
          <m:rPr>
            <m:sty m:val="p"/>
          </m:rPr>
          <m:t>(</m:t>
        </m:r>
        <m:r>
          <m:rPr>
            <m:sty m:val="p"/>
          </m:rPr>
          <m:t>−</m:t>
        </m:r>
        <m:r>
          <m:t>1</m:t>
        </m:r>
        <m:r>
          <m:rPr>
            <m:sty m:val="p"/>
          </m:rPr>
          <m:t>,</m:t>
        </m:r>
        <m:r>
          <m:t>2</m:t>
        </m:r>
        <m:r>
          <m:rPr>
            <m:sty m:val="p"/>
          </m:rPr>
          <m:t>]</m:t>
        </m:r>
        <m:r>
          <m:rPr>
            <m:sty m:val="p"/>
          </m:rPr>
          <m:t>=</m:t>
        </m:r>
        <m:r>
          <m:rPr>
            <m:sty m:val="p"/>
          </m:rPr>
          <m:t>{</m:t>
        </m:r>
        <m:r>
          <m:t>x</m:t>
        </m:r>
        <m:r>
          <m:t> </m:t>
        </m:r>
        <m:r>
          <m:rPr>
            <m:sty m:val="p"/>
          </m:rPr>
          <m:t>|</m:t>
        </m:r>
        <m:r>
          <m:t> </m:t>
        </m:r>
        <m:r>
          <m:rPr>
            <m:sty m:val="p"/>
          </m:rPr>
          <m:t>−</m:t>
        </m:r>
        <m:r>
          <m:t>1</m:t>
        </m:r>
        <m:r>
          <m:rPr>
            <m:sty m:val="p"/>
          </m:rPr>
          <m:t>&lt;</m:t>
        </m:r>
        <m:r>
          <m:t>x</m:t>
        </m:r>
        <m:r>
          <m:rPr>
            <m:sty m:val="p"/>
          </m:rPr>
          <m:t>≤</m:t>
        </m:r>
        <m:r>
          <m:t>2</m:t>
        </m:r>
        <m:r>
          <m:rPr>
            <m:sty m:val="p"/>
          </m:rPr>
          <m:t>}</m:t>
        </m:r>
      </m:oMath>
      <w:r>
        <w:t xml:space="preserve">, and fix some</w:t>
      </w:r>
      <w:r>
        <w:t xml:space="preserve"> </w:t>
      </w:r>
      <m:oMath>
        <m:r>
          <m:t>ϵ</m:t>
        </m:r>
        <m:r>
          <m:rPr>
            <m:sty m:val="p"/>
          </m:rPr>
          <m:t>&gt;</m:t>
        </m:r>
        <m:r>
          <m:t>0</m:t>
        </m:r>
      </m:oMath>
      <w:r>
        <w:t xml:space="preserve">. Then, if we take</w:t>
      </w:r>
      <w:r>
        <w:t xml:space="preserve"> </w:t>
      </w:r>
      <m:oMath>
        <m:sSub>
          <m:e>
            <m:r>
              <m:t>s</m:t>
            </m:r>
          </m:e>
          <m:sub>
            <m:r>
              <m:t>1</m:t>
            </m:r>
          </m:sub>
        </m:sSub>
        <m:r>
          <m:rPr>
            <m:sty m:val="p"/>
          </m:rPr>
          <m:t>=</m:t>
        </m:r>
        <m:r>
          <m:t>2</m:t>
        </m:r>
        <m:r>
          <m:rPr>
            <m:sty m:val="p"/>
          </m:rPr>
          <m:t>−</m:t>
        </m:r>
        <m:r>
          <m:t>ϵ</m:t>
        </m:r>
        <m:r>
          <m:rPr>
            <m:sty m:val="p"/>
          </m:rPr>
          <m:t>/</m:t>
        </m:r>
        <m:r>
          <m:t>2</m:t>
        </m:r>
      </m:oMath>
      <w:r>
        <w:t xml:space="preserve"> </w:t>
      </w:r>
      <w:r>
        <w:t xml:space="preserve">and</w:t>
      </w:r>
      <w:r>
        <w:t xml:space="preserve"> </w:t>
      </w:r>
      <m:oMath>
        <m:sSub>
          <m:e>
            <m:r>
              <m:t>s</m:t>
            </m:r>
          </m:e>
          <m:sub>
            <m:r>
              <m:t>2</m:t>
            </m:r>
          </m:sub>
        </m:sSub>
        <m:r>
          <m:rPr>
            <m:sty m:val="p"/>
          </m:rPr>
          <m:t>=</m:t>
        </m:r>
        <m:r>
          <m:rPr>
            <m:sty m:val="p"/>
          </m:rPr>
          <m:t>−</m:t>
        </m:r>
        <m:r>
          <m:t>1</m:t>
        </m:r>
        <m:r>
          <m:rPr>
            <m:sty m:val="p"/>
          </m:rPr>
          <m:t>+</m:t>
        </m:r>
        <m:r>
          <m:t>ϵ</m:t>
        </m:r>
        <m:r>
          <m:rPr>
            <m:sty m:val="p"/>
          </m:rPr>
          <m:t>/</m:t>
        </m:r>
        <m:r>
          <m:t>2</m:t>
        </m:r>
      </m:oMath>
      <w:r>
        <w:t xml:space="preserve">, we see that</w:t>
      </w:r>
    </w:p>
    <w:p>
      <w:pPr>
        <w:numPr>
          <w:ilvl w:val="0"/>
          <w:numId w:val="1001"/>
        </w:numPr>
        <w:pStyle w:val="Compact"/>
      </w:pPr>
      <m:oMath>
        <m:sSub>
          <m:e>
            <m:r>
              <m:t>s</m:t>
            </m:r>
          </m:e>
          <m:sub>
            <m:r>
              <m:t>1</m:t>
            </m:r>
          </m:sub>
        </m:sSub>
      </m:oMath>
      <w:r>
        <w:t xml:space="preserve"> </w:t>
      </w:r>
      <w:r>
        <w:t xml:space="preserve">and</w:t>
      </w:r>
      <w:r>
        <w:t xml:space="preserve"> </w:t>
      </w:r>
      <m:oMath>
        <m:sSub>
          <m:e>
            <m:r>
              <m:t>s</m:t>
            </m:r>
          </m:e>
          <m:sub>
            <m:r>
              <m:t>2</m:t>
            </m:r>
          </m:sub>
        </m:sSub>
      </m:oMath>
      <w:r>
        <w:t xml:space="preserve"> </w:t>
      </w:r>
      <w:r>
        <w:t xml:space="preserve">are in the set</w:t>
      </w:r>
      <w:r>
        <w:t xml:space="preserve"> </w:t>
      </w:r>
      <m:oMath>
        <m:r>
          <m:t>S</m:t>
        </m:r>
      </m:oMath>
      <w:r>
        <w:t xml:space="preserve">,</w:t>
      </w:r>
    </w:p>
    <w:p>
      <w:pPr>
        <w:numPr>
          <w:ilvl w:val="0"/>
          <w:numId w:val="1001"/>
        </w:numPr>
        <w:pStyle w:val="Compact"/>
      </w:pPr>
      <m:oMath>
        <m:sSub>
          <m:e>
            <m:r>
              <m:t>s</m:t>
            </m:r>
          </m:e>
          <m:sub>
            <m:r>
              <m:t>1</m:t>
            </m:r>
          </m:sub>
        </m:sSub>
        <m:r>
          <m:rPr>
            <m:sty m:val="p"/>
          </m:rPr>
          <m:t>&gt;</m:t>
        </m:r>
        <m:r>
          <m:t>2</m:t>
        </m:r>
        <m:r>
          <m:rPr>
            <m:sty m:val="p"/>
          </m:rPr>
          <m:t>−</m:t>
        </m:r>
        <m:r>
          <m:t>ϵ</m:t>
        </m:r>
      </m:oMath>
      <w:r>
        <w:t xml:space="preserve">, and</w:t>
      </w:r>
    </w:p>
    <w:p>
      <w:pPr>
        <w:numPr>
          <w:ilvl w:val="0"/>
          <w:numId w:val="1001"/>
        </w:numPr>
        <w:pStyle w:val="Compact"/>
      </w:pPr>
      <m:oMath>
        <m:sSub>
          <m:e>
            <m:r>
              <m:t>s</m:t>
            </m:r>
          </m:e>
          <m:sub>
            <m:r>
              <m:t>2</m:t>
            </m:r>
          </m:sub>
        </m:sSub>
        <m:r>
          <m:rPr>
            <m:sty m:val="p"/>
          </m:rPr>
          <m:t>&lt;</m:t>
        </m:r>
        <m:r>
          <m:rPr>
            <m:sty m:val="p"/>
          </m:rPr>
          <m:t>−</m:t>
        </m:r>
        <m:r>
          <m:t>1</m:t>
        </m:r>
        <m:r>
          <m:rPr>
            <m:sty m:val="p"/>
          </m:rPr>
          <m:t>+</m:t>
        </m:r>
        <m:r>
          <m:t>ϵ</m:t>
        </m:r>
      </m:oMath>
      <w:r>
        <w:t xml:space="preserve">.</w:t>
      </w:r>
    </w:p>
    <w:p>
      <w:pPr>
        <w:pStyle w:val="FirstParagraph"/>
      </w:pPr>
      <w:r>
        <w:t xml:space="preserve">Hence, as</w:t>
      </w:r>
      <w:r>
        <w:t xml:space="preserve"> </w:t>
      </w:r>
      <m:oMath>
        <m:r>
          <m:t>ϵ</m:t>
        </m:r>
      </m:oMath>
      <w:r>
        <w:t xml:space="preserve"> </w:t>
      </w:r>
      <w:r>
        <w:t xml:space="preserve">was arbitrary, the alternative characterisation of suprema and infima says that</w:t>
      </w:r>
      <w:r>
        <w:t xml:space="preserve"> </w:t>
      </w:r>
      <m:oMath>
        <m:r>
          <m:rPr>
            <m:nor/>
            <m:sty m:val="p"/>
          </m:rPr>
          <m:t>sup</m:t>
        </m:r>
        <m:d>
          <m:dPr>
            <m:begChr m:val="("/>
            <m:endChr m:val=")"/>
            <m:sepChr m:val=""/>
            <m:grow/>
          </m:dPr>
          <m:e>
            <m:r>
              <m:t>S</m:t>
            </m:r>
          </m:e>
        </m:d>
        <m:r>
          <m:rPr>
            <m:sty m:val="p"/>
          </m:rPr>
          <m:t>=</m:t>
        </m:r>
        <m:r>
          <m:t>2</m:t>
        </m:r>
      </m:oMath>
      <w:r>
        <w:t xml:space="preserve"> </w:t>
      </w:r>
      <w:r>
        <w:t xml:space="preserve">and</w:t>
      </w:r>
      <w:r>
        <w:t xml:space="preserve"> </w:t>
      </w:r>
      <m:oMath>
        <m:r>
          <m:rPr>
            <m:nor/>
            <m:sty m:val="p"/>
          </m:rPr>
          <m:t>inf</m:t>
        </m:r>
        <m:d>
          <m:dPr>
            <m:begChr m:val="("/>
            <m:endChr m:val=")"/>
            <m:sepChr m:val=""/>
            <m:grow/>
          </m:dPr>
          <m:e>
            <m:r>
              <m:t>S</m:t>
            </m:r>
          </m:e>
        </m:d>
        <m:r>
          <m:rPr>
            <m:sty m:val="p"/>
          </m:rPr>
          <m:t>=</m:t>
        </m:r>
        <m:r>
          <m:rPr>
            <m:sty m:val="p"/>
          </m:rPr>
          <m:t>−</m:t>
        </m:r>
        <m:r>
          <m:t>1</m:t>
        </m:r>
      </m:oMath>
      <w:r>
        <w:t xml:space="preserve">.</w:t>
      </w:r>
    </w:p>
    <w:bookmarkEnd w:id="27"/>
    <w:bookmarkStart w:id="34" w:name="complex-numbers"/>
    <w:p>
      <w:pPr>
        <w:pStyle w:val="Heading2"/>
      </w:pPr>
      <w:r>
        <w:t xml:space="preserve">Complex Numbers</w:t>
      </w:r>
    </w:p>
    <w:p>
      <w:pPr>
        <w:pStyle w:val="FirstParagraph"/>
      </w:pPr>
      <w:r>
        <w:t xml:space="preserve">Up until this point, we have only looked at numbers which are subsets of the real numbers (</w:t>
      </w:r>
      <m:oMath>
        <m:r>
          <m:rPr>
            <m:sty m:val="p"/>
            <m:scr m:val="double-struck"/>
          </m:rPr>
          <m:t>R</m:t>
        </m:r>
      </m:oMath>
      <w:r>
        <w:t xml:space="preserve">) However, to steal an archetypal example, how do we solve an equation like</w:t>
      </w:r>
      <w:r>
        <w:t xml:space="preserve"> </w:t>
      </w:r>
      <m:oMath>
        <m:sSup>
          <m:e>
            <m:r>
              <m:t>x</m:t>
            </m:r>
          </m:e>
          <m:sup>
            <m:r>
              <m:t>2</m:t>
            </m:r>
          </m:sup>
        </m:sSup>
        <m:r>
          <m:rPr>
            <m:sty m:val="p"/>
          </m:rPr>
          <m:t>+</m:t>
        </m:r>
        <m:r>
          <m:t>1</m:t>
        </m:r>
        <m:r>
          <m:rPr>
            <m:sty m:val="p"/>
          </m:rPr>
          <m:t>=</m:t>
        </m:r>
        <m:r>
          <m:t>0</m:t>
        </m:r>
      </m:oMath>
      <w:r>
        <w:t xml:space="preserve">? We can’t do this in the reals, so we</w:t>
      </w:r>
      <w:r>
        <w:t xml:space="preserve"> </w:t>
      </w:r>
      <w:r>
        <w:t xml:space="preserve">‘</w:t>
      </w:r>
      <w:r>
        <w:t xml:space="preserve">invent</w:t>
      </w:r>
      <w:r>
        <w:t xml:space="preserve">’</w:t>
      </w:r>
      <w:r>
        <w:t xml:space="preserve"> </w:t>
      </w:r>
      <w:r>
        <w:t xml:space="preserve">a solution by defining</w:t>
      </w:r>
      <w:r>
        <w:t xml:space="preserve"> </w:t>
      </w:r>
      <m:oMath>
        <m:r>
          <m:t>i</m:t>
        </m:r>
        <m:box>
          <m:boxPr>
            <m:opEmu m:val="1"/>
          </m:boxPr>
          <m:e>
            <m:r>
              <m:rPr>
                <m:sty m:val="p"/>
              </m:rPr>
              <m:t>:=</m:t>
            </m:r>
          </m:e>
        </m:box>
        <m:rad>
          <m:radPr>
            <m:degHide m:val="1"/>
          </m:radPr>
          <m:deg/>
          <m:e>
            <m:r>
              <m:rPr>
                <m:sty m:val="p"/>
              </m:rPr>
              <m:t>−</m:t>
            </m:r>
            <m:r>
              <m:t>1</m:t>
            </m:r>
          </m:e>
        </m:rad>
        <m:r>
          <m:rPr>
            <m:sty m:val="p"/>
          </m:rPr>
          <m:t>.</m:t>
        </m:r>
      </m:oMath>
      <w:r>
        <w:t xml:space="preserve"> </w:t>
      </w:r>
      <w:r>
        <w:t xml:space="preserve">This gives us a new set of numbers, namely</w:t>
      </w:r>
    </w:p>
    <w:p>
      <w:pPr>
        <w:pStyle w:val="BodyText"/>
      </w:pPr>
      <m:oMathPara>
        <m:oMathParaPr>
          <m:jc m:val="center"/>
        </m:oMathParaPr>
        <m:oMath>
          <m:r>
            <m:rPr>
              <m:sty m:val="p"/>
              <m:scr m:val="double-struck"/>
            </m:rPr>
            <m:t>C</m:t>
          </m:r>
          <m:box>
            <m:boxPr>
              <m:opEmu m:val="1"/>
            </m:boxPr>
            <m:e>
              <m:r>
                <m:rPr>
                  <m:sty m:val="p"/>
                </m:rPr>
                <m:t>:=</m:t>
              </m:r>
            </m:e>
          </m:box>
          <m:r>
            <m:rPr>
              <m:sty m:val="p"/>
            </m:rPr>
            <m:t>{</m:t>
          </m:r>
          <m:r>
            <m:t>a</m:t>
          </m:r>
          <m:r>
            <m:rPr>
              <m:sty m:val="p"/>
            </m:rPr>
            <m:t>+</m:t>
          </m:r>
          <m:r>
            <m:t>i</m:t>
          </m:r>
          <m:r>
            <m:t>b</m:t>
          </m:r>
          <m:r>
            <m:t> </m:t>
          </m:r>
          <m:r>
            <m:rPr>
              <m:sty m:val="p"/>
            </m:rPr>
            <m:t>|</m:t>
          </m:r>
          <m:r>
            <m:t> </m:t>
          </m:r>
          <m:r>
            <m:t>a</m:t>
          </m:r>
          <m:r>
            <m:rPr>
              <m:sty m:val="p"/>
            </m:rPr>
            <m:t>,</m:t>
          </m:r>
          <m:r>
            <m:t>b</m:t>
          </m:r>
          <m:r>
            <m:rPr>
              <m:sty m:val="p"/>
            </m:rPr>
            <m:t>∈</m:t>
          </m:r>
          <m:r>
            <m:rPr>
              <m:sty m:val="p"/>
              <m:scr m:val="double-struck"/>
            </m:rPr>
            <m:t>R</m:t>
          </m:r>
          <m:r>
            <m:rPr>
              <m:sty m:val="p"/>
            </m:rPr>
            <m:t>}</m:t>
          </m:r>
          <m:r>
            <m:rPr>
              <m:sty m:val="p"/>
            </m:rPr>
            <m:t>,</m:t>
          </m:r>
        </m:oMath>
      </m:oMathPara>
    </w:p>
    <w:p>
      <w:pPr>
        <w:pStyle w:val="FirstParagraph"/>
      </w:pPr>
      <w:r>
        <w:t xml:space="preserve">and call members of this set</w:t>
      </w:r>
      <w:r>
        <w:t xml:space="preserve"> </w:t>
      </w:r>
      <w:r>
        <w:rPr>
          <w:bCs/>
          <w:b/>
        </w:rPr>
        <w:t xml:space="preserve">complex numbers</w:t>
      </w:r>
      <w:r>
        <w:t xml:space="preserve">. There is a ton of theory on these numbers, which is left for the lecture notes.</w:t>
      </w:r>
      <w:r>
        <w:rPr>
          <w:rStyle w:val="FootnoteReference"/>
        </w:rPr>
        <w:footnoteReference w:id="28"/>
      </w:r>
      <w:r>
        <w:t xml:space="preserve"> </w:t>
      </w:r>
      <w:r>
        <w:t xml:space="preserve">Instead, we just repeat a list of important definitions, and one important result.</w:t>
      </w:r>
    </w:p>
    <w:p>
      <w:pPr>
        <w:pStyle w:val="BodyText"/>
      </w:pPr>
    </w:p>
    <w:bookmarkStart w:id="30" w:name="def:def0"/>
    <w:p>
      <w:pPr>
        <w:pStyle w:val="DefinitionStyle"/>
      </w:pPr>
      <w:bookmarkStart w:id="29" w:name="def:def0"/>
      <w:bookmarkEnd w:id="29"/>
      <w:r>
        <w:rPr>
          <w:rStyle w:val="NameStyle"/>
        </w:rPr>
        <w:t xml:space="preserve">Definition 1.1 (Complex Numbers)</w:t>
      </w:r>
      <w:r>
        <w:rPr>
          <w:rStyle w:val="NameStyle"/>
        </w:rPr>
        <w:t xml:space="preserve"> </w:t>
      </w:r>
    </w:p>
    <w:p>
      <w:pPr>
        <w:pStyle w:val="DefinitionStyle"/>
      </w:pPr>
      <w:r>
        <w:t xml:space="preserve">Given a complex number</w:t>
      </w:r>
      <w:r>
        <w:t xml:space="preserve"> </w:t>
      </w:r>
      <m:oMath>
        <m:r>
          <m:t>z</m:t>
        </m:r>
        <m:r>
          <m:rPr>
            <m:sty m:val="p"/>
          </m:rPr>
          <m:t>=</m:t>
        </m:r>
        <m:r>
          <m:t>a</m:t>
        </m:r>
        <m:r>
          <m:rPr>
            <m:sty m:val="p"/>
          </m:rPr>
          <m:t>+</m:t>
        </m:r>
        <m:r>
          <m:t>i</m:t>
        </m:r>
        <m:r>
          <m:t>b</m:t>
        </m:r>
        <m:r>
          <m:rPr>
            <m:sty m:val="p"/>
          </m:rPr>
          <m:t>,</m:t>
        </m:r>
      </m:oMath>
      <w:r>
        <w:t xml:space="preserve"> </w:t>
      </w:r>
      <w:r>
        <w:t xml:space="preserve">we define the following quantities:</w:t>
      </w:r>
    </w:p>
    <w:p>
      <w:pPr>
        <w:numPr>
          <w:ilvl w:val="0"/>
          <w:numId w:val="1002"/>
        </w:numPr>
        <w:pStyle w:val="Compact"/>
      </w:pPr>
      <w:r>
        <w:t xml:space="preserve">The real part of</w:t>
      </w:r>
      <w:r>
        <w:t xml:space="preserve"> </w:t>
      </w:r>
      <m:oMath>
        <m:r>
          <m:t>z</m:t>
        </m:r>
      </m:oMath>
      <w:r>
        <w:t xml:space="preserve"> </w:t>
      </w:r>
      <w:r>
        <w:t xml:space="preserve">is</w:t>
      </w:r>
      <w:r>
        <w:t xml:space="preserve"> </w:t>
      </w:r>
      <m:oMath>
        <m:r>
          <m:rPr>
            <m:sty m:val="p"/>
            <m:scr m:val="script"/>
          </m:rPr>
          <m:t>R</m:t>
        </m:r>
        <m:d>
          <m:dPr>
            <m:begChr m:val="("/>
            <m:endChr m:val=")"/>
            <m:sepChr m:val=""/>
            <m:grow/>
          </m:dPr>
          <m:e>
            <m:r>
              <m:t>z</m:t>
            </m:r>
          </m:e>
        </m:d>
        <m:box>
          <m:boxPr>
            <m:opEmu m:val="1"/>
          </m:boxPr>
          <m:e>
            <m:r>
              <m:rPr>
                <m:sty m:val="p"/>
              </m:rPr>
              <m:t>:=</m:t>
            </m:r>
          </m:e>
        </m:box>
        <m:r>
          <m:t>a</m:t>
        </m:r>
        <m:r>
          <m:rPr>
            <m:sty m:val="p"/>
          </m:rPr>
          <m:t>.</m:t>
        </m:r>
      </m:oMath>
    </w:p>
    <w:p>
      <w:pPr>
        <w:numPr>
          <w:ilvl w:val="0"/>
          <w:numId w:val="1002"/>
        </w:numPr>
        <w:pStyle w:val="Compact"/>
      </w:pPr>
      <w:r>
        <w:t xml:space="preserve">The imaginary part of</w:t>
      </w:r>
      <w:r>
        <w:t xml:space="preserve"> </w:t>
      </w:r>
      <m:oMath>
        <m:r>
          <m:t>z</m:t>
        </m:r>
      </m:oMath>
      <w:r>
        <w:t xml:space="preserve"> </w:t>
      </w:r>
      <w:r>
        <w:t xml:space="preserve">is</w:t>
      </w:r>
      <w:r>
        <w:t xml:space="preserve"> </w:t>
      </w:r>
      <m:oMath>
        <m:r>
          <m:rPr>
            <m:sty m:val="p"/>
            <m:scr m:val="script"/>
          </m:rPr>
          <m:t>I</m:t>
        </m:r>
        <m:d>
          <m:dPr>
            <m:begChr m:val="("/>
            <m:endChr m:val=")"/>
            <m:sepChr m:val=""/>
            <m:grow/>
          </m:dPr>
          <m:e>
            <m:r>
              <m:t>z</m:t>
            </m:r>
          </m:e>
        </m:d>
        <m:box>
          <m:boxPr>
            <m:opEmu m:val="1"/>
          </m:boxPr>
          <m:e>
            <m:r>
              <m:rPr>
                <m:sty m:val="p"/>
              </m:rPr>
              <m:t>:=</m:t>
            </m:r>
          </m:e>
        </m:box>
        <m:r>
          <m:t>b</m:t>
        </m:r>
        <m:r>
          <m:rPr>
            <m:sty m:val="p"/>
          </m:rPr>
          <m:t>.</m:t>
        </m:r>
      </m:oMath>
    </w:p>
    <w:p>
      <w:pPr>
        <w:numPr>
          <w:ilvl w:val="0"/>
          <w:numId w:val="1002"/>
        </w:numPr>
        <w:pStyle w:val="Compact"/>
      </w:pPr>
      <w:r>
        <w:t xml:space="preserve">The complex conjugate of</w:t>
      </w:r>
      <w:r>
        <w:t xml:space="preserve"> </w:t>
      </w:r>
      <m:oMath>
        <m:r>
          <m:t>z</m:t>
        </m:r>
      </m:oMath>
      <w:r>
        <w:t xml:space="preserve"> </w:t>
      </w:r>
      <w:r>
        <w:t xml:space="preserve">is</w:t>
      </w:r>
      <w:r>
        <w:t xml:space="preserve"> </w:t>
      </w:r>
      <m:oMath>
        <m:acc>
          <m:accPr>
            <m:chr m:val="‾"/>
          </m:accPr>
          <m:e>
            <m:r>
              <m:t>z</m:t>
            </m:r>
          </m:e>
        </m:acc>
        <m:box>
          <m:boxPr>
            <m:opEmu m:val="1"/>
          </m:boxPr>
          <m:e>
            <m:r>
              <m:rPr>
                <m:sty m:val="p"/>
              </m:rPr>
              <m:t>:=</m:t>
            </m:r>
          </m:e>
        </m:box>
        <m:r>
          <m:t>a</m:t>
        </m:r>
        <m:r>
          <m:rPr>
            <m:sty m:val="p"/>
          </m:rPr>
          <m:t>−</m:t>
        </m:r>
        <m:r>
          <m:t>i</m:t>
        </m:r>
        <m:r>
          <m:t>b</m:t>
        </m:r>
        <m:r>
          <m:rPr>
            <m:sty m:val="p"/>
          </m:rPr>
          <m:t>.</m:t>
        </m:r>
      </m:oMath>
    </w:p>
    <w:p>
      <w:pPr>
        <w:numPr>
          <w:ilvl w:val="0"/>
          <w:numId w:val="1002"/>
        </w:numPr>
        <w:pStyle w:val="Compact"/>
      </w:pPr>
      <w:r>
        <w:t xml:space="preserve">The modulus of</w:t>
      </w:r>
      <w:r>
        <w:t xml:space="preserve"> </w:t>
      </w:r>
      <m:oMath>
        <m:r>
          <m:t>z</m:t>
        </m:r>
      </m:oMath>
      <w:r>
        <w:t xml:space="preserve"> </w:t>
      </w:r>
      <w:r>
        <w:t xml:space="preserve">is defined to be</w:t>
      </w:r>
      <w:r>
        <w:t xml:space="preserve"> </w:t>
      </w:r>
      <m:oMath>
        <m:r>
          <m:rPr>
            <m:sty m:val="p"/>
          </m:rPr>
          <m:t>|</m:t>
        </m:r>
        <m:r>
          <m:t>z</m:t>
        </m:r>
        <m:r>
          <m:rPr>
            <m:sty m:val="p"/>
          </m:rPr>
          <m:t>|</m:t>
        </m:r>
        <m:box>
          <m:boxPr>
            <m:opEmu m:val="1"/>
          </m:boxPr>
          <m:e>
            <m:r>
              <m:rPr>
                <m:sty m:val="p"/>
              </m:rPr>
              <m:t>:=</m:t>
            </m:r>
          </m:e>
        </m:box>
        <m:rad>
          <m:radPr>
            <m:degHide m:val="1"/>
          </m:radPr>
          <m:deg/>
          <m:e>
            <m:sSup>
              <m:e>
                <m:r>
                  <m:t>a</m:t>
                </m:r>
              </m:e>
              <m:sup>
                <m:r>
                  <m:t>2</m:t>
                </m:r>
              </m:sup>
            </m:sSup>
            <m:r>
              <m:rPr>
                <m:sty m:val="p"/>
              </m:rPr>
              <m:t>+</m:t>
            </m:r>
            <m:sSup>
              <m:e>
                <m:r>
                  <m:t>b</m:t>
                </m:r>
              </m:e>
              <m:sup>
                <m:r>
                  <m:t>2</m:t>
                </m:r>
              </m:sup>
            </m:sSup>
          </m:e>
        </m:rad>
        <m:r>
          <m:rPr>
            <m:sty m:val="p"/>
          </m:rPr>
          <m:t>.</m:t>
        </m:r>
      </m:oMath>
    </w:p>
    <w:bookmarkEnd w:id="30"/>
    <w:p>
      <w:pPr>
        <w:pStyle w:val="FirstParagraph"/>
      </w:pPr>
      <w:r>
        <w:t xml:space="preserve">Just like the absolute value on the real numbers, the modulus defines a</w:t>
      </w:r>
      <w:r>
        <w:t xml:space="preserve"> </w:t>
      </w:r>
      <w:r>
        <w:rPr>
          <w:iCs/>
          <w:i/>
        </w:rPr>
        <w:t xml:space="preserve">distance</w:t>
      </w:r>
      <w:r>
        <w:t xml:space="preserve"> </w:t>
      </w:r>
      <w:r>
        <w:t xml:space="preserve">on the complex numbers.</w:t>
      </w:r>
      <w:r>
        <w:rPr>
          <w:rStyle w:val="FootnoteReference"/>
        </w:rPr>
        <w:footnoteReference w:id="31"/>
      </w:r>
      <w:r>
        <w:t xml:space="preserve"> </w:t>
      </w:r>
      <w:r>
        <w:t xml:space="preserve">In particular for complex numbers</w:t>
      </w:r>
      <w:r>
        <w:t xml:space="preserve"> </w:t>
      </w:r>
      <m:oMath>
        <m:sSub>
          <m:e>
            <m:r>
              <m:t>z</m:t>
            </m:r>
          </m:e>
          <m:sub>
            <m:r>
              <m:t>1</m:t>
            </m:r>
          </m:sub>
        </m:sSub>
      </m:oMath>
      <w:r>
        <w:t xml:space="preserve"> </w:t>
      </w:r>
      <w:r>
        <w:t xml:space="preserve">and</w:t>
      </w:r>
      <w:r>
        <w:t xml:space="preserve"> </w:t>
      </w:r>
      <m:oMath>
        <m:sSub>
          <m:e>
            <m:r>
              <m:t>z</m:t>
            </m:r>
          </m:e>
          <m:sub>
            <m:r>
              <m:t>2</m:t>
            </m:r>
          </m:sub>
        </m:sSub>
      </m:oMath>
      <w:r>
        <w:t xml:space="preserve">, the quantity</w:t>
      </w:r>
      <w:r>
        <w:t xml:space="preserve"> </w:t>
      </w:r>
      <m:oMath>
        <m:r>
          <m:rPr>
            <m:sty m:val="p"/>
          </m:rPr>
          <m:t>|</m:t>
        </m:r>
        <m:sSub>
          <m:e>
            <m:r>
              <m:t>z</m:t>
            </m:r>
          </m:e>
          <m:sub>
            <m:r>
              <m:t>1</m:t>
            </m:r>
          </m:sub>
        </m:sSub>
        <m:r>
          <m:rPr>
            <m:sty m:val="p"/>
          </m:rPr>
          <m:t>−</m:t>
        </m:r>
        <m:sSub>
          <m:e>
            <m:r>
              <m:t>z</m:t>
            </m:r>
          </m:e>
          <m:sub>
            <m:r>
              <m:t>2</m:t>
            </m:r>
          </m:sub>
        </m:sSub>
        <m:r>
          <m:rPr>
            <m:sty m:val="p"/>
          </m:rPr>
          <m:t>|</m:t>
        </m:r>
      </m:oMath>
      <w:r>
        <w:t xml:space="preserve"> </w:t>
      </w:r>
      <w:r>
        <w:t xml:space="preserve">tells us how</w:t>
      </w:r>
      <w:r>
        <w:t xml:space="preserve"> </w:t>
      </w:r>
      <w:r>
        <w:t xml:space="preserve">‘</w:t>
      </w:r>
      <w:r>
        <w:t xml:space="preserve">far apart</w:t>
      </w:r>
      <w:r>
        <w:t xml:space="preserve">’</w:t>
      </w:r>
      <w:r>
        <w:t xml:space="preserve"> </w:t>
      </w:r>
      <w:r>
        <w:t xml:space="preserve">the two numbers are. Plotting these numbers on an Argand diagram, we see that</w:t>
      </w:r>
      <w:r>
        <w:t xml:space="preserve"> </w:t>
      </w:r>
      <m:oMath>
        <m:r>
          <m:rPr>
            <m:sty m:val="p"/>
          </m:rPr>
          <m:t>|</m:t>
        </m:r>
        <m:sSub>
          <m:e>
            <m:r>
              <m:t>z</m:t>
            </m:r>
          </m:e>
          <m:sub>
            <m:r>
              <m:t>1</m:t>
            </m:r>
          </m:sub>
        </m:sSub>
        <m:r>
          <m:rPr>
            <m:sty m:val="p"/>
          </m:rPr>
          <m:t>−</m:t>
        </m:r>
        <m:sSub>
          <m:e>
            <m:r>
              <m:t>z</m:t>
            </m:r>
          </m:e>
          <m:sub>
            <m:r>
              <m:t>2</m:t>
            </m:r>
          </m:sub>
        </m:sSub>
        <m:r>
          <m:rPr>
            <m:sty m:val="p"/>
          </m:rPr>
          <m:t>|</m:t>
        </m:r>
      </m:oMath>
      <w:r>
        <w:t xml:space="preserve"> </w:t>
      </w:r>
      <w:r>
        <w:t xml:space="preserve">gives us the distance of the straight line joining</w:t>
      </w:r>
      <w:r>
        <w:t xml:space="preserve"> </w:t>
      </w:r>
      <m:oMath>
        <m:sSub>
          <m:e>
            <m:r>
              <m:t>z</m:t>
            </m:r>
          </m:e>
          <m:sub>
            <m:r>
              <m:t>1</m:t>
            </m:r>
          </m:sub>
        </m:sSub>
      </m:oMath>
      <w:r>
        <w:t xml:space="preserve"> </w:t>
      </w:r>
      <w:r>
        <w:t xml:space="preserve">and</w:t>
      </w:r>
      <w:r>
        <w:t xml:space="preserve"> </w:t>
      </w:r>
      <m:oMath>
        <m:sSub>
          <m:e>
            <m:r>
              <m:t>z</m:t>
            </m:r>
          </m:e>
          <m:sub>
            <m:r>
              <m:t>2</m:t>
            </m:r>
          </m:sub>
        </m:sSub>
        <m:r>
          <m:rPr>
            <m:sty m:val="p"/>
          </m:rPr>
          <m:t>.</m:t>
        </m:r>
      </m:oMath>
    </w:p>
    <w:p>
      <w:pPr>
        <w:pStyle w:val="BodyText"/>
      </w:pPr>
      <w:r>
        <w:t xml:space="preserve">Since the modulus defines a distance on</w:t>
      </w:r>
      <w:r>
        <w:t xml:space="preserve"> </w:t>
      </w:r>
      <m:oMath>
        <m:r>
          <m:rPr>
            <m:sty m:val="p"/>
            <m:scr m:val="double-struck"/>
          </m:rPr>
          <m:t>C</m:t>
        </m:r>
        <m:r>
          <m:rPr>
            <m:sty m:val="p"/>
          </m:rPr>
          <m:t>,</m:t>
        </m:r>
      </m:oMath>
      <w:r>
        <w:t xml:space="preserve"> </w:t>
      </w:r>
      <w:r>
        <w:t xml:space="preserve">it had better obey the triangle inequality. Luckily for us, it does!</w:t>
      </w:r>
    </w:p>
    <w:p>
      <w:pPr>
        <w:pStyle w:val="BodyText"/>
      </w:pPr>
    </w:p>
    <w:bookmarkStart w:id="33" w:name="prp:prop3"/>
    <w:p>
      <w:pPr>
        <w:pStyle w:val="TheoremStyleUpright"/>
      </w:pPr>
      <w:bookmarkStart w:id="32" w:name="prp:prop3"/>
      <w:bookmarkEnd w:id="32"/>
      <w:r>
        <w:rPr>
          <w:rStyle w:val="NameStyle"/>
        </w:rPr>
        <w:t xml:space="preserve">Proposition 1.3 (Triangle Inequality)</w:t>
      </w:r>
      <w:r>
        <w:rPr>
          <w:rStyle w:val="NameStyle"/>
        </w:rPr>
        <w:t xml:space="preserve"> </w:t>
      </w:r>
    </w:p>
    <w:p>
      <w:pPr>
        <w:pStyle w:val="TheoremStyleUpright"/>
      </w:pPr>
      <w:r>
        <w:t xml:space="preserve">For</w:t>
      </w:r>
      <w:r>
        <w:t xml:space="preserve"> </w:t>
      </w:r>
      <m:oMath>
        <m:sSub>
          <m:e>
            <m:r>
              <m:t>z</m:t>
            </m:r>
          </m:e>
          <m:sub>
            <m:r>
              <m:t>1</m:t>
            </m:r>
          </m:sub>
        </m:sSub>
        <m:r>
          <m:rPr>
            <m:sty m:val="p"/>
          </m:rPr>
          <m:t>,</m:t>
        </m:r>
        <m:sSub>
          <m:e>
            <m:r>
              <m:t>z</m:t>
            </m:r>
          </m:e>
          <m:sub>
            <m:r>
              <m:t>2</m:t>
            </m:r>
          </m:sub>
        </m:sSub>
        <m:r>
          <m:rPr>
            <m:sty m:val="p"/>
          </m:rPr>
          <m:t>∈</m:t>
        </m:r>
        <m:r>
          <m:rPr>
            <m:sty m:val="p"/>
            <m:scr m:val="double-struck"/>
          </m:rPr>
          <m:t>C</m:t>
        </m:r>
      </m:oMath>
      <w:r>
        <w:t xml:space="preserve">,</w:t>
      </w:r>
      <w:r>
        <w:t xml:space="preserve"> </w:t>
      </w:r>
      <w:r>
        <w:t xml:space="preserve">$$</w:t>
      </w:r>
    </w:p>
    <w:bookmarkEnd w:id="33"/>
    <w:bookmarkEnd w:id="34"/>
    <w:bookmarkStart w:id="41" w:name="sequences-and-convergence"/>
    <w:p>
      <w:pPr>
        <w:pStyle w:val="Heading2"/>
      </w:pPr>
      <w:r>
        <w:t xml:space="preserve">Sequences and Convergence</w:t>
      </w:r>
    </w:p>
    <w:p>
      <w:pPr>
        <w:pStyle w:val="FirstParagraph"/>
      </w:pPr>
      <w:r>
        <w:t xml:space="preserve">We’re finally onto the first main topic of this course! To discuss anything from this point, we need to introduce the idea of a sequence.</w:t>
      </w:r>
      <w:r>
        <w:t xml:space="preserve"> </w:t>
      </w:r>
    </w:p>
    <w:bookmarkStart w:id="36" w:name="def:def1"/>
    <w:p>
      <w:pPr>
        <w:pStyle w:val="DefinitionStyle"/>
      </w:pPr>
      <w:bookmarkStart w:id="35" w:name="def:def1"/>
      <w:bookmarkEnd w:id="35"/>
      <w:r>
        <w:rPr>
          <w:rStyle w:val="NameStyle"/>
        </w:rPr>
        <w:t xml:space="preserve">Definition 1.2 (Sequence)</w:t>
      </w:r>
      <w:r>
        <w:rPr>
          <w:rStyle w:val="NameStyle"/>
        </w:rPr>
        <w:t xml:space="preserve"> </w:t>
      </w:r>
    </w:p>
    <w:p>
      <w:pPr>
        <w:pStyle w:val="DefinitionStyle"/>
      </w:pPr>
      <w:r>
        <w:t xml:space="preserve">A sequence of real/complex numbers is a function</w:t>
      </w:r>
    </w:p>
    <w:p>
      <w:pPr>
        <w:pStyle w:val="DefinitionStyle"/>
      </w:pPr>
      <m:oMathPara>
        <m:oMathParaPr>
          <m:jc m:val="center"/>
        </m:oMathParaPr>
        <m:oMath>
          <m:m>
            <m:mPr>
              <m:baseJc m:val="center"/>
              <m:plcHide m:val="1"/>
              <m:mcs>
                <m:mc>
                  <m:mcPr>
                    <m:mcJc m:val="right"/>
                    <m:count m:val="1"/>
                  </m:mcPr>
                </m:mc>
                <m:mc>
                  <m:mcPr>
                    <m:mcJc m:val="left"/>
                    <m:count m:val="1"/>
                  </m:mcPr>
                </m:mc>
              </m:mcs>
            </m:mPr>
            <m:mr>
              <m:e>
                <m:r>
                  <m:t>a</m:t>
                </m:r>
                <m:r>
                  <m:rPr>
                    <m:sty m:val="p"/>
                  </m:rPr>
                  <m:t>:</m:t>
                </m:r>
                <m:r>
                  <m:t> </m:t>
                </m:r>
              </m:e>
              <m:e>
                <m:r>
                  <m:rPr>
                    <m:sty m:val="p"/>
                    <m:scr m:val="double-struck"/>
                  </m:rPr>
                  <m:t>N</m:t>
                </m:r>
                <m:r>
                  <m:rPr>
                    <m:sty m:val="p"/>
                  </m:rPr>
                  <m:t>→</m:t>
                </m:r>
                <m:r>
                  <m:t>X</m:t>
                </m:r>
                <m:r>
                  <m:rPr>
                    <m:sty m:val="p"/>
                  </m:rPr>
                  <m:t>,</m:t>
                </m:r>
              </m:e>
            </m:mr>
            <m:mr>
              <m:e/>
              <m:e>
                <m:r>
                  <m:t>n</m:t>
                </m:r>
                <m:r>
                  <m:rPr>
                    <m:sty m:val="p"/>
                  </m:rPr>
                  <m:t>↦</m:t>
                </m:r>
                <m:sSub>
                  <m:e>
                    <m:r>
                      <m:t>a</m:t>
                    </m:r>
                  </m:e>
                  <m:sub>
                    <m:r>
                      <m:t>n</m:t>
                    </m:r>
                  </m:sub>
                </m:sSub>
                <m:r>
                  <m:rPr>
                    <m:sty m:val="p"/>
                  </m:rPr>
                  <m:t>,</m:t>
                </m:r>
              </m:e>
            </m:mr>
          </m:m>
        </m:oMath>
      </m:oMathPara>
    </w:p>
    <w:p>
      <w:pPr>
        <w:pStyle w:val="DefinitionStyle"/>
      </w:pPr>
      <w:r>
        <w:t xml:space="preserve">where</w:t>
      </w:r>
      <w:r>
        <w:t xml:space="preserve"> </w:t>
      </w:r>
      <m:oMath>
        <m:r>
          <m:t>X</m:t>
        </m:r>
      </m:oMath>
      <w:r>
        <w:t xml:space="preserve"> </w:t>
      </w:r>
      <w:r>
        <w:t xml:space="preserve">is either</w:t>
      </w:r>
      <w:r>
        <w:t xml:space="preserve"> </w:t>
      </w:r>
      <m:oMath>
        <m:r>
          <m:rPr>
            <m:sty m:val="p"/>
            <m:scr m:val="double-struck"/>
          </m:rPr>
          <m:t>R</m:t>
        </m:r>
      </m:oMath>
      <w:r>
        <w:t xml:space="preserve"> </w:t>
      </w:r>
      <w:r>
        <w:t xml:space="preserve">or</w:t>
      </w:r>
      <w:r>
        <w:t xml:space="preserve"> </w:t>
      </w:r>
      <m:oMath>
        <m:r>
          <m:rPr>
            <m:sty m:val="p"/>
            <m:scr m:val="double-struck"/>
          </m:rPr>
          <m:t>C</m:t>
        </m:r>
      </m:oMath>
      <w:r>
        <w:t xml:space="preserve"> </w:t>
      </w:r>
      <w:r>
        <w:t xml:space="preserve">respectively.</w:t>
      </w:r>
    </w:p>
    <w:bookmarkEnd w:id="36"/>
    <w:p>
      <w:pPr>
        <w:pStyle w:val="BodyText"/>
      </w:pPr>
      <w:r>
        <w:t xml:space="preserve">Since this notation can get kind of annoying, we instead denote a sequence by</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If it’s clear from the context what set we’re indexing over, we can even just simply write a sequence as</w:t>
      </w:r>
      <w:r>
        <w:t xml:space="preserve"> </w:t>
      </w:r>
      <m:oMath>
        <m:sSub>
          <m:e>
            <m:d>
              <m:dPr>
                <m:begChr m:val="("/>
                <m:endChr m:val=")"/>
                <m:sepChr m:val=""/>
                <m:grow/>
              </m:dPr>
              <m:e>
                <m:sSub>
                  <m:e>
                    <m:r>
                      <m:t>a</m:t>
                    </m:r>
                  </m:e>
                  <m:sub>
                    <m:r>
                      <m:t>n</m:t>
                    </m:r>
                  </m:sub>
                </m:sSub>
              </m:e>
            </m:d>
          </m:e>
          <m:sub>
            <m:r>
              <m:t>n</m:t>
            </m:r>
          </m:sub>
        </m:sSub>
      </m:oMath>
      <w:r>
        <w:t xml:space="preserve">.</w:t>
      </w:r>
    </w:p>
    <w:p>
      <w:pPr>
        <w:pStyle w:val="BodyText"/>
      </w:pPr>
      <w:r>
        <w:t xml:space="preserve">Now, this gives us an infinitely long list of real numbers, and sometimes its interesting to look at the</w:t>
      </w:r>
      <w:r>
        <w:t xml:space="preserve"> </w:t>
      </w:r>
      <w:r>
        <w:t xml:space="preserve">‘</w:t>
      </w:r>
      <w:r>
        <w:t xml:space="preserve">long-term</w:t>
      </w:r>
      <w:r>
        <w:t xml:space="preserve">’</w:t>
      </w:r>
      <w:r>
        <w:t xml:space="preserve"> </w:t>
      </w:r>
      <w:r>
        <w:t xml:space="preserve">behaviour of these lists. This gives rise to the idea of convergence.</w:t>
      </w:r>
    </w:p>
    <w:p>
      <w:pPr>
        <w:pStyle w:val="BodyText"/>
      </w:pPr>
    </w:p>
    <w:bookmarkStart w:id="38" w:name="def:def2"/>
    <w:p>
      <w:pPr>
        <w:pStyle w:val="DefinitionStyle"/>
      </w:pPr>
      <w:bookmarkStart w:id="37" w:name="def:def2"/>
      <w:bookmarkEnd w:id="37"/>
      <w:r>
        <w:rPr>
          <w:rStyle w:val="NameStyle"/>
        </w:rPr>
        <w:t xml:space="preserve">Definition 1.3 (Sequence Convergence)</w:t>
      </w:r>
      <w:r>
        <w:rPr>
          <w:rStyle w:val="NameStyle"/>
        </w:rPr>
        <w:t xml:space="preserve"> </w:t>
      </w:r>
    </w:p>
    <w:p>
      <w:pPr>
        <w:pStyle w:val="DefinitionStyle"/>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converges to a real number</w:t>
      </w:r>
      <w:r>
        <w:t xml:space="preserve"> </w:t>
      </w:r>
      <m:oMath>
        <m:r>
          <m:t>L</m:t>
        </m:r>
      </m:oMath>
      <w:r>
        <w:t xml:space="preserve"> </w:t>
      </w:r>
      <w:r>
        <w:t xml:space="preserve">as</w:t>
      </w:r>
      <w:r>
        <w:t xml:space="preserve"> </w:t>
      </w:r>
      <m:oMath>
        <m:r>
          <m:t>n</m:t>
        </m:r>
        <m:r>
          <m:rPr>
            <m:sty m:val="p"/>
          </m:rPr>
          <m:t>→</m:t>
        </m:r>
        <m:r>
          <m:rPr>
            <m:sty m:val="p"/>
          </m:rPr>
          <m:t>∞</m:t>
        </m:r>
      </m:oMath>
      <w:r>
        <w:t xml:space="preserve">, written as either</w:t>
      </w:r>
      <w:r>
        <w:t xml:space="preserve"> </w:t>
      </w:r>
      <m:oMath>
        <m:sSub>
          <m:e>
            <m:r>
              <m:t>a</m:t>
            </m:r>
          </m:e>
          <m:sub>
            <m:r>
              <m:t>n</m:t>
            </m:r>
          </m:sub>
        </m:sSub>
        <m:r>
          <m:rPr>
            <m:sty m:val="p"/>
          </m:rPr>
          <m:t>→</m:t>
        </m:r>
        <m:r>
          <m:t>L</m:t>
        </m:r>
      </m:oMath>
      <w:r>
        <w:t xml:space="preserve">, or</w:t>
      </w:r>
      <w:r>
        <w:t xml:space="preserve"> </w:t>
      </w:r>
      <m:oMath>
        <m:sSub>
          <m:e>
            <m:r>
              <m:rPr>
                <m:nor/>
                <m:sty m:val="p"/>
              </m:rPr>
              <m:t>lim</m:t>
            </m:r>
          </m:e>
          <m:sub>
            <m:r>
              <m:t>n</m:t>
            </m:r>
            <m:r>
              <m:rPr>
                <m:sty m:val="p"/>
              </m:rPr>
              <m:t>→</m:t>
            </m:r>
            <m:r>
              <m:rPr>
                <m:sty m:val="p"/>
              </m:rPr>
              <m:t>∞</m:t>
            </m:r>
          </m:sub>
        </m:sSub>
        <m:sSub>
          <m:e>
            <m:r>
              <m:t>a</m:t>
            </m:r>
          </m:e>
          <m:sub>
            <m:r>
              <m:t>n</m:t>
            </m:r>
          </m:sub>
        </m:sSub>
        <m:r>
          <m:rPr>
            <m:sty m:val="p"/>
          </m:rPr>
          <m:t>=</m:t>
        </m:r>
        <m:r>
          <m:t>L</m:t>
        </m:r>
      </m:oMath>
      <w:r>
        <w:t xml:space="preserve"> </w:t>
      </w:r>
      <w:r>
        <w:t xml:space="preserve">if</w:t>
      </w:r>
    </w:p>
    <w:p>
      <w:pPr>
        <w:pStyle w:val="DefinitionStyle"/>
      </w:pPr>
      <m:oMathPara>
        <m:oMathParaPr>
          <m:jc m:val="center"/>
        </m:oMathParaPr>
        <m:oMath>
          <m:r>
            <m:rPr>
              <m:sty m:val="p"/>
            </m:rPr>
            <m:t>∀</m:t>
          </m:r>
          <m:r>
            <m:t>ϵ</m:t>
          </m:r>
          <m:r>
            <m:rPr>
              <m:sty m:val="p"/>
            </m:rPr>
            <m:t>&gt;</m:t>
          </m:r>
          <m:r>
            <m:t>0</m:t>
          </m:r>
          <m:r>
            <m:rPr>
              <m:sty m:val="p"/>
            </m:rPr>
            <m:t>,</m:t>
          </m:r>
          <m:r>
            <m:t> </m:t>
          </m:r>
          <m:r>
            <m:rPr>
              <m:sty m:val="p"/>
            </m:rPr>
            <m:t>∃</m:t>
          </m:r>
          <m:r>
            <m:t>N</m:t>
          </m:r>
          <m:r>
            <m:rPr>
              <m:sty m:val="p"/>
            </m:rPr>
            <m:t>=</m:t>
          </m:r>
          <m:r>
            <m:t>N</m:t>
          </m:r>
          <m:d>
            <m:dPr>
              <m:begChr m:val="("/>
              <m:endChr m:val=")"/>
              <m:sepChr m:val=""/>
              <m:grow/>
            </m:dPr>
            <m:e>
              <m:r>
                <m:t>ϵ</m:t>
              </m:r>
            </m:e>
          </m:d>
          <m:r>
            <m:rPr>
              <m:sty m:val="p"/>
            </m:rPr>
            <m:t>∈</m:t>
          </m:r>
          <m:r>
            <m:rPr>
              <m:sty m:val="p"/>
              <m:scr m:val="double-struck"/>
            </m:rPr>
            <m:t>N</m:t>
          </m:r>
          <m:r>
            <m:rPr>
              <m:sty m:val="p"/>
            </m:rPr>
            <m:t>,</m:t>
          </m:r>
          <m:r>
            <m:t> </m:t>
          </m:r>
          <m:r>
            <m:rPr>
              <m:nor/>
              <m:sty m:val="p"/>
            </m:rPr>
            <m:t>such that</m:t>
          </m:r>
          <m:r>
            <m:t> </m:t>
          </m:r>
          <m:r>
            <m:rPr>
              <m:sty m:val="p"/>
            </m:rPr>
            <m:t>∀</m:t>
          </m:r>
          <m:r>
            <m:t>n</m:t>
          </m:r>
          <m:r>
            <m:rPr>
              <m:sty m:val="p"/>
            </m:rPr>
            <m:t>≥</m:t>
          </m:r>
          <m:r>
            <m:t>N</m:t>
          </m:r>
          <m:r>
            <m:rPr>
              <m:sty m:val="p"/>
            </m:rPr>
            <m:t>,</m:t>
          </m:r>
          <m:r>
            <m:t> </m:t>
          </m:r>
          <m:r>
            <m:rPr>
              <m:sty m:val="p"/>
            </m:rPr>
            <m:t>|</m:t>
          </m:r>
          <m:sSub>
            <m:e>
              <m:r>
                <m:t>a</m:t>
              </m:r>
            </m:e>
            <m:sub>
              <m:r>
                <m:t>n</m:t>
              </m:r>
            </m:sub>
          </m:sSub>
          <m:r>
            <m:rPr>
              <m:sty m:val="p"/>
            </m:rPr>
            <m:t>−</m:t>
          </m:r>
          <m:r>
            <m:t>L</m:t>
          </m:r>
          <m:r>
            <m:rPr>
              <m:sty m:val="p"/>
            </m:rPr>
            <m:t>|</m:t>
          </m:r>
          <m:r>
            <m:rPr>
              <m:sty m:val="p"/>
            </m:rPr>
            <m:t>&lt;</m:t>
          </m:r>
          <m:r>
            <m:t>ϵ</m:t>
          </m:r>
          <m:r>
            <m:rPr>
              <m:sty m:val="p"/>
            </m:rPr>
            <m:t>.</m:t>
          </m:r>
        </m:oMath>
      </m:oMathPara>
    </w:p>
    <w:bookmarkEnd w:id="38"/>
    <w:p>
      <w:pPr>
        <w:pStyle w:val="FirstParagraph"/>
      </w:pPr>
      <w:r>
        <w:t xml:space="preserve">Loosely speaking, this says that no matter how close you want the sequence to get to</w:t>
      </w:r>
      <w:r>
        <w:t xml:space="preserve"> </w:t>
      </w:r>
      <m:oMath>
        <m:r>
          <m:t>L</m:t>
        </m:r>
      </m:oMath>
      <w:r>
        <w:t xml:space="preserve">, you will always be able to find some point in the sequence after which all points in the sequence will be as close to</w:t>
      </w:r>
      <w:r>
        <w:t xml:space="preserve"> </w:t>
      </w:r>
      <m:oMath>
        <m:r>
          <m:t>L</m:t>
        </m:r>
      </m:oMath>
      <w:r>
        <w:t xml:space="preserve"> </w:t>
      </w:r>
      <w:r>
        <w:t xml:space="preserve">as you wanted. For an example of this, have a look at this</w:t>
      </w:r>
      <w:r>
        <w:t xml:space="preserve"> </w:t>
      </w:r>
      <w:hyperlink r:id="rId39">
        <w:r>
          <w:rPr>
            <w:rStyle w:val="Hyperlink"/>
          </w:rPr>
          <w:t xml:space="preserve">Desmos link</w:t>
        </w:r>
      </w:hyperlink>
      <w:r>
        <w:t xml:space="preserve">. For</w:t>
      </w:r>
      <w:r>
        <w:t xml:space="preserve"> </w:t>
      </w:r>
      <m:oMath>
        <m:r>
          <m:t>ϵ</m:t>
        </m:r>
        <m:r>
          <m:rPr>
            <m:sty m:val="p"/>
          </m:rPr>
          <m:t>=</m:t>
        </m:r>
        <m:r>
          <m:t>0.5</m:t>
        </m:r>
      </m:oMath>
      <w:r>
        <w:t xml:space="preserve"> </w:t>
      </w:r>
      <w:r>
        <w:t xml:space="preserve">and</w:t>
      </w:r>
      <w:r>
        <w:t xml:space="preserve"> </w:t>
      </w:r>
      <m:oMath>
        <m:r>
          <m:t>L</m:t>
        </m:r>
        <m:r>
          <m:rPr>
            <m:sty m:val="p"/>
          </m:rPr>
          <m:t>=</m:t>
        </m:r>
        <m:r>
          <m:t>3</m:t>
        </m:r>
      </m:oMath>
      <w:r>
        <w:t xml:space="preserve">, you can see that every member of the sequence after the</w:t>
      </w:r>
      <w:r>
        <w:t xml:space="preserve"> </w:t>
      </w:r>
      <m:oMath>
        <m:sSup>
          <m:e>
            <m:r>
              <m:t>11</m:t>
            </m:r>
          </m:e>
          <m:sup>
            <m:r>
              <m:t>t</m:t>
            </m:r>
            <m:r>
              <m:t>h</m:t>
            </m:r>
          </m:sup>
        </m:sSup>
      </m:oMath>
      <w:r>
        <w:t xml:space="preserve"> </w:t>
      </w:r>
      <w:r>
        <w:t xml:space="preserve">lies within a strip of width</w:t>
      </w:r>
      <w:r>
        <w:t xml:space="preserve"> </w:t>
      </w:r>
      <m:oMath>
        <m:r>
          <m:t>2</m:t>
        </m:r>
        <m:r>
          <m:t>ϵ</m:t>
        </m:r>
      </m:oMath>
      <w:r>
        <w:t xml:space="preserve"> </w:t>
      </w:r>
      <w:r>
        <w:t xml:space="preserve">around</w:t>
      </w:r>
      <w:r>
        <w:t xml:space="preserve"> </w:t>
      </w:r>
      <m:oMath>
        <m:r>
          <m:t>L</m:t>
        </m:r>
      </m:oMath>
      <w:r>
        <w:t xml:space="preserve">. Have a go at messing with the value of</w:t>
      </w:r>
      <w:r>
        <w:t xml:space="preserve"> </w:t>
      </w:r>
      <m:oMath>
        <m:r>
          <m:t>ϵ</m:t>
        </m:r>
      </m:oMath>
      <w:r>
        <w:t xml:space="preserve">!</w:t>
      </w:r>
    </w:p>
    <w:p>
      <w:pPr>
        <w:pStyle w:val="BodyText"/>
      </w:pPr>
      <w:r>
        <w:t xml:space="preserve">Something else we can mention for the definition is its</w:t>
      </w:r>
      <w:r>
        <w:t xml:space="preserve"> </w:t>
      </w:r>
      <w:r>
        <w:rPr>
          <w:iCs/>
          <w:i/>
        </w:rPr>
        <w:t xml:space="preserve">negation</w:t>
      </w:r>
      <w:r>
        <w:t xml:space="preserve">. Specifically, a sequence</w:t>
      </w:r>
      <w:r>
        <w:t xml:space="preserve"> </w:t>
      </w:r>
      <m:oMath>
        <m:sSub>
          <m:e>
            <m:d>
              <m:dPr>
                <m:begChr m:val="("/>
                <m:endChr m:val=")"/>
                <m:sepChr m:val=""/>
                <m:grow/>
              </m:dPr>
              <m:e>
                <m:sSub>
                  <m:e>
                    <m:r>
                      <m:t>a</m:t>
                    </m:r>
                  </m:e>
                  <m:sub>
                    <m:r>
                      <m:t>n</m:t>
                    </m:r>
                  </m:sub>
                </m:sSub>
              </m:e>
            </m:d>
          </m:e>
          <m:sub>
            <m:r>
              <m:t>n</m:t>
            </m:r>
          </m:sub>
        </m:sSub>
      </m:oMath>
      <w:r>
        <w:t xml:space="preserve"> </w:t>
      </w:r>
      <w:r>
        <w:t xml:space="preserve">does not converge to</w:t>
      </w:r>
      <w:r>
        <w:t xml:space="preserve"> </w:t>
      </w:r>
      <m:oMath>
        <m:r>
          <m:t>L</m:t>
        </m:r>
      </m:oMath>
      <w:r>
        <w:t xml:space="preserve"> </w:t>
      </w:r>
      <w:r>
        <w:t xml:space="preserve">if</w:t>
      </w:r>
    </w:p>
    <w:p>
      <w:pPr>
        <w:pStyle w:val="BodyText"/>
      </w:pPr>
      <m:oMathPara>
        <m:oMathParaPr>
          <m:jc m:val="center"/>
        </m:oMathParaPr>
        <m:oMath>
          <m:m>
            <m:mPr>
              <m:baseJc m:val="center"/>
              <m:plcHide m:val="1"/>
              <m:mcs>
                <m:mc>
                  <m:mcPr>
                    <m:mcJc m:val="right"/>
                    <m:count m:val="1"/>
                  </m:mcPr>
                </m:mc>
              </m:mcs>
            </m:mPr>
            <m:mr>
              <m:e>
                <m:r>
                  <m:rPr>
                    <m:sty m:val="p"/>
                  </m:rPr>
                  <m:t>∃</m:t>
                </m:r>
                <m:r>
                  <m:t> </m:t>
                </m:r>
                <m:sSub>
                  <m:e>
                    <m:r>
                      <m:t>ϵ</m:t>
                    </m:r>
                  </m:e>
                  <m:sub>
                    <m:r>
                      <m:t>0</m:t>
                    </m:r>
                  </m:sub>
                </m:sSub>
                <m:r>
                  <m:rPr>
                    <m:sty m:val="p"/>
                  </m:rPr>
                  <m:t>&gt;</m:t>
                </m:r>
                <m:r>
                  <m:t>0</m:t>
                </m:r>
                <m:r>
                  <m:rPr>
                    <m:sty m:val="p"/>
                  </m:rPr>
                  <m:t>,</m:t>
                </m:r>
                <m:r>
                  <m:t> </m:t>
                </m:r>
                <m:r>
                  <m:rPr>
                    <m:nor/>
                    <m:sty m:val="p"/>
                  </m:rPr>
                  <m:t>such that</m:t>
                </m:r>
                <m:r>
                  <m:t> </m:t>
                </m:r>
                <m:r>
                  <m:rPr>
                    <m:sty m:val="p"/>
                  </m:rPr>
                  <m:t>∀</m:t>
                </m:r>
                <m:r>
                  <m:t>N</m:t>
                </m:r>
                <m:r>
                  <m:rPr>
                    <m:sty m:val="p"/>
                  </m:rPr>
                  <m:t>∈</m:t>
                </m:r>
                <m:r>
                  <m:rPr>
                    <m:sty m:val="p"/>
                    <m:scr m:val="double-struck"/>
                  </m:rPr>
                  <m:t>N</m:t>
                </m:r>
                <m:r>
                  <m:rPr>
                    <m:sty m:val="p"/>
                  </m:rPr>
                  <m:t>,</m:t>
                </m:r>
                <m:r>
                  <m:rPr>
                    <m:sty m:val="p"/>
                  </m:rPr>
                  <m:t>∃</m:t>
                </m:r>
                <m:r>
                  <m:t>n</m:t>
                </m:r>
                <m:r>
                  <m:rPr>
                    <m:sty m:val="p"/>
                  </m:rPr>
                  <m:t>≥</m:t>
                </m:r>
                <m:r>
                  <m:t>N</m:t>
                </m:r>
                <m:r>
                  <m:t> </m:t>
                </m:r>
                <m:r>
                  <m:rPr>
                    <m:nor/>
                    <m:sty m:val="p"/>
                  </m:rPr>
                  <m:t>such that</m:t>
                </m:r>
                <m:r>
                  <m:t> </m:t>
                </m:r>
                <m:r>
                  <m:rPr>
                    <m:sty m:val="p"/>
                  </m:rPr>
                  <m:t>|</m:t>
                </m:r>
                <m:sSub>
                  <m:e>
                    <m:r>
                      <m:t>a</m:t>
                    </m:r>
                  </m:e>
                  <m:sub>
                    <m:r>
                      <m:t>n</m:t>
                    </m:r>
                  </m:sub>
                </m:sSub>
                <m:r>
                  <m:rPr>
                    <m:sty m:val="p"/>
                  </m:rPr>
                  <m:t>−</m:t>
                </m:r>
                <m:r>
                  <m:t>L</m:t>
                </m:r>
                <m:r>
                  <m:rPr>
                    <m:sty m:val="p"/>
                  </m:rPr>
                  <m:t>|</m:t>
                </m:r>
                <m:r>
                  <m:rPr>
                    <m:sty m:val="p"/>
                  </m:rPr>
                  <m:t>≥</m:t>
                </m:r>
                <m:sSub>
                  <m:e>
                    <m:r>
                      <m:t>ϵ</m:t>
                    </m:r>
                  </m:e>
                  <m:sub>
                    <m:r>
                      <m:t>0</m:t>
                    </m:r>
                  </m:sub>
                </m:sSub>
                <m:r>
                  <m:rPr>
                    <m:sty m:val="p"/>
                  </m:rPr>
                  <m:t>.</m:t>
                </m:r>
              </m:e>
            </m:mr>
          </m:m>
        </m:oMath>
      </m:oMathPara>
    </w:p>
    <w:p>
      <w:pPr>
        <w:pStyle w:val="FirstParagraph"/>
      </w:pPr>
      <w:r>
        <w:t xml:space="preserve">We can say the exact same things for the convergence of complex sequences without much effort too. We just need to remember to change the distance from the absolute value to the modulus!</w:t>
      </w:r>
    </w:p>
    <w:bookmarkStart w:id="40" w:name="useful-sequences"/>
    <w:p>
      <w:pPr>
        <w:pStyle w:val="Heading3"/>
      </w:pPr>
      <w:r>
        <w:t xml:space="preserve">Useful Sequences</w:t>
      </w:r>
    </w:p>
    <w:p>
      <w:pPr>
        <w:pStyle w:val="FirstParagraph"/>
      </w:pPr>
      <w:r>
        <w:t xml:space="preserve">Since there’s no point in having a definition without using it, it’s a great idea to obtain some (straightforward) results:</w:t>
      </w:r>
    </w:p>
    <w:p>
      <w:pPr>
        <w:numPr>
          <w:ilvl w:val="0"/>
          <w:numId w:val="1003"/>
        </w:numPr>
        <w:pStyle w:val="Compact"/>
      </w:pPr>
      <w:r>
        <w:t xml:space="preserve">As</w:t>
      </w:r>
      <w:r>
        <w:t xml:space="preserve"> </w:t>
      </w:r>
      <m:oMath>
        <m:r>
          <m:t>n</m:t>
        </m:r>
        <m:r>
          <m:rPr>
            <m:sty m:val="p"/>
          </m:rPr>
          <m:t>→</m:t>
        </m:r>
        <m:r>
          <m:rPr>
            <m:sty m:val="p"/>
          </m:rPr>
          <m:t>∞</m:t>
        </m:r>
      </m:oMath>
      <w:r>
        <w:t xml:space="preserve">:</w:t>
      </w:r>
    </w:p>
    <w:p>
      <w:pPr>
        <w:pStyle w:val="Compact"/>
      </w:pPr>
      <m:oMathPara>
        <m:oMathParaPr>
          <m:jc m:val="center"/>
        </m:oMathParaPr>
        <m:oMath>
          <m:f>
            <m:fPr>
              <m:type m:val="bar"/>
            </m:fPr>
            <m:num>
              <m:r>
                <m:t>1</m:t>
              </m:r>
            </m:num>
            <m:den>
              <m:r>
                <m:t>n</m:t>
              </m:r>
            </m:den>
          </m:f>
          <m:r>
            <m:rPr>
              <m:sty m:val="p"/>
            </m:rPr>
            <m:t>→</m:t>
          </m:r>
          <m:r>
            <m:t>0</m:t>
          </m:r>
          <m:r>
            <m:rPr>
              <m:sty m:val="p"/>
            </m:rPr>
            <m:t>.</m:t>
          </m:r>
        </m:oMath>
      </m:oMathPara>
    </w:p>
    <w:p>
      <w:pPr>
        <w:numPr>
          <w:ilvl w:val="0"/>
          <w:numId w:val="1003"/>
        </w:numPr>
        <w:pStyle w:val="Compact"/>
      </w:pPr>
      <w:r>
        <w:t xml:space="preserve">For a real number</w:t>
      </w:r>
      <w:r>
        <w:t xml:space="preserve"> </w:t>
      </w:r>
      <m:oMath>
        <m:r>
          <m:t>c</m:t>
        </m:r>
      </m:oMath>
      <w:r>
        <w:t xml:space="preserve">: as</w:t>
      </w:r>
      <w:r>
        <w:t xml:space="preserve"> </w:t>
      </w:r>
      <m:oMath>
        <m:r>
          <m:t>n</m:t>
        </m:r>
        <m:r>
          <m:rPr>
            <m:sty m:val="p"/>
          </m:rPr>
          <m:t>→</m:t>
        </m:r>
        <m:r>
          <m:rPr>
            <m:sty m:val="p"/>
          </m:rPr>
          <m:t>∞</m:t>
        </m:r>
      </m:oMath>
      <w:r>
        <w:t xml:space="preserve">,</w:t>
      </w:r>
    </w:p>
    <w:p>
      <w:pPr>
        <w:pStyle w:val="Compact"/>
      </w:pPr>
      <m:oMathPara>
        <m:oMathParaPr>
          <m:jc m:val="center"/>
        </m:oMathParaPr>
        <m:oMath>
          <m:r>
            <m:t>c</m:t>
          </m:r>
          <m:r>
            <m:rPr>
              <m:sty m:val="p"/>
            </m:rPr>
            <m:t>→</m:t>
          </m:r>
          <m:r>
            <m:t>c</m:t>
          </m:r>
          <m:r>
            <m:rPr>
              <m:sty m:val="p"/>
            </m:rPr>
            <m:t>.</m:t>
          </m:r>
        </m:oMath>
      </m:oMathPara>
    </w:p>
    <w:p>
      <w:pPr>
        <w:numPr>
          <w:ilvl w:val="0"/>
          <w:numId w:val="1003"/>
        </w:numPr>
        <w:pStyle w:val="Compact"/>
      </w:pPr>
      <w:r>
        <w:t xml:space="preserve">For</w:t>
      </w:r>
      <w:r>
        <w:t xml:space="preserve"> </w:t>
      </w:r>
      <m:oMath>
        <m:r>
          <m:t>q</m:t>
        </m:r>
        <m:r>
          <m:rPr>
            <m:sty m:val="p"/>
          </m:rPr>
          <m:t>∈</m:t>
        </m:r>
        <m:r>
          <m:rPr>
            <m:sty m:val="p"/>
            <m:scr m:val="double-struck"/>
          </m:rPr>
          <m:t>R</m:t>
        </m:r>
      </m:oMath>
      <w:r>
        <w:t xml:space="preserve"> </w:t>
      </w:r>
      <w:r>
        <w:t xml:space="preserve">with</w:t>
      </w:r>
      <w:r>
        <w:t xml:space="preserve"> </w:t>
      </w:r>
      <m:oMath>
        <m:r>
          <m:rPr>
            <m:sty m:val="p"/>
          </m:rPr>
          <m:t>|</m:t>
        </m:r>
        <m:r>
          <m:t>q</m:t>
        </m:r>
        <m:r>
          <m:rPr>
            <m:sty m:val="p"/>
          </m:rPr>
          <m:t>|</m:t>
        </m:r>
        <m:r>
          <m:rPr>
            <m:sty m:val="p"/>
          </m:rPr>
          <m:t>&lt;</m:t>
        </m:r>
        <m:r>
          <m:t>1</m:t>
        </m:r>
      </m:oMath>
      <w:r>
        <w:t xml:space="preserve">: as</w:t>
      </w:r>
      <w:r>
        <w:t xml:space="preserve"> </w:t>
      </w:r>
      <m:oMath>
        <m:r>
          <m:t>n</m:t>
        </m:r>
        <m:r>
          <m:rPr>
            <m:sty m:val="p"/>
          </m:rPr>
          <m:t>→</m:t>
        </m:r>
        <m:r>
          <m:rPr>
            <m:sty m:val="p"/>
          </m:rPr>
          <m:t>∞</m:t>
        </m:r>
      </m:oMath>
    </w:p>
    <w:p>
      <w:pPr>
        <w:pStyle w:val="Compact"/>
      </w:pPr>
      <m:oMathPara>
        <m:oMathParaPr>
          <m:jc m:val="center"/>
        </m:oMathParaPr>
        <m:oMath>
          <m:sSup>
            <m:e>
              <m:r>
                <m:t>q</m:t>
              </m:r>
            </m:e>
            <m:sup>
              <m:r>
                <m:t>n</m:t>
              </m:r>
            </m:sup>
          </m:sSup>
          <m:r>
            <m:rPr>
              <m:sty m:val="p"/>
            </m:rPr>
            <m:t>→</m:t>
          </m:r>
          <m:r>
            <m:t>0</m:t>
          </m:r>
          <m:r>
            <m:rPr>
              <m:sty m:val="p"/>
            </m:rPr>
            <m:t>.</m:t>
          </m:r>
        </m:oMath>
      </m:oMathPara>
    </w:p>
    <w:bookmarkEnd w:id="40"/>
    <w:bookmarkEnd w:id="41"/>
    <w:bookmarkStart w:id="48" w:name="metric-spaces-non-examinable"/>
    <w:p>
      <w:pPr>
        <w:pStyle w:val="Heading2"/>
      </w:pPr>
      <w:r>
        <w:t xml:space="preserve">Metric Spaces (Non-examinable)</w:t>
      </w:r>
    </w:p>
    <w:p>
      <w:pPr>
        <w:pStyle w:val="FirstParagraph"/>
      </w:pPr>
      <w:r>
        <w:t xml:space="preserve">Have you noticed that both the absolute value on the real numbers and the modulus on the complex numbers behave suspiciously alike? They even have the same notation! This is because they’re both examples of</w:t>
      </w:r>
      <w:r>
        <w:t xml:space="preserve"> </w:t>
      </w:r>
      <w:r>
        <w:rPr>
          <w:iCs/>
          <w:i/>
        </w:rPr>
        <w:t xml:space="preserve">metrics</w:t>
      </w:r>
      <w:r>
        <w:t xml:space="preserve"> </w:t>
      </w:r>
      <w:r>
        <w:t xml:space="preserve">on a set:</w:t>
      </w:r>
    </w:p>
    <w:p>
      <w:pPr>
        <w:pStyle w:val="BodyText"/>
      </w:pPr>
    </w:p>
    <w:p>
      <w:pPr>
        <w:pStyle w:val="BodyText"/>
      </w:pPr>
      <w:bookmarkStart w:id="42" w:name="def:def3"/>
      <w:bookmarkEnd w:id="42"/>
      <w:r>
        <w:rPr>
          <w:rStyle w:val="NameStyle"/>
        </w:rPr>
        <w:t xml:space="preserve">Definition 1.4 (Metric Space)</w:t>
      </w:r>
      <w:r>
        <w:rPr>
          <w:rStyle w:val="NameStyle"/>
        </w:rPr>
        <w:t xml:space="preserve"> </w:t>
      </w:r>
    </w:p>
    <w:p>
      <w:pPr>
        <w:pStyle w:val="BodyText"/>
      </w:pPr>
      <w:r>
        <w:t xml:space="preserve">A metric space</w:t>
      </w:r>
      <w:r>
        <w:t xml:space="preserve"> </w:t>
      </w:r>
      <m:oMath>
        <m:d>
          <m:dPr>
            <m:begChr m:val="("/>
            <m:endChr m:val=")"/>
            <m:sepChr m:val=""/>
            <m:grow/>
          </m:dPr>
          <m:e>
            <m:r>
              <m:t>X</m:t>
            </m:r>
            <m:r>
              <m:rPr>
                <m:sty m:val="p"/>
              </m:rPr>
              <m:t>,</m:t>
            </m:r>
            <m:r>
              <m:t>d</m:t>
            </m:r>
          </m:e>
        </m:d>
      </m:oMath>
      <w:r>
        <w:t xml:space="preserve"> </w:t>
      </w:r>
      <w:r>
        <w:t xml:space="preserve">consists of a set</w:t>
      </w:r>
      <w:r>
        <w:t xml:space="preserve"> </w:t>
      </w:r>
      <m:oMath>
        <m:r>
          <m:t>X</m:t>
        </m:r>
      </m:oMath>
      <w:r>
        <w:t xml:space="preserve"> </w:t>
      </w:r>
      <w:r>
        <w:t xml:space="preserve">together with a function</w:t>
      </w:r>
      <w:r>
        <w:t xml:space="preserve"> </w:t>
      </w:r>
      <m:oMath>
        <m:r>
          <m:t>d</m:t>
        </m:r>
        <m:r>
          <m:rPr>
            <m:sty m:val="p"/>
          </m:rPr>
          <m:t>:</m:t>
        </m:r>
        <m:r>
          <m:t>X</m:t>
        </m:r>
        <m:r>
          <m:rPr>
            <m:sty m:val="p"/>
          </m:rPr>
          <m:t>×</m:t>
        </m:r>
        <m:r>
          <m:t>X</m:t>
        </m:r>
        <m:r>
          <m:rPr>
            <m:sty m:val="p"/>
          </m:rPr>
          <m:t>→</m:t>
        </m:r>
        <m:r>
          <m:rPr>
            <m:sty m:val="p"/>
            <m:scr m:val="double-struck"/>
          </m:rPr>
          <m:t>R</m:t>
        </m:r>
      </m:oMath>
      <w:r>
        <w:t xml:space="preserve"> </w:t>
      </w:r>
      <w:r>
        <w:t xml:space="preserve">satisfying</w:t>
      </w:r>
      <w:r>
        <w:t xml:space="preserve"> </w:t>
      </w:r>
      <m:oMath>
        <m:r>
          <m:rPr>
            <m:sty m:val="p"/>
          </m:rPr>
          <m:t>∀</m:t>
        </m:r>
        <m:r>
          <m:t>x</m:t>
        </m:r>
        <m:r>
          <m:rPr>
            <m:sty m:val="p"/>
          </m:rPr>
          <m:t>,</m:t>
        </m:r>
        <m:r>
          <m:t>y</m:t>
        </m:r>
        <m:r>
          <m:rPr>
            <m:sty m:val="p"/>
          </m:rPr>
          <m:t>,</m:t>
        </m:r>
        <m:r>
          <m:t>z</m:t>
        </m:r>
        <m:r>
          <m:rPr>
            <m:sty m:val="p"/>
          </m:rPr>
          <m:t>∈</m:t>
        </m:r>
        <m:r>
          <m:t>X</m:t>
        </m:r>
        <m:r>
          <m:rPr>
            <m:sty m:val="p"/>
          </m:rPr>
          <m:t>:</m:t>
        </m:r>
      </m:oMath>
    </w:p>
    <w:p>
      <w:pPr>
        <w:numPr>
          <w:ilvl w:val="0"/>
          <w:numId w:val="1004"/>
        </w:numPr>
        <w:pStyle w:val="Compact"/>
      </w:pPr>
      <w:r>
        <w:t xml:space="preserve">Non-negativity:</w:t>
      </w:r>
      <w:r>
        <w:t xml:space="preserve"> </w:t>
      </w:r>
      <m:oMath>
        <m:r>
          <m:t>d</m:t>
        </m:r>
        <m:d>
          <m:dPr>
            <m:begChr m:val="("/>
            <m:endChr m:val=")"/>
            <m:sepChr m:val=""/>
            <m:grow/>
          </m:dPr>
          <m:e>
            <m:r>
              <m:t>x</m:t>
            </m:r>
            <m:r>
              <m:rPr>
                <m:sty m:val="p"/>
              </m:rPr>
              <m:t>,</m:t>
            </m:r>
            <m:r>
              <m:t>y</m:t>
            </m:r>
          </m:e>
        </m:d>
        <m:r>
          <m:rPr>
            <m:sty m:val="p"/>
          </m:rPr>
          <m:t>≥</m:t>
        </m:r>
        <m:r>
          <m:t>0</m:t>
        </m:r>
        <m:r>
          <m:rPr>
            <m:sty m:val="p"/>
          </m:rPr>
          <m:t>,</m:t>
        </m:r>
      </m:oMath>
    </w:p>
    <w:p>
      <w:pPr>
        <w:numPr>
          <w:ilvl w:val="0"/>
          <w:numId w:val="1004"/>
        </w:numPr>
        <w:pStyle w:val="Compact"/>
      </w:pPr>
      <m:oMath>
        <m:r>
          <m:t>d</m:t>
        </m:r>
        <m:d>
          <m:dPr>
            <m:begChr m:val="("/>
            <m:endChr m:val=")"/>
            <m:sepChr m:val=""/>
            <m:grow/>
          </m:dPr>
          <m:e>
            <m:r>
              <m:t>x</m:t>
            </m:r>
            <m:r>
              <m:rPr>
                <m:sty m:val="p"/>
              </m:rPr>
              <m:t>,</m:t>
            </m:r>
            <m:r>
              <m:t>y</m:t>
            </m:r>
          </m:e>
        </m:d>
        <m:r>
          <m:rPr>
            <m:sty m:val="p"/>
          </m:rPr>
          <m:t>=</m:t>
        </m:r>
        <m:r>
          <m:t>0</m:t>
        </m:r>
        <m:r>
          <m:t> </m:t>
        </m:r>
        <m:r>
          <m:rPr>
            <m:sty m:val="p"/>
          </m:rPr>
          <m:t>⇔</m:t>
        </m:r>
        <m:r>
          <m:t>x</m:t>
        </m:r>
        <m:r>
          <m:rPr>
            <m:sty m:val="p"/>
          </m:rPr>
          <m:t>=</m:t>
        </m:r>
        <m:r>
          <m:t>y</m:t>
        </m:r>
        <m:r>
          <m:rPr>
            <m:sty m:val="p"/>
          </m:rPr>
          <m:t>,</m:t>
        </m:r>
      </m:oMath>
    </w:p>
    <w:p>
      <w:pPr>
        <w:numPr>
          <w:ilvl w:val="0"/>
          <w:numId w:val="1004"/>
        </w:numPr>
        <w:pStyle w:val="Compact"/>
      </w:pPr>
      <w:r>
        <w:t xml:space="preserve">Symmetry:</w:t>
      </w:r>
      <w:r>
        <w:t xml:space="preserve"> </w:t>
      </w:r>
      <m:oMath>
        <m:r>
          <m:t>d</m:t>
        </m:r>
        <m:d>
          <m:dPr>
            <m:begChr m:val="("/>
            <m:endChr m:val=")"/>
            <m:sepChr m:val=""/>
            <m:grow/>
          </m:dPr>
          <m:e>
            <m:r>
              <m:t>x</m:t>
            </m:r>
            <m:r>
              <m:rPr>
                <m:sty m:val="p"/>
              </m:rPr>
              <m:t>,</m:t>
            </m:r>
            <m:r>
              <m:t>y</m:t>
            </m:r>
          </m:e>
        </m:d>
        <m:r>
          <m:rPr>
            <m:sty m:val="p"/>
          </m:rPr>
          <m:t>=</m:t>
        </m:r>
        <m:r>
          <m:t>d</m:t>
        </m:r>
        <m:d>
          <m:dPr>
            <m:begChr m:val="("/>
            <m:endChr m:val=")"/>
            <m:sepChr m:val=""/>
            <m:grow/>
          </m:dPr>
          <m:e>
            <m:r>
              <m:t>y</m:t>
            </m:r>
            <m:r>
              <m:rPr>
                <m:sty m:val="p"/>
              </m:rPr>
              <m:t>,</m:t>
            </m:r>
            <m:r>
              <m:t>x</m:t>
            </m:r>
          </m:e>
        </m:d>
        <m:r>
          <m:rPr>
            <m:sty m:val="p"/>
          </m:rPr>
          <m:t>,</m:t>
        </m:r>
      </m:oMath>
    </w:p>
    <w:p>
      <w:pPr>
        <w:numPr>
          <w:ilvl w:val="0"/>
          <w:numId w:val="1004"/>
        </w:numPr>
        <w:pStyle w:val="Compact"/>
      </w:pPr>
      <w:r>
        <w:t xml:space="preserve">Triangle Inequality:</w:t>
      </w:r>
      <w:r>
        <w:t xml:space="preserve"> </w:t>
      </w:r>
      <m:oMath>
        <m:r>
          <m:t>d</m:t>
        </m:r>
        <m:d>
          <m:dPr>
            <m:begChr m:val="("/>
            <m:endChr m:val=")"/>
            <m:sepChr m:val=""/>
            <m:grow/>
          </m:dPr>
          <m:e>
            <m:r>
              <m:t>x</m:t>
            </m:r>
            <m:r>
              <m:rPr>
                <m:sty m:val="p"/>
              </m:rPr>
              <m:t>,</m:t>
            </m:r>
            <m:r>
              <m:t>z</m:t>
            </m:r>
          </m:e>
        </m:d>
        <m:r>
          <m:rPr>
            <m:sty m:val="p"/>
          </m:rPr>
          <m:t>≤</m:t>
        </m:r>
        <m:r>
          <m:t>d</m:t>
        </m:r>
        <m:d>
          <m:dPr>
            <m:begChr m:val="("/>
            <m:endChr m:val=")"/>
            <m:sepChr m:val=""/>
            <m:grow/>
          </m:dPr>
          <m:e>
            <m:r>
              <m:t>x</m:t>
            </m:r>
            <m:r>
              <m:rPr>
                <m:sty m:val="p"/>
              </m:rPr>
              <m:t>,</m:t>
            </m:r>
            <m:r>
              <m:t>y</m:t>
            </m:r>
          </m:e>
        </m:d>
        <m:r>
          <m:rPr>
            <m:sty m:val="p"/>
          </m:rPr>
          <m:t>+</m:t>
        </m:r>
        <m:r>
          <m:t>d</m:t>
        </m:r>
        <m:d>
          <m:dPr>
            <m:begChr m:val="("/>
            <m:endChr m:val=")"/>
            <m:sepChr m:val=""/>
            <m:grow/>
          </m:dPr>
          <m:e>
            <m:r>
              <m:t>y</m:t>
            </m:r>
            <m:r>
              <m:rPr>
                <m:sty m:val="p"/>
              </m:rPr>
              <m:t>,</m:t>
            </m:r>
            <m:r>
              <m:t>z</m:t>
            </m:r>
          </m:e>
        </m:d>
        <m:r>
          <m:rPr>
            <m:sty m:val="p"/>
          </m:rPr>
          <m:t>.</m:t>
        </m:r>
      </m:oMath>
    </w:p>
    <w:p>
      <w:pPr>
        <w:pStyle w:val="FirstParagraph"/>
      </w:pPr>
      <w:r>
        <w:t xml:space="preserve">As we’ve seen,</w:t>
      </w:r>
      <w:r>
        <w:t xml:space="preserve"> </w:t>
      </w:r>
      <m:oMath>
        <m:d>
          <m:dPr>
            <m:begChr m:val="("/>
            <m:endChr m:val=")"/>
            <m:sepChr m:val=""/>
            <m:grow/>
          </m:dPr>
          <m:e>
            <m:r>
              <m:rPr>
                <m:sty m:val="p"/>
                <m:scr m:val="double-struck"/>
              </m:rPr>
              <m:t>R</m:t>
            </m:r>
            <m:r>
              <m:rPr>
                <m:sty m:val="p"/>
              </m:rPr>
              <m:t>,</m:t>
            </m:r>
            <m:r>
              <m:rPr>
                <m:sty m:val="p"/>
              </m:rPr>
              <m:t>|</m:t>
            </m:r>
            <m:r>
              <m:rPr>
                <m:sty m:val="p"/>
              </m:rPr>
              <m:t>⋅</m:t>
            </m:r>
            <m:r>
              <m:rPr>
                <m:sty m:val="p"/>
              </m:rPr>
              <m:t>|</m:t>
            </m:r>
          </m:e>
        </m:d>
      </m:oMath>
      <w:r>
        <w:t xml:space="preserve"> </w:t>
      </w:r>
      <w:r>
        <w:t xml:space="preserve">and</w:t>
      </w:r>
      <w:r>
        <w:t xml:space="preserve"> </w:t>
      </w:r>
      <m:oMath>
        <m:d>
          <m:dPr>
            <m:begChr m:val="("/>
            <m:endChr m:val=")"/>
            <m:sepChr m:val=""/>
            <m:grow/>
          </m:dPr>
          <m:e>
            <m:r>
              <m:rPr>
                <m:sty m:val="p"/>
                <m:scr m:val="double-struck"/>
              </m:rPr>
              <m:t>C</m:t>
            </m:r>
            <m:r>
              <m:rPr>
                <m:sty m:val="p"/>
              </m:rPr>
              <m:t>,</m:t>
            </m:r>
            <m:r>
              <m:rPr>
                <m:sty m:val="p"/>
              </m:rPr>
              <m:t>|</m:t>
            </m:r>
            <m:r>
              <m:rPr>
                <m:sty m:val="p"/>
              </m:rPr>
              <m:t>⋅</m:t>
            </m:r>
            <m:r>
              <m:rPr>
                <m:sty m:val="p"/>
              </m:rPr>
              <m:t>|</m:t>
            </m:r>
          </m:e>
        </m:d>
      </m:oMath>
      <w:r>
        <w:t xml:space="preserve"> </w:t>
      </w:r>
      <w:r>
        <w:t xml:space="preserve">both define metric spaces. The existence of this definition suggests that we can define the distance between two members of a set in different ways! For example, thinking about the complex numbers</w:t>
      </w:r>
      <w:r>
        <w:t xml:space="preserve"> </w:t>
      </w:r>
      <m:oMath>
        <m:r>
          <m:t>X</m:t>
        </m:r>
        <m:r>
          <m:rPr>
            <m:sty m:val="p"/>
          </m:rPr>
          <m:t>=</m:t>
        </m:r>
        <m:r>
          <m:rPr>
            <m:sty m:val="p"/>
            <m:scr m:val="double-struck"/>
          </m:rPr>
          <m:t>C</m:t>
        </m:r>
        <m:r>
          <m:rPr>
            <m:sty m:val="p"/>
          </m:rPr>
          <m:t>,</m:t>
        </m:r>
      </m:oMath>
      <w:r>
        <w:t xml:space="preserve"> </w:t>
      </w:r>
      <w:r>
        <w:t xml:space="preserve">with complex numbers</w:t>
      </w:r>
      <w:r>
        <w:t xml:space="preserve"> </w:t>
      </w:r>
      <m:oMath>
        <m:sSub>
          <m:e>
            <m:r>
              <m:t>z</m:t>
            </m:r>
          </m:e>
          <m:sub>
            <m:r>
              <m:t>1</m:t>
            </m:r>
          </m:sub>
        </m:sSub>
        <m:r>
          <m:rPr>
            <m:sty m:val="p"/>
          </m:rPr>
          <m:t>=</m:t>
        </m:r>
        <m:sSub>
          <m:e>
            <m:r>
              <m:t>a</m:t>
            </m:r>
          </m:e>
          <m:sub>
            <m:r>
              <m:t>1</m:t>
            </m:r>
          </m:sub>
        </m:sSub>
        <m:r>
          <m:rPr>
            <m:sty m:val="p"/>
          </m:rPr>
          <m:t>+</m:t>
        </m:r>
        <m:r>
          <m:t>i</m:t>
        </m:r>
        <m:sSub>
          <m:e>
            <m:r>
              <m:t>b</m:t>
            </m:r>
          </m:e>
          <m:sub>
            <m:r>
              <m:t>1</m:t>
            </m:r>
          </m:sub>
        </m:sSub>
      </m:oMath>
      <w:r>
        <w:t xml:space="preserve"> </w:t>
      </w:r>
      <w:r>
        <w:t xml:space="preserve">and</w:t>
      </w:r>
      <w:r>
        <w:t xml:space="preserve"> </w:t>
      </w:r>
      <m:oMath>
        <m:sSub>
          <m:e>
            <m:r>
              <m:t>z</m:t>
            </m:r>
          </m:e>
          <m:sub>
            <m:r>
              <m:t>2</m:t>
            </m:r>
          </m:sub>
        </m:sSub>
        <m:r>
          <m:rPr>
            <m:sty m:val="p"/>
          </m:rPr>
          <m:t>=</m:t>
        </m:r>
        <m:sSub>
          <m:e>
            <m:r>
              <m:t>a</m:t>
            </m:r>
          </m:e>
          <m:sub>
            <m:r>
              <m:t>2</m:t>
            </m:r>
          </m:sub>
        </m:sSub>
        <m:r>
          <m:rPr>
            <m:sty m:val="p"/>
          </m:rPr>
          <m:t>+</m:t>
        </m:r>
        <m:r>
          <m:t>i</m:t>
        </m:r>
        <m:sSub>
          <m:e>
            <m:r>
              <m:t>b</m:t>
            </m:r>
          </m:e>
          <m:sub>
            <m:r>
              <m:t>2</m:t>
            </m:r>
          </m:sub>
        </m:sSub>
        <m:r>
          <m:rPr>
            <m:sty m:val="p"/>
          </m:rPr>
          <m:t>,</m:t>
        </m:r>
      </m:oMath>
      <w:r>
        <w:t xml:space="preserve"> </w:t>
      </w:r>
      <w:r>
        <w:t xml:space="preserve">we could instead look at:</w:t>
      </w:r>
    </w:p>
    <w:p>
      <w:pPr>
        <w:numPr>
          <w:ilvl w:val="0"/>
          <w:numId w:val="1005"/>
        </w:numPr>
        <w:pStyle w:val="Compact"/>
      </w:pPr>
      <w:r>
        <w:t xml:space="preserve">The discrete metric</w:t>
      </w:r>
    </w:p>
    <w:p>
      <w:pPr>
        <w:pStyle w:val="Compact"/>
      </w:pPr>
      <m:oMathPara>
        <m:oMathParaPr>
          <m:jc m:val="center"/>
        </m:oMathParaPr>
        <m:oMath>
          <m:r>
            <m:t>d</m:t>
          </m:r>
          <m:d>
            <m:dPr>
              <m:begChr m:val="("/>
              <m:endChr m:val=")"/>
              <m:sepChr m:val=""/>
              <m:grow/>
            </m:dPr>
            <m:e>
              <m:sSub>
                <m:e>
                  <m:r>
                    <m:t>z</m:t>
                  </m:r>
                </m:e>
                <m:sub>
                  <m:r>
                    <m:t>1</m:t>
                  </m:r>
                </m:sub>
              </m:sSub>
              <m:r>
                <m:rPr>
                  <m:sty m:val="p"/>
                </m:rPr>
                <m:t>,</m:t>
              </m:r>
              <m:sSub>
                <m:e>
                  <m:r>
                    <m:t>z</m:t>
                  </m:r>
                </m:e>
                <m:sub>
                  <m:r>
                    <m:t>2</m:t>
                  </m:r>
                </m:sub>
              </m:sSub>
            </m:e>
          </m:d>
          <m:r>
            <m:rPr>
              <m:sty m:val="p"/>
            </m:rPr>
            <m:t>=</m:t>
          </m:r>
          <m:d>
            <m:dPr>
              <m:begChr m:val="{"/>
              <m:endChr m:val=""/>
              <m:sepChr m:val=""/>
              <m:grow/>
            </m:dPr>
            <m:e>
              <m:m>
                <m:mPr>
                  <m:baseJc m:val="center"/>
                  <m:plcHide m:val="1"/>
                  <m:mcs>
                    <m:mc>
                      <m:mcPr>
                        <m:mcJc m:val="left"/>
                        <m:count m:val="1"/>
                      </m:mcPr>
                    </m:mc>
                  </m:mcs>
                </m:mPr>
                <m:mr>
                  <m:e>
                    <m:r>
                      <m:t>1</m:t>
                    </m:r>
                    <m:r>
                      <m:t> </m:t>
                    </m:r>
                    <m:r>
                      <m:rPr>
                        <m:nor/>
                        <m:sty m:val="p"/>
                      </m:rPr>
                      <m:t>if </m:t>
                    </m:r>
                    <m:sSub>
                      <m:e>
                        <m:r>
                          <m:t>z</m:t>
                        </m:r>
                      </m:e>
                      <m:sub>
                        <m:r>
                          <m:t>1</m:t>
                        </m:r>
                      </m:sub>
                    </m:sSub>
                    <m:r>
                      <m:rPr>
                        <m:sty m:val="p"/>
                      </m:rPr>
                      <m:t>=</m:t>
                    </m:r>
                    <m:sSub>
                      <m:e>
                        <m:r>
                          <m:t>z</m:t>
                        </m:r>
                      </m:e>
                      <m:sub>
                        <m:r>
                          <m:t>2</m:t>
                        </m:r>
                      </m:sub>
                    </m:sSub>
                    <m:r>
                      <m:rPr>
                        <m:sty m:val="p"/>
                      </m:rPr>
                      <m:t>,</m:t>
                    </m:r>
                  </m:e>
                </m:mr>
                <m:mr>
                  <m:e>
                    <m:r>
                      <m:t>0</m:t>
                    </m:r>
                    <m:r>
                      <m:t> </m:t>
                    </m:r>
                    <m:r>
                      <m:rPr>
                        <m:nor/>
                        <m:sty m:val="p"/>
                      </m:rPr>
                      <m:t>otherwise</m:t>
                    </m:r>
                  </m:e>
                </m:mr>
              </m:m>
            </m:e>
          </m:d>
        </m:oMath>
      </m:oMathPara>
    </w:p>
    <w:p>
      <w:pPr>
        <w:numPr>
          <w:ilvl w:val="0"/>
          <w:numId w:val="1005"/>
        </w:numPr>
        <w:pStyle w:val="Compact"/>
      </w:pPr>
      <w:r>
        <w:t xml:space="preserve">The</w:t>
      </w:r>
      <w:r>
        <w:t xml:space="preserve"> </w:t>
      </w:r>
      <m:oMath>
        <m:r>
          <m:t>p</m:t>
        </m:r>
      </m:oMath>
      <w:r>
        <w:t xml:space="preserve">-norm:</w:t>
      </w:r>
    </w:p>
    <w:p>
      <w:pPr>
        <w:pStyle w:val="Compact"/>
      </w:pPr>
      <m:oMathPara>
        <m:oMathParaPr>
          <m:jc m:val="center"/>
        </m:oMathParaPr>
        <m:oMath>
          <m:r>
            <m:t>d</m:t>
          </m:r>
          <m:d>
            <m:dPr>
              <m:begChr m:val="("/>
              <m:endChr m:val=")"/>
              <m:sepChr m:val=""/>
              <m:grow/>
            </m:dPr>
            <m:e>
              <m:sSub>
                <m:e>
                  <m:r>
                    <m:t>z</m:t>
                  </m:r>
                </m:e>
                <m:sub>
                  <m:r>
                    <m:t>1</m:t>
                  </m:r>
                </m:sub>
              </m:sSub>
              <m:r>
                <m:rPr>
                  <m:sty m:val="p"/>
                </m:rPr>
                <m:t>,</m:t>
              </m:r>
              <m:sSub>
                <m:e>
                  <m:r>
                    <m:t>z</m:t>
                  </m:r>
                </m:e>
                <m:sub>
                  <m:r>
                    <m:t>2</m:t>
                  </m:r>
                </m:sub>
              </m:sSub>
            </m:e>
          </m:d>
          <m:r>
            <m:rPr>
              <m:sty m:val="p"/>
            </m:rPr>
            <m:t>=</m:t>
          </m:r>
          <m:sSup>
            <m:e>
              <m:d>
                <m:dPr>
                  <m:begChr m:val="("/>
                  <m:endChr m:val=")"/>
                  <m:sepChr m:val=""/>
                  <m:grow/>
                </m:dPr>
                <m:e>
                  <m:r>
                    <m:rPr>
                      <m:sty m:val="p"/>
                    </m:rPr>
                    <m:t>|</m:t>
                  </m:r>
                  <m:sSub>
                    <m:e>
                      <m:r>
                        <m:t>a</m:t>
                      </m:r>
                    </m:e>
                    <m:sub>
                      <m:r>
                        <m:t>1</m:t>
                      </m:r>
                    </m:sub>
                  </m:sSub>
                  <m:r>
                    <m:rPr>
                      <m:sty m:val="p"/>
                    </m:rPr>
                    <m:t>−</m:t>
                  </m:r>
                  <m:sSub>
                    <m:e>
                      <m:r>
                        <m:t>a</m:t>
                      </m:r>
                    </m:e>
                    <m:sub>
                      <m:r>
                        <m:t>2</m:t>
                      </m:r>
                    </m:sub>
                  </m:sSub>
                  <m:sSup>
                    <m:e>
                      <m:r>
                        <m:rPr>
                          <m:sty m:val="p"/>
                        </m:rPr>
                        <m:t>|</m:t>
                      </m:r>
                    </m:e>
                    <m:sup>
                      <m:r>
                        <m:t>p</m:t>
                      </m:r>
                    </m:sup>
                  </m:sSup>
                  <m:r>
                    <m:rPr>
                      <m:sty m:val="p"/>
                    </m:rPr>
                    <m:t>+</m:t>
                  </m:r>
                  <m:r>
                    <m:rPr>
                      <m:sty m:val="p"/>
                    </m:rPr>
                    <m:t>|</m:t>
                  </m:r>
                  <m:sSub>
                    <m:e>
                      <m:r>
                        <m:t>b</m:t>
                      </m:r>
                    </m:e>
                    <m:sub>
                      <m:r>
                        <m:t>1</m:t>
                      </m:r>
                    </m:sub>
                  </m:sSub>
                  <m:r>
                    <m:rPr>
                      <m:sty m:val="p"/>
                    </m:rPr>
                    <m:t>−</m:t>
                  </m:r>
                  <m:sSub>
                    <m:e>
                      <m:r>
                        <m:t>b</m:t>
                      </m:r>
                    </m:e>
                    <m:sub>
                      <m:r>
                        <m:t>2</m:t>
                      </m:r>
                    </m:sub>
                  </m:sSub>
                  <m:sSup>
                    <m:e>
                      <m:r>
                        <m:rPr>
                          <m:sty m:val="p"/>
                        </m:rPr>
                        <m:t>|</m:t>
                      </m:r>
                    </m:e>
                    <m:sup>
                      <m:r>
                        <m:t>p</m:t>
                      </m:r>
                    </m:sup>
                  </m:sSup>
                </m:e>
              </m:d>
            </m:e>
            <m:sup>
              <m:r>
                <m:t>1</m:t>
              </m:r>
              <m:r>
                <m:rPr>
                  <m:sty m:val="p"/>
                </m:rPr>
                <m:t>/</m:t>
              </m:r>
              <m:r>
                <m:t>p</m:t>
              </m:r>
            </m:sup>
          </m:sSup>
          <m:r>
            <m:rPr>
              <m:sty m:val="p"/>
            </m:rPr>
            <m:t>,</m:t>
          </m:r>
          <m:r>
            <m:t> </m:t>
          </m:r>
          <m:r>
            <m:t> </m:t>
          </m:r>
          <m:r>
            <m:t>1</m:t>
          </m:r>
          <m:r>
            <m:rPr>
              <m:sty m:val="p"/>
            </m:rPr>
            <m:t>≤</m:t>
          </m:r>
          <m:r>
            <m:t>p</m:t>
          </m:r>
          <m:r>
            <m:rPr>
              <m:sty m:val="p"/>
            </m:rPr>
            <m:t>&lt;</m:t>
          </m:r>
          <m:r>
            <m:rPr>
              <m:sty m:val="p"/>
            </m:rPr>
            <m:t>∞</m:t>
          </m:r>
          <m:r>
            <m:rPr>
              <m:sty m:val="p"/>
            </m:rPr>
            <m:t>.</m:t>
          </m:r>
        </m:oMath>
      </m:oMathPara>
    </w:p>
    <w:p>
      <w:pPr>
        <w:numPr>
          <w:ilvl w:val="0"/>
          <w:numId w:val="1005"/>
        </w:numPr>
        <w:pStyle w:val="Compact"/>
      </w:pPr>
      <w:r>
        <w:t xml:space="preserve">The</w:t>
      </w:r>
      <w:r>
        <w:t xml:space="preserve"> </w:t>
      </w:r>
      <m:oMath>
        <m:r>
          <m:rPr>
            <m:sty m:val="p"/>
          </m:rPr>
          <m:t>∞</m:t>
        </m:r>
      </m:oMath>
      <w:r>
        <w:t xml:space="preserve">-norm:</w:t>
      </w:r>
    </w:p>
    <w:p>
      <w:pPr>
        <w:pStyle w:val="Compact"/>
      </w:pPr>
      <m:oMathPara>
        <m:oMathParaPr>
          <m:jc m:val="center"/>
        </m:oMathParaPr>
        <m:oMath>
          <m:r>
            <m:t>d</m:t>
          </m:r>
          <m:d>
            <m:dPr>
              <m:begChr m:val="("/>
              <m:endChr m:val=")"/>
              <m:sepChr m:val=""/>
              <m:grow/>
            </m:dPr>
            <m:e>
              <m:sSub>
                <m:e>
                  <m:r>
                    <m:t>z</m:t>
                  </m:r>
                </m:e>
                <m:sub>
                  <m:r>
                    <m:t>1</m:t>
                  </m:r>
                </m:sub>
              </m:sSub>
              <m:r>
                <m:rPr>
                  <m:sty m:val="p"/>
                </m:rPr>
                <m:t>,</m:t>
              </m:r>
              <m:sSub>
                <m:e>
                  <m:r>
                    <m:t>z</m:t>
                  </m:r>
                </m:e>
                <m:sub>
                  <m:r>
                    <m:t>2</m:t>
                  </m:r>
                </m:sub>
              </m:sSub>
            </m:e>
          </m:d>
          <m:r>
            <m:rPr>
              <m:sty m:val="p"/>
            </m:rPr>
            <m:t>=</m:t>
          </m:r>
          <m:r>
            <m:rPr>
              <m:nor/>
              <m:sty m:val="p"/>
            </m:rPr>
            <m:t>max</m:t>
          </m:r>
          <m:d>
            <m:dPr>
              <m:begChr m:val="{"/>
              <m:endChr m:val="}"/>
              <m:sepChr m:val=""/>
              <m:grow/>
            </m:dPr>
            <m:e>
              <m:r>
                <m:rPr>
                  <m:sty m:val="p"/>
                </m:rPr>
                <m:t>|</m:t>
              </m:r>
              <m:sSub>
                <m:e>
                  <m:r>
                    <m:t>a</m:t>
                  </m:r>
                </m:e>
                <m:sub>
                  <m:r>
                    <m:t>1</m:t>
                  </m:r>
                </m:sub>
              </m:sSub>
              <m:r>
                <m:rPr>
                  <m:sty m:val="p"/>
                </m:rPr>
                <m:t>−</m:t>
              </m:r>
              <m:sSub>
                <m:e>
                  <m:r>
                    <m:t>a</m:t>
                  </m:r>
                </m:e>
                <m:sub>
                  <m:r>
                    <m:t>2</m:t>
                  </m:r>
                </m:sub>
              </m:sSub>
              <m:r>
                <m:rPr>
                  <m:sty m:val="p"/>
                </m:rPr>
                <m:t>|</m:t>
              </m:r>
              <m:r>
                <m:rPr>
                  <m:sty m:val="p"/>
                </m:rPr>
                <m:t>,</m:t>
              </m:r>
              <m:r>
                <m:rPr>
                  <m:sty m:val="p"/>
                </m:rPr>
                <m:t>|</m:t>
              </m:r>
              <m:sSub>
                <m:e>
                  <m:r>
                    <m:t>b</m:t>
                  </m:r>
                </m:e>
                <m:sub>
                  <m:r>
                    <m:t>1</m:t>
                  </m:r>
                </m:sub>
              </m:sSub>
              <m:r>
                <m:rPr>
                  <m:sty m:val="p"/>
                </m:rPr>
                <m:t>−</m:t>
              </m:r>
              <m:sSub>
                <m:e>
                  <m:r>
                    <m:t>b</m:t>
                  </m:r>
                </m:e>
                <m:sub>
                  <m:r>
                    <m:t>2</m:t>
                  </m:r>
                </m:sub>
              </m:sSub>
              <m:r>
                <m:rPr>
                  <m:sty m:val="p"/>
                </m:rPr>
                <m:t>|</m:t>
              </m:r>
            </m:e>
          </m:d>
          <m:r>
            <m:rPr>
              <m:sty m:val="p"/>
            </m:rPr>
            <m:t>.</m:t>
          </m:r>
        </m:oMath>
      </m:oMathPara>
    </w:p>
    <w:p>
      <w:pPr>
        <w:pStyle w:val="FirstParagraph"/>
      </w:pPr>
      <w:r>
        <w:t xml:space="preserve">These last two are called norms because they satisfy some additional properties, but don’t worry about these until next year! It’s an interesting thing to look at what the unit circle looks like under the</w:t>
      </w:r>
      <w:r>
        <w:t xml:space="preserve"> </w:t>
      </w:r>
      <m:oMath>
        <m:r>
          <m:t>1</m:t>
        </m:r>
      </m:oMath>
      <w:r>
        <w:t xml:space="preserve">-norm (blue),</w:t>
      </w:r>
      <w:r>
        <w:t xml:space="preserve"> </w:t>
      </w:r>
      <m:oMath>
        <m:r>
          <m:t>2</m:t>
        </m:r>
      </m:oMath>
      <w:r>
        <w:t xml:space="preserve">-norm (red) and</w:t>
      </w:r>
      <w:r>
        <w:t xml:space="preserve"> </w:t>
      </w:r>
      <m:oMath>
        <m:r>
          <m:rPr>
            <m:sty m:val="p"/>
          </m:rPr>
          <m:t>∞</m:t>
        </m:r>
      </m:oMath>
      <w:r>
        <w:t xml:space="preserve">-norm (green). The complex numbers used here are</w:t>
      </w:r>
      <w:r>
        <w:t xml:space="preserve"> </w:t>
      </w:r>
      <m:oMath>
        <m:sSub>
          <m:e>
            <m:r>
              <m:t>z</m:t>
            </m:r>
          </m:e>
          <m:sub>
            <m:r>
              <m:t>1</m:t>
            </m:r>
          </m:sub>
        </m:sSub>
        <m:r>
          <m:rPr>
            <m:sty m:val="p"/>
          </m:rPr>
          <m:t>=</m:t>
        </m:r>
        <m:r>
          <m:t>x</m:t>
        </m:r>
        <m:r>
          <m:rPr>
            <m:sty m:val="p"/>
          </m:rPr>
          <m:t>+</m:t>
        </m:r>
        <m:r>
          <m:t>i</m:t>
        </m:r>
        <m:r>
          <m:t>y</m:t>
        </m:r>
      </m:oMath>
      <w:r>
        <w:t xml:space="preserve"> </w:t>
      </w:r>
      <w:r>
        <w:t xml:space="preserve">and</w:t>
      </w:r>
      <w:r>
        <w:t xml:space="preserve"> </w:t>
      </w:r>
      <m:oMath>
        <m:sSub>
          <m:e>
            <m:r>
              <m:t>z</m:t>
            </m:r>
          </m:e>
          <m:sub>
            <m:r>
              <m:t>2</m:t>
            </m:r>
          </m:sub>
        </m:sSub>
      </m:oMath>
      <w:r>
        <w:t xml:space="preserve">=0:</w:t>
      </w:r>
    </w:p>
    <w:p>
      <w:pPr>
        <w:pStyle w:val="BodyText"/>
      </w:pPr>
      <w:r>
        <w:drawing>
          <wp:inline>
            <wp:extent cx="5943600" cy="5943600"/>
            <wp:effectExtent b="0" l="0" r="0" t="0"/>
            <wp:docPr descr="" title="" id="1" name="Picture"/>
            <a:graphic>
              <a:graphicData uri="http://schemas.openxmlformats.org/drawingml/2006/picture">
                <pic:pic>
                  <pic:nvPicPr>
                    <pic:cNvPr descr="unitcircle.png" id="0"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We can even look at defining distances on other sets. For example, consider the set</w:t>
      </w:r>
      <w:r>
        <w:t xml:space="preserve"> </w:t>
      </w:r>
      <m:oMath>
        <m:r>
          <m:t>X</m:t>
        </m:r>
        <m:r>
          <m:rPr>
            <m:sty m:val="p"/>
          </m:rPr>
          <m:t>=</m:t>
        </m:r>
        <m:sSup>
          <m:e>
            <m:r>
              <m:t>C</m:t>
            </m:r>
          </m:e>
          <m:sup>
            <m:r>
              <m:t>0</m:t>
            </m:r>
          </m:sup>
        </m:sSup>
        <m:d>
          <m:dPr>
            <m:begChr m:val="("/>
            <m:endChr m:val=")"/>
            <m:sepChr m:val=""/>
            <m:grow/>
          </m:dPr>
          <m:e>
            <m:d>
              <m:dPr>
                <m:begChr m:val="["/>
                <m:endChr m:val="]"/>
                <m:sepChr m:val=""/>
                <m:grow/>
              </m:dPr>
              <m:e>
                <m:r>
                  <m:t>a</m:t>
                </m:r>
                <m:r>
                  <m:rPr>
                    <m:sty m:val="p"/>
                  </m:rPr>
                  <m:t>,</m:t>
                </m:r>
                <m:r>
                  <m:t>b</m:t>
                </m:r>
              </m:e>
            </m:d>
          </m:e>
        </m:d>
      </m:oMath>
      <w:r>
        <w:t xml:space="preserve">, which is the set of all continuous functions</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r>
          <m:rPr>
            <m:sty m:val="p"/>
          </m:rPr>
          <m:t>.</m:t>
        </m:r>
      </m:oMath>
      <w:r>
        <w:rPr>
          <w:rStyle w:val="FootnoteReference"/>
        </w:rPr>
        <w:footnoteReference w:id="44"/>
      </w:r>
      <w:r>
        <w:t xml:space="preserve"> </w:t>
      </w:r>
      <w:r>
        <w:t xml:space="preserve">One way we can define the distance between two functions</w:t>
      </w:r>
      <w:r>
        <w:t xml:space="preserve"> </w:t>
      </w:r>
      <m:oMath>
        <m:r>
          <m:t>f</m:t>
        </m:r>
      </m:oMath>
      <w:r>
        <w:t xml:space="preserve"> </w:t>
      </w:r>
      <w:r>
        <w:t xml:space="preserve">and</w:t>
      </w:r>
      <w:r>
        <w:t xml:space="preserve"> </w:t>
      </w:r>
      <m:oMath>
        <m:r>
          <m:t>g</m:t>
        </m:r>
      </m:oMath>
      <w:r>
        <w:t xml:space="preserve"> </w:t>
      </w:r>
      <w:r>
        <w:t xml:space="preserve">is to consider evaluating them at all members of the domain, and finding what the maximum deviation between the two are. This gives rise to a metric</w:t>
      </w:r>
      <w:r>
        <w:t xml:space="preserve"> </w:t>
      </w:r>
      <m:oMath>
        <m:r>
          <m:t>d</m:t>
        </m:r>
        <m:r>
          <m:rPr>
            <m:sty m:val="p"/>
          </m:rPr>
          <m:t>:</m:t>
        </m:r>
        <m:r>
          <m:t>X</m:t>
        </m:r>
        <m:r>
          <m:rPr>
            <m:sty m:val="p"/>
          </m:rPr>
          <m:t>×</m:t>
        </m:r>
        <m:r>
          <m:t>X</m:t>
        </m:r>
        <m:r>
          <m:rPr>
            <m:sty m:val="p"/>
          </m:rPr>
          <m:t>→</m:t>
        </m:r>
        <m:r>
          <m:rPr>
            <m:sty m:val="p"/>
            <m:scr m:val="double-struck"/>
          </m:rPr>
          <m:t>R</m:t>
        </m:r>
        <m:r>
          <m:rPr>
            <m:sty m:val="p"/>
          </m:rPr>
          <m:t>,</m:t>
        </m:r>
      </m:oMath>
      <w:r>
        <w:t xml:space="preserve"> </w:t>
      </w:r>
      <w:r>
        <w:t xml:space="preserve">namely</w:t>
      </w:r>
    </w:p>
    <w:p>
      <w:pPr>
        <w:pStyle w:val="BodyText"/>
      </w:pPr>
      <m:oMathPara>
        <m:oMathParaPr>
          <m:jc m:val="center"/>
        </m:oMathParaPr>
        <m:oMath>
          <m:r>
            <m:t>d</m:t>
          </m:r>
          <m:d>
            <m:dPr>
              <m:begChr m:val="("/>
              <m:endChr m:val=")"/>
              <m:sepChr m:val=""/>
              <m:grow/>
            </m:dPr>
            <m:e>
              <m:r>
                <m:t>f</m:t>
              </m:r>
              <m:r>
                <m:rPr>
                  <m:sty m:val="p"/>
                </m:rPr>
                <m:t>,</m:t>
              </m:r>
              <m:r>
                <m:t>g</m:t>
              </m:r>
            </m:e>
          </m:d>
          <m:box>
            <m:boxPr>
              <m:opEmu m:val="1"/>
            </m:boxPr>
            <m:e>
              <m:r>
                <m:rPr>
                  <m:sty m:val="p"/>
                </m:rPr>
                <m:t>:=</m:t>
              </m:r>
            </m:e>
          </m:box>
          <m:limLow>
            <m:e>
              <m:r>
                <m:rPr>
                  <m:nor/>
                  <m:sty m:val="p"/>
                </m:rPr>
                <m:t>max</m:t>
              </m:r>
            </m:e>
            <m:lim>
              <m:r>
                <m:t>x</m:t>
              </m:r>
              <m:r>
                <m:rPr>
                  <m:sty m:val="p"/>
                </m:rPr>
                <m:t>∈</m:t>
              </m:r>
              <m:d>
                <m:dPr>
                  <m:begChr m:val="["/>
                  <m:endChr m:val="]"/>
                  <m:sepChr m:val=""/>
                  <m:grow/>
                </m:dPr>
                <m:e>
                  <m:r>
                    <m:t>a</m:t>
                  </m:r>
                  <m:r>
                    <m:rPr>
                      <m:sty m:val="p"/>
                    </m:rPr>
                    <m:t>,</m:t>
                  </m:r>
                  <m:r>
                    <m:t>b</m:t>
                  </m:r>
                </m:e>
              </m:d>
            </m:lim>
          </m:limLow>
          <m:r>
            <m:rPr>
              <m:sty m:val="p"/>
            </m:rPr>
            <m:t>|</m:t>
          </m:r>
          <m:r>
            <m:t>f</m:t>
          </m:r>
          <m:d>
            <m:dPr>
              <m:begChr m:val="("/>
              <m:endChr m:val=")"/>
              <m:sepChr m:val=""/>
              <m:grow/>
            </m:dPr>
            <m:e>
              <m:r>
                <m:t>x</m:t>
              </m:r>
            </m:e>
          </m:d>
          <m:r>
            <m:rPr>
              <m:sty m:val="p"/>
            </m:rPr>
            <m:t>−</m:t>
          </m:r>
          <m:r>
            <m:t>g</m:t>
          </m:r>
          <m:d>
            <m:dPr>
              <m:begChr m:val="("/>
              <m:endChr m:val=")"/>
              <m:sepChr m:val=""/>
              <m:grow/>
            </m:dPr>
            <m:e>
              <m:r>
                <m:t>x</m:t>
              </m:r>
            </m:e>
          </m:d>
          <m:r>
            <m:rPr>
              <m:sty m:val="p"/>
            </m:rPr>
            <m:t>|</m:t>
          </m:r>
          <m:r>
            <m:rPr>
              <m:sty m:val="p"/>
            </m:rPr>
            <m:t>.</m:t>
          </m:r>
        </m:oMath>
      </m:oMathPara>
    </w:p>
    <w:p>
      <w:pPr>
        <w:pStyle w:val="FirstParagraph"/>
      </w:pPr>
      <w:r>
        <w:t xml:space="preserve">Have a go at proving that this is a metric!</w:t>
      </w:r>
    </w:p>
    <w:bookmarkStart w:id="47" w:name="convergence"/>
    <w:p>
      <w:pPr>
        <w:pStyle w:val="Heading3"/>
      </w:pPr>
      <w:r>
        <w:t xml:space="preserve">Convergence</w:t>
      </w:r>
    </w:p>
    <w:p>
      <w:pPr>
        <w:pStyle w:val="FirstParagraph"/>
      </w:pPr>
      <w:r>
        <w:t xml:space="preserve">In a similar way, have you noticed that the definitions of convergence for a real/complex sequence are pretty much identical? Again, this is because we can generalise the definition of convergence to metric spaces!</w:t>
      </w:r>
    </w:p>
    <w:p>
      <w:pPr>
        <w:pStyle w:val="BodyText"/>
      </w:pPr>
    </w:p>
    <w:bookmarkStart w:id="46" w:name="def:def4"/>
    <w:p>
      <w:pPr>
        <w:pStyle w:val="DefinitionStyle"/>
      </w:pPr>
      <w:bookmarkStart w:id="45" w:name="def:def4"/>
      <w:bookmarkEnd w:id="45"/>
      <w:r>
        <w:rPr>
          <w:rStyle w:val="NameStyle"/>
        </w:rPr>
        <w:t xml:space="preserve">Definition 1.5 (Convergence)</w:t>
      </w:r>
      <w:r>
        <w:rPr>
          <w:rStyle w:val="NameStyle"/>
        </w:rPr>
        <w:t xml:space="preserve"> </w:t>
      </w:r>
    </w:p>
    <w:p>
      <w:pPr>
        <w:pStyle w:val="DefinitionStyle"/>
      </w:pPr>
      <w:r>
        <w:t xml:space="preserve">Let</w:t>
      </w:r>
      <w:r>
        <w:t xml:space="preserve"> </w:t>
      </w:r>
      <m:oMath>
        <m:d>
          <m:dPr>
            <m:begChr m:val="("/>
            <m:endChr m:val=")"/>
            <m:sepChr m:val=""/>
            <m:grow/>
          </m:dPr>
          <m:e>
            <m:r>
              <m:t>X</m:t>
            </m:r>
            <m:r>
              <m:rPr>
                <m:sty m:val="p"/>
              </m:rPr>
              <m:t>,</m:t>
            </m:r>
            <m:r>
              <m:t>d</m:t>
            </m:r>
          </m:e>
        </m:d>
      </m:oMath>
      <w:r>
        <w:t xml:space="preserve"> </w:t>
      </w:r>
      <w:r>
        <w:t xml:space="preserve">be a metric space, let</w:t>
      </w:r>
      <w:r>
        <w:t xml:space="preserve"> </w:t>
      </w:r>
      <m:oMath>
        <m:r>
          <m:t>a</m:t>
        </m:r>
        <m:r>
          <m:rPr>
            <m:sty m:val="p"/>
          </m:rPr>
          <m:t>∈</m:t>
        </m:r>
        <m:r>
          <m:t>X</m:t>
        </m:r>
      </m:oMath>
      <w:r>
        <w:t xml:space="preserve"> </w:t>
      </w:r>
      <w:r>
        <w:t xml:space="preserve">and 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sequence in</w:t>
      </w:r>
      <w:r>
        <w:t xml:space="preserve"> </w:t>
      </w:r>
      <m:oMath>
        <m:r>
          <m:t>X</m:t>
        </m:r>
      </m:oMath>
      <w:r>
        <w:t xml:space="preserve">. Then</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converges to</w:t>
      </w:r>
      <w:r>
        <w:t xml:space="preserve"> </w:t>
      </w:r>
      <m:oMath>
        <m:r>
          <m:t>a</m:t>
        </m:r>
      </m:oMath>
      <w:r>
        <w:t xml:space="preserve"> </w:t>
      </w:r>
      <w:r>
        <w:t xml:space="preserve">if</w:t>
      </w:r>
    </w:p>
    <w:p>
      <w:pPr>
        <w:pStyle w:val="DefinitionStyle"/>
      </w:pPr>
      <m:oMathPara>
        <m:oMathParaPr>
          <m:jc m:val="center"/>
        </m:oMathParaPr>
        <m:oMath>
          <m:r>
            <m:rPr>
              <m:sty m:val="p"/>
            </m:rPr>
            <m:t>∀</m:t>
          </m:r>
          <m:r>
            <m:t>ϵ</m:t>
          </m:r>
          <m:r>
            <m:rPr>
              <m:sty m:val="p"/>
            </m:rPr>
            <m:t>&gt;</m:t>
          </m:r>
          <m:r>
            <m:t>0</m:t>
          </m:r>
          <m:r>
            <m:rPr>
              <m:sty m:val="p"/>
            </m:rPr>
            <m:t>,</m:t>
          </m:r>
          <m:r>
            <m:t> </m:t>
          </m:r>
          <m:r>
            <m:rPr>
              <m:sty m:val="p"/>
            </m:rPr>
            <m:t>∃</m:t>
          </m:r>
          <m:r>
            <m:t>N</m:t>
          </m:r>
          <m:r>
            <m:rPr>
              <m:sty m:val="p"/>
            </m:rPr>
            <m:t>=</m:t>
          </m:r>
          <m:r>
            <m:t>N</m:t>
          </m:r>
          <m:d>
            <m:dPr>
              <m:begChr m:val="("/>
              <m:endChr m:val=")"/>
              <m:sepChr m:val=""/>
              <m:grow/>
            </m:dPr>
            <m:e>
              <m:r>
                <m:t>ϵ</m:t>
              </m:r>
            </m:e>
          </m:d>
          <m:r>
            <m:rPr>
              <m:sty m:val="p"/>
            </m:rPr>
            <m:t>∈</m:t>
          </m:r>
          <m:r>
            <m:rPr>
              <m:sty m:val="p"/>
              <m:scr m:val="double-struck"/>
            </m:rPr>
            <m:t>N</m:t>
          </m:r>
          <m:r>
            <m:rPr>
              <m:sty m:val="p"/>
            </m:rPr>
            <m:t>,</m:t>
          </m:r>
          <m:r>
            <m:t> </m:t>
          </m:r>
          <m:r>
            <m:rPr>
              <m:nor/>
              <m:sty m:val="p"/>
            </m:rPr>
            <m:t>such that</m:t>
          </m:r>
          <m:r>
            <m:t> </m:t>
          </m:r>
          <m:r>
            <m:rPr>
              <m:sty m:val="p"/>
            </m:rPr>
            <m:t>∀</m:t>
          </m:r>
          <m:r>
            <m:t>n</m:t>
          </m:r>
          <m:r>
            <m:rPr>
              <m:sty m:val="p"/>
            </m:rPr>
            <m:t>≥</m:t>
          </m:r>
          <m:r>
            <m:t>N</m:t>
          </m:r>
          <m:r>
            <m:rPr>
              <m:sty m:val="p"/>
            </m:rPr>
            <m:t>,</m:t>
          </m:r>
          <m:r>
            <m:t> </m:t>
          </m:r>
          <m:r>
            <m:t>d</m:t>
          </m:r>
          <m:d>
            <m:dPr>
              <m:begChr m:val="("/>
              <m:endChr m:val=")"/>
              <m:sepChr m:val=""/>
              <m:grow/>
            </m:dPr>
            <m:e>
              <m:sSub>
                <m:e>
                  <m:r>
                    <m:t>a</m:t>
                  </m:r>
                </m:e>
                <m:sub>
                  <m:r>
                    <m:t>n</m:t>
                  </m:r>
                </m:sub>
              </m:sSub>
              <m:r>
                <m:rPr>
                  <m:sty m:val="p"/>
                </m:rPr>
                <m:t>,</m:t>
              </m:r>
              <m:r>
                <m:t>a</m:t>
              </m:r>
            </m:e>
          </m:d>
          <m:r>
            <m:rPr>
              <m:sty m:val="p"/>
            </m:rPr>
            <m:t>&lt;</m:t>
          </m:r>
          <m:r>
            <m:t>ϵ</m:t>
          </m:r>
          <m:r>
            <m:rPr>
              <m:sty m:val="p"/>
            </m:rPr>
            <m:t>.</m:t>
          </m:r>
        </m:oMath>
      </m:oMathPara>
    </w:p>
    <w:bookmarkEnd w:id="46"/>
    <w:p>
      <w:pPr>
        <w:pStyle w:val="FirstParagraph"/>
      </w:pPr>
      <w:r>
        <w:t xml:space="preserve">This is a huge generalisation of Definition</w:t>
      </w:r>
      <w:r>
        <w:t xml:space="preserve"> </w:t>
      </w:r>
      <w:r>
        <w:t xml:space="preserve">1.3</w:t>
      </w:r>
      <w:r>
        <w:t xml:space="preserve">, and you’ll meet it properly in Analysis 2A next year!</w:t>
      </w:r>
    </w:p>
    <w:bookmarkEnd w:id="47"/>
    <w:bookmarkEnd w:id="48"/>
    <w:bookmarkEnd w:id="49"/>
    <w:bookmarkStart w:id="50" w:name="hints"/>
    <w:p>
      <w:pPr>
        <w:pStyle w:val="Heading1"/>
      </w:pPr>
      <w:r>
        <w:t xml:space="preserve">Hints</w:t>
      </w:r>
    </w:p>
    <w:p>
      <w:pPr>
        <w:pStyle w:val="FirstParagraph"/>
      </w:pPr>
      <w:r>
        <w:t xml:space="preserve">As per usual, here’s where you’ll find the problem sheet hints!</w:t>
      </w:r>
    </w:p>
    <w:p>
      <w:pPr>
        <w:numPr>
          <w:ilvl w:val="0"/>
          <w:numId w:val="1006"/>
        </w:numPr>
        <w:pStyle w:val="Compact"/>
      </w:pPr>
      <w:r>
        <w:t xml:space="preserve">Use the definition! Try and follow a similar format to what we did in tutorials. Make sure to write things logically, and ensure that you’ve satisfied each part of the definition.</w:t>
      </w:r>
    </w:p>
    <w:p>
      <w:pPr>
        <w:numPr>
          <w:ilvl w:val="0"/>
          <w:numId w:val="1006"/>
        </w:numPr>
        <w:pStyle w:val="Compact"/>
      </w:pPr>
      <w:r>
        <w:t xml:space="preserve">Again, this is an exercise in using the definition of convergence.</w:t>
      </w:r>
    </w:p>
    <w:p>
      <w:pPr>
        <w:numPr>
          <w:ilvl w:val="0"/>
          <w:numId w:val="1006"/>
        </w:numPr>
        <w:pStyle w:val="Compact"/>
      </w:pPr>
      <w:r>
        <w:t xml:space="preserve">Without loss of generality, assume that</w:t>
      </w:r>
      <w:r>
        <w:t xml:space="preserve"> </w:t>
      </w:r>
      <m:oMath>
        <m:r>
          <m:rPr>
            <m:sty m:val="p"/>
          </m:rPr>
          <m:t>|</m:t>
        </m:r>
        <m:sSub>
          <m:e>
            <m:r>
              <m:t>z</m:t>
            </m:r>
          </m:e>
          <m:sub>
            <m:r>
              <m:t>1</m:t>
            </m:r>
          </m:sub>
        </m:sSub>
        <m:r>
          <m:rPr>
            <m:sty m:val="p"/>
          </m:rPr>
          <m:t>|</m:t>
        </m:r>
        <m:r>
          <m:rPr>
            <m:sty m:val="p"/>
          </m:rPr>
          <m:t>≥</m:t>
        </m:r>
        <m:r>
          <m:rPr>
            <m:sty m:val="p"/>
          </m:rPr>
          <m:t>|</m:t>
        </m:r>
        <m:sSub>
          <m:e>
            <m:r>
              <m:t>z</m:t>
            </m:r>
          </m:e>
          <m:sub>
            <m:r>
              <m:t>2</m:t>
            </m:r>
          </m:sub>
        </m:sSub>
        <m:r>
          <m:rPr>
            <m:sty m:val="p"/>
          </m:rPr>
          <m:t>|</m:t>
        </m:r>
        <m:r>
          <m:rPr>
            <m:sty m:val="p"/>
          </m:rPr>
          <m:t>.</m:t>
        </m:r>
      </m:oMath>
      <w:r>
        <w:t xml:space="preserve"> </w:t>
      </w:r>
      <w:r>
        <w:t xml:space="preserve">The advice here is that if you ever get stuck in Analysis, either add</w:t>
      </w:r>
      <w:r>
        <w:t xml:space="preserve"> </w:t>
      </w:r>
      <m:oMath>
        <m:r>
          <m:t>0</m:t>
        </m:r>
      </m:oMath>
      <w:r>
        <w:t xml:space="preserve">, or multiply by</w:t>
      </w:r>
      <w:r>
        <w:t xml:space="preserve"> </w:t>
      </w:r>
      <m:oMath>
        <m:r>
          <m:t>1</m:t>
        </m:r>
      </m:oMath>
      <w:r>
        <w:t xml:space="preserve"> </w:t>
      </w:r>
      <w:r>
        <w:t xml:space="preserve">in a clever way. Try and do one of these tricks to allow you to apply the triangle inequality.</w:t>
      </w:r>
    </w:p>
    <w:p>
      <w:pPr>
        <w:numPr>
          <w:ilvl w:val="0"/>
          <w:numId w:val="1006"/>
        </w:numPr>
        <w:pStyle w:val="Compact"/>
      </w:pPr>
    </w:p>
    <w:p>
      <w:pPr>
        <w:numPr>
          <w:ilvl w:val="1"/>
          <w:numId w:val="1007"/>
        </w:numPr>
        <w:pStyle w:val="Compact"/>
      </w:pPr>
      <w:r>
        <w:t xml:space="preserve">This is an</w:t>
      </w:r>
      <w:r>
        <w:t xml:space="preserve"> </w:t>
      </w:r>
      <w:r>
        <w:rPr>
          <w:iCs/>
          <w:i/>
        </w:rPr>
        <w:t xml:space="preserve">if and only if</w:t>
      </w:r>
      <w:r>
        <w:t xml:space="preserve"> </w:t>
      </w:r>
      <w:r>
        <w:t xml:space="preserve">statement, so there are two things to prove! Try and manipulate the definition of convergence for one side of the</w:t>
      </w:r>
      <w:r>
        <w:t xml:space="preserve"> </w:t>
      </w:r>
      <m:oMath>
        <m:r>
          <m:rPr>
            <m:sty m:val="p"/>
          </m:rPr>
          <m:t>⇔</m:t>
        </m:r>
      </m:oMath>
      <w:r>
        <w:t xml:space="preserve"> </w:t>
      </w:r>
      <w:r>
        <w:t xml:space="preserve">statement to resemble the other.</w:t>
      </w:r>
    </w:p>
    <w:p>
      <w:pPr>
        <w:numPr>
          <w:ilvl w:val="1"/>
          <w:numId w:val="1007"/>
        </w:numPr>
        <w:pStyle w:val="Compact"/>
      </w:pPr>
      <w:r>
        <w:t xml:space="preserve">Recall what it means for a complex number to be in modulus-argument form.</w:t>
      </w:r>
    </w:p>
    <w:p>
      <w:pPr>
        <w:numPr>
          <w:ilvl w:val="1"/>
          <w:numId w:val="1007"/>
        </w:numPr>
        <w:pStyle w:val="Compact"/>
      </w:pPr>
      <w:r>
        <w:t xml:space="preserve">Definition again, and follow the hint on the sheet.</w:t>
      </w:r>
    </w:p>
    <w:p>
      <w:pPr>
        <w:numPr>
          <w:ilvl w:val="1"/>
          <w:numId w:val="1007"/>
        </w:numPr>
        <w:pStyle w:val="Compact"/>
      </w:pPr>
      <w:r>
        <w:t xml:space="preserve">I’ll leave this to you! Think simple!</w:t>
      </w:r>
    </w:p>
    <w:p>
      <w:pPr>
        <w:numPr>
          <w:ilvl w:val="0"/>
          <w:numId w:val="1006"/>
        </w:numPr>
        <w:pStyle w:val="Compact"/>
      </w:pPr>
      <w:r>
        <w:t xml:space="preserve">For a) and b), De Moivre’s Theorem will come in handy! For c), when bounding, remember that if you make a denominator smaller, the whole fraction will get bigger.</w:t>
      </w:r>
    </w:p>
    <w:bookmarkEnd w:id="5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We could even spend the entire semester studying complex analysis instead of real analysis, but that adds a whole other layer of — for want of a better word — complexity. Having two dimensions to deal with instead of one causes a whole raft of issues!</w:t>
      </w:r>
    </w:p>
  </w:footnote>
  <w:footnote w:id="31">
    <w:p>
      <w:pPr>
        <w:pStyle w:val="FootnoteText"/>
      </w:pPr>
      <w:r>
        <w:rPr>
          <w:rStyle w:val="FootnoteReference"/>
        </w:rPr>
        <w:footnoteRef/>
      </w:r>
      <w:r>
        <w:t xml:space="preserve"> </w:t>
      </w:r>
      <w:r>
        <w:t xml:space="preserve">The more technical term is that the modulus defines a</w:t>
      </w:r>
      <w:r>
        <w:t xml:space="preserve"> </w:t>
      </w:r>
      <w:r>
        <w:rPr>
          <w:iCs/>
          <w:i/>
        </w:rPr>
        <w:t xml:space="preserve">metric</w:t>
      </w:r>
      <w:r>
        <w:t xml:space="preserve"> </w:t>
      </w:r>
      <w:r>
        <w:t xml:space="preserve">on</w:t>
      </w:r>
      <w:r>
        <w:t xml:space="preserve"> </w:t>
      </w:r>
      <m:oMath>
        <m:r>
          <m:rPr>
            <m:sty m:val="p"/>
            <m:scr m:val="double-struck"/>
          </m:rPr>
          <m:t>C</m:t>
        </m:r>
        <m:r>
          <m:rPr>
            <m:sty m:val="p"/>
          </m:rPr>
          <m:t>.</m:t>
        </m:r>
      </m:oMath>
      <w:r>
        <w:t xml:space="preserve"> </w:t>
      </w:r>
      <w:r>
        <w:t xml:space="preserve">You’ll see more of this next year, but if you’re interested, see the section on metrics in this document!</w:t>
      </w:r>
    </w:p>
  </w:footnote>
  <w:footnote w:id="44">
    <w:p>
      <w:pPr>
        <w:pStyle w:val="FootnoteText"/>
      </w:pPr>
      <w:r>
        <w:rPr>
          <w:rStyle w:val="FootnoteReference"/>
        </w:rPr>
        <w:footnoteRef/>
      </w:r>
      <w:r>
        <w:t xml:space="preserve"> </w:t>
      </w:r>
      <w:r>
        <w:t xml:space="preserve">For the time being, think of these functions as ones that you can draw without lifting your pen off the page.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21" Target="http://caj50.github.io/tutoring.html" TargetMode="External" /><Relationship Type="http://schemas.openxmlformats.org/officeDocument/2006/relationships/hyperlink" Id="rId39" Target="https://www.desmos.com/calculator/dfkjgg0wzj"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39" Target="https://www.desmos.com/calculator/dfkjgg0wzj"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4</dc:title>
  <dc:creator>Christian Jones: University of Bath</dc:creator>
  <cp:keywords/>
  <dcterms:created xsi:type="dcterms:W3CDTF">2023-10-25T11:34:33Z</dcterms:created>
  <dcterms:modified xsi:type="dcterms:W3CDTF">2023-10-25T11:34:33Z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