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Examples</w:t>
      </w:r>
      <w:r>
        <w:t xml:space="preserve"> </w:t>
      </w:r>
      <w:r>
        <w:t xml:space="preserve">—</w:t>
      </w:r>
      <w:r>
        <w:t xml:space="preserve"> </w:t>
      </w:r>
      <w:r>
        <w:t xml:space="preserve">Limits</w:t>
      </w:r>
      <w:r>
        <w:t xml:space="preserve"> </w:t>
      </w:r>
      <w:r>
        <w:t xml:space="preserve">Inferior</w:t>
      </w:r>
      <w:r>
        <w:t xml:space="preserve"> </w:t>
      </w:r>
      <w:r>
        <w:t xml:space="preserve">and</w:t>
      </w:r>
      <w:r>
        <w:t xml:space="preserve"> </w:t>
      </w:r>
      <w:r>
        <w:t xml:space="preserve">Superior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this document, you’ll find three different examples of finding the limit superior (</w:t>
      </w:r>
      <m:oMath>
        <m:r>
          <m:rPr>
            <m:nor/>
            <m:sty m:val="p"/>
          </m:rPr>
          <m:t>limsup</m:t>
        </m:r>
      </m:oMath>
      <w:r>
        <w:t xml:space="preserve">) and limit inferior (</w:t>
      </w:r>
      <m:oMath>
        <m:r>
          <m:rPr>
            <m:nor/>
            <m:sty m:val="p"/>
          </m:rPr>
          <m:t>liminf</m:t>
        </m:r>
      </m:oMath>
      <w:r>
        <w:t xml:space="preserve">) of a sequence, with different methods used in each case.</w:t>
      </w:r>
    </w:p>
    <w:bookmarkStart w:id="23" w:name="example-1"/>
    <w:p>
      <w:pPr>
        <w:pStyle w:val="Heading2"/>
      </w:pPr>
      <w:r>
        <w:t xml:space="preserve">Example 1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note that we can rewrite each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Splitting into odd and even cases,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even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odd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 that for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. Also note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 decreasing sequence 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an increasing sequence [Try showing these!] Moreover,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so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is bounded.</w:t>
      </w:r>
    </w:p>
    <w:p>
      <w:pPr>
        <w:pStyle w:val="BodyText"/>
      </w:pPr>
      <w:r>
        <w:t xml:space="preserve">Now,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even elements are non-negative.)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increasing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Similarly, fixing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odd elements are non-positive.)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decreasing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sequence definition)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inf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In case you’re interested, the first 100 terms of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looks like this:</w:t>
      </w:r>
    </w:p>
    <w:p>
      <w:pPr>
        <w:pStyle w:val="BodyText"/>
      </w:pPr>
      <w:r>
        <w:drawing>
          <wp:inline>
            <wp:extent cx="3836643" cy="3478556"/>
            <wp:effectExtent b="0" l="0" r="0" t="0"/>
            <wp:docPr descr="" title="Sequence plot for Example 1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example-2"/>
    <w:p>
      <w:pPr>
        <w:pStyle w:val="Heading2"/>
      </w:pPr>
      <w:r>
        <w:t xml:space="preserve">Example 2</w:t>
      </w:r>
    </w:p>
    <w:p>
      <w:pPr>
        <w:pStyle w:val="FirstParagraph"/>
      </w:pPr>
    </w:p>
    <w:bookmarkStart w:id="25" w:name="exm:ex2"/>
    <w:p>
      <w:pPr>
        <w:pStyle w:val="ExampleStyle"/>
      </w:pPr>
      <w:bookmarkStart w:id="24" w:name="exm:ex2"/>
      <w:bookmarkEnd w:id="24"/>
      <w:r>
        <w:rPr>
          <w:rStyle w:val="NameStyle"/>
        </w:rPr>
        <w:t xml:space="preserve">Example 2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5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First, note that for any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But this time, we find that both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are decreasing sequences! In this case, the argument used in Example</w:t>
      </w:r>
      <w:r>
        <w:t xml:space="preserve"> </w:t>
      </w:r>
      <w:r>
        <w:t xml:space="preserve">1</w:t>
      </w:r>
      <w:r>
        <w:t xml:space="preserve"> </w:t>
      </w:r>
      <w:r>
        <w:t xml:space="preserve">will only work 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Try using that argument to show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</m:oMath>
      <w:r>
        <w:t xml:space="preserve">, we have to look towards the start of the sequence. To this end,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n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the odd elements are 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(because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decreasing sequence)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k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In both cases,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3</m:t>
        </m:r>
      </m:oMath>
      <w:r>
        <w:t xml:space="preserve">, so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6"/>
    <w:bookmarkStart w:id="29" w:name="example-3"/>
    <w:p>
      <w:pPr>
        <w:pStyle w:val="Heading2"/>
      </w:pPr>
      <w:r>
        <w:t xml:space="preserve">Example 3</w:t>
      </w:r>
    </w:p>
    <w:p>
      <w:pPr>
        <w:pStyle w:val="FirstParagraph"/>
      </w:pPr>
    </w:p>
    <w:bookmarkStart w:id="28" w:name="exm:ex3"/>
    <w:p>
      <w:pPr>
        <w:pStyle w:val="ExampleStyle"/>
      </w:pPr>
      <w:bookmarkStart w:id="27" w:name="exm:ex3"/>
      <w:bookmarkEnd w:id="27"/>
      <w:r>
        <w:rPr>
          <w:rStyle w:val="NameStyle"/>
        </w:rPr>
        <w:t xml:space="preserve">Example 3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8"/>
    <w:p>
      <w:pPr>
        <w:pStyle w:val="BodyText"/>
      </w:pPr>
      <w:r>
        <w:t xml:space="preserve">Note that this time, you can’t split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up into two monotonic subsequences, so neither of the two methods in the previous examples work. So, we need to be crafty.</w:t>
      </w:r>
    </w:p>
    <w:p>
      <w:pPr>
        <w:pStyle w:val="BodyText"/>
      </w:pPr>
      <w:r>
        <w:t xml:space="preserve">It’s always handy to have an idea of what the</w:t>
      </w:r>
      <w:r>
        <w:t xml:space="preserve"> </w:t>
      </w: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might be. Since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nor/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(hopefully) would guess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how do we go about showing these?</w:t>
      </w:r>
    </w:p>
    <w:p>
      <w:pPr>
        <w:pStyle w:val="BodyText"/>
      </w:pPr>
      <w:r>
        <w:t xml:space="preserve">Firstly, recall that the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is the largest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 Take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6</m:t>
        </m:r>
        <m:r>
          <m:t>j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  <m:r>
                    <m:t>j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6</m:t>
                  </m:r>
                  <m:r>
                    <m:t>j</m:t>
                  </m:r>
                </m:sup>
              </m:sSup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j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j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, hence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To show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, recall that for sequences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(as 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 converges to </m:t>
          </m:r>
          <m:r>
            <m:t>0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Combining the two inequalities we have found allows us to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Have a go at proving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You’ll need: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is the smallest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bookmarkEnd w:id="29"/>
    <w:bookmarkEnd w:id="30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Examples — Limits Inferior and Superior</dc:title>
  <dc:creator>Christian Jones: University of Bath</dc:creator>
  <cp:keywords/>
  <dcterms:created xsi:type="dcterms:W3CDTF">2022-11-29T16:41:49Z</dcterms:created>
  <dcterms:modified xsi:type="dcterms:W3CDTF">2022-11-29T16:41:49Z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