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7th Analysis Tutorial on the 21th November. As usual, send comments and corrections to</w:t>
      </w:r>
      <w:r>
        <w:t xml:space="preserve"> </w:t>
      </w:r>
      <w:hyperlink r:id="rId20">
        <w:r>
          <w:rPr>
            <w:rStyle w:val="Hyperlink"/>
          </w:rPr>
          <w:t xml:space="preserve">Christian Jones (caj50)</w:t>
        </w:r>
      </w:hyperlink>
    </w:p>
    <w:bookmarkEnd w:id="21"/>
    <w:bookmarkStart w:id="47" w:name="lecture-recap"/>
    <w:p>
      <w:pPr>
        <w:pStyle w:val="Heading1"/>
      </w:pPr>
      <w:r>
        <w:t xml:space="preserve">Lecture Recap</w:t>
      </w:r>
    </w:p>
    <w:bookmarkStart w:id="31"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2"/>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3"/>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4">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5"/>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7" w:name="thm:thm1"/>
    <w:p>
      <w:pPr>
        <w:pStyle w:val="TheoremStyleUpright"/>
      </w:pPr>
      <w:bookmarkStart w:id="26" w:name="thm:thm1"/>
      <w:bookmarkEnd w:id="26"/>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7"/>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8"/>
      </w:r>
      <w:r>
        <w:t xml:space="preserve">.</w:t>
      </w:r>
    </w:p>
    <w:p>
      <w:pPr>
        <w:pStyle w:val="BodyText"/>
      </w:pPr>
    </w:p>
    <w:bookmarkStart w:id="30" w:name="thm:thm2"/>
    <w:p>
      <w:pPr>
        <w:pStyle w:val="TheoremStyleUpright"/>
      </w:pPr>
      <w:bookmarkStart w:id="29" w:name="thm:thm2"/>
      <w:bookmarkEnd w:id="29"/>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0"/>
    <w:bookmarkEnd w:id="31"/>
    <w:bookmarkStart w:id="46"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3" w:name="def:def1"/>
    <w:p>
      <w:pPr>
        <w:pStyle w:val="DefinitionStyle"/>
      </w:pPr>
      <w:bookmarkStart w:id="32" w:name="def:def1"/>
      <w:bookmarkEnd w:id="32"/>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3"/>
    <w:p>
      <w:pPr>
        <w:pStyle w:val="BodyText"/>
      </w:pPr>
      <w:r>
        <w:t xml:space="preserve">Much like with sequences, we have an analogous version of convergence for a series:</w:t>
      </w:r>
      <w:r>
        <w:t xml:space="preserve"> </w:t>
      </w:r>
    </w:p>
    <w:bookmarkStart w:id="35" w:name="def:def2"/>
    <w:p>
      <w:pPr>
        <w:pStyle w:val="DefinitionStyle"/>
      </w:pPr>
      <w:bookmarkStart w:id="34" w:name="def:def2"/>
      <w:bookmarkEnd w:id="34"/>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5"/>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8"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7" w:name="thm:thm3"/>
    <w:p>
      <w:pPr>
        <w:pStyle w:val="TheoremStyleUpright"/>
      </w:pPr>
      <w:bookmarkStart w:id="36" w:name="thm:thm3"/>
      <w:bookmarkEnd w:id="36"/>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7"/>
    <w:bookmarkEnd w:id="38"/>
    <w:bookmarkStart w:id="45"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0" w:name="prp:prop1"/>
    <w:p>
      <w:pPr>
        <w:pStyle w:val="TheoremStyleUpright"/>
      </w:pPr>
      <w:bookmarkStart w:id="39" w:name="prp:prop1"/>
      <w:bookmarkEnd w:id="39"/>
      <w:r>
        <w:rPr>
          <w:rStyle w:val="NameStyle"/>
        </w:rPr>
        <w:t xml:space="preserve">Proposition 1.1</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0"/>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2" w:name="prp:prop2"/>
    <w:p>
      <w:pPr>
        <w:pStyle w:val="TheoremStyleUpright"/>
      </w:pPr>
      <w:bookmarkStart w:id="41" w:name="prp:prop2"/>
      <w:bookmarkEnd w:id="41"/>
      <w:r>
        <w:rPr>
          <w:rStyle w:val="NameStyle"/>
        </w:rPr>
        <w:t xml:space="preserve">Proposition 1.2</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2"/>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4" w:name="prp:prop3"/>
    <w:p>
      <w:pPr>
        <w:pStyle w:val="TheoremStyleUpright"/>
      </w:pPr>
      <w:bookmarkStart w:id="43" w:name="prp:prop3"/>
      <w:bookmarkEnd w:id="43"/>
      <w:r>
        <w:rPr>
          <w:rStyle w:val="NameStyle"/>
        </w:rPr>
        <w:t xml:space="preserve">Proposition 1.3</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4"/>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Try using a similar argument to the one used in tutorial question 1 (i.e. use the fact that the sequence can be split into odd and even cases to your advantage)</w:t>
      </w:r>
    </w:p>
    <w:p>
      <w:pPr>
        <w:numPr>
          <w:ilvl w:val="0"/>
          <w:numId w:val="1001"/>
        </w:numPr>
        <w:pStyle w:val="Compact"/>
      </w:pPr>
      <w:r>
        <w:t xml:space="preserve">[H2.] For this question, think about what it means for a series to be convergent. You’ll also want to split the terms of the series up in some way. (Think of tutorial question 3a.)</w:t>
      </w:r>
    </w:p>
    <w:p>
      <w:pPr>
        <w:numPr>
          <w:ilvl w:val="0"/>
          <w:numId w:val="1001"/>
        </w:numPr>
        <w:pStyle w:val="Compact"/>
      </w:pPr>
      <w:r>
        <w:t xml:space="preserve">[H3.] For the first part, think induction. The only other thing I’ll say is to make sure you state all the main results you use!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notation here follows that used in the lecture notes rather than that used in lectures, as this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3">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8">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2022-11-29T21:45:45Z</dcterms:created>
  <dcterms:modified xsi:type="dcterms:W3CDTF">2022-11-29T21:45:45Z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