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4th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1"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0"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we can try this with</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Using the Leibniz test, we can see that both</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but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r>
                    <m:t>n</m:t>
                  </m:r>
                </m:den>
              </m:f>
            </m:e>
          </m:nary>
          <m:r>
            <m:rPr>
              <m:sty m:val="p"/>
            </m:rPr>
            <m:t>=</m:t>
          </m:r>
          <m:r>
            <m:rPr>
              <m:sty m:val="p"/>
            </m:rPr>
            <m:t>∞</m:t>
          </m:r>
          <m:r>
            <m:rPr>
              <m:sty m:val="p"/>
            </m:rPr>
            <m:t>.</m:t>
          </m:r>
        </m:oMath>
      </m:oMathPara>
    </w:p>
    <w:p>
      <w:pPr>
        <w:pStyle w:val="FirstParagraph"/>
      </w:pPr>
      <w:r>
        <w:t xml:space="preserve">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1</m:t>
              </m:r>
            </m:sub>
            <m:sup>
              <m:r>
                <m:t>n</m:t>
              </m:r>
            </m:sup>
            <m:e>
              <m:sSub>
                <m:e>
                  <m:r>
                    <m:t>a</m:t>
                  </m:r>
                </m:e>
                <m:sub>
                  <m:r>
                    <m:t>j</m:t>
                  </m:r>
                </m:sub>
              </m:sSub>
            </m:e>
          </m:nary>
          <m:sSub>
            <m:e>
              <m:r>
                <m:t>b</m:t>
              </m:r>
            </m:e>
            <m:sub>
              <m:r>
                <m:t>n</m:t>
              </m:r>
              <m:r>
                <m:rPr>
                  <m:sty m:val="p"/>
                </m:rPr>
                <m:t>+</m:t>
              </m:r>
              <m:r>
                <m:t>1</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bookmarkEnd w:id="29"/>
    <w:p>
      <w:pPr>
        <w:pStyle w:val="FirstParagraph"/>
      </w:pPr>
      <w:r>
        <w:t xml:space="preserve">Note that we require the condition that the two individual sums are</w:t>
      </w:r>
      <w:r>
        <w:t xml:space="preserve"> </w:t>
      </w:r>
      <w:r>
        <w:rPr>
          <w:iCs/>
          <w:i/>
        </w:rPr>
        <w:t xml:space="preserve">absolutely convergent</w:t>
      </w:r>
      <w:r>
        <w:t xml:space="preserve">. As you’ve seen in lectures, the Cauchy Multiplication Theorem will fail if the series involved are only conditionally convergent.</w:t>
      </w:r>
    </w:p>
    <w:bookmarkEnd w:id="30"/>
    <w:bookmarkEnd w:id="31"/>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3" w:name="def:def1"/>
    <w:p>
      <w:pPr>
        <w:pStyle w:val="DefinitionStyle"/>
      </w:pPr>
      <w:bookmarkStart w:id="32" w:name="def:def1"/>
      <w:bookmarkEnd w:id="32"/>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3"/>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w:t>
      </w:r>
    </w:p>
    <w:p>
      <w:pPr>
        <w:pStyle w:val="BodyText"/>
      </w:pPr>
    </w:p>
    <w:bookmarkStart w:id="35" w:name="prp:prop1"/>
    <w:p>
      <w:pPr>
        <w:pStyle w:val="TheoremStyleUpright"/>
      </w:pPr>
      <w:bookmarkStart w:id="34" w:name="prp:prop1"/>
      <w:bookmarkEnd w:id="34"/>
      <w:r>
        <w:rPr>
          <w:rStyle w:val="NameStyle"/>
        </w:rPr>
        <w:t xml:space="preserve">Proposition 1.1</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5"/>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6"/>
      </w:r>
      <w:r>
        <w:t xml:space="preserve"> </w:t>
      </w:r>
      <w:r>
        <w:t xml:space="preserve">methods of finding</w:t>
      </w:r>
      <w:r>
        <w:t xml:space="preserve"> </w:t>
      </w:r>
      <m:oMath>
        <m:r>
          <m:t>R</m:t>
        </m:r>
      </m:oMath>
      <w:r>
        <w:t xml:space="preserve">. The first one is a result of d’Alembert’s ratio test.</w:t>
      </w:r>
    </w:p>
    <w:p>
      <w:pPr>
        <w:pStyle w:val="BodyText"/>
      </w:pPr>
    </w:p>
    <w:bookmarkStart w:id="38" w:name="thm:thm4"/>
    <w:p>
      <w:pPr>
        <w:pStyle w:val="TheoremStyleUpright"/>
      </w:pPr>
      <w:bookmarkStart w:id="37" w:name="thm:thm4"/>
      <w:bookmarkEnd w:id="37"/>
      <w:r>
        <w:rPr>
          <w:rStyle w:val="NameStyle"/>
        </w:rPr>
        <w:t xml:space="preserve">Theorem 1.4</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38"/>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39"/>
      </w:r>
    </w:p>
    <w:p>
      <w:pPr>
        <w:pStyle w:val="BodyText"/>
      </w:pPr>
    </w:p>
    <w:bookmarkStart w:id="41" w:name="thm:thm5"/>
    <w:p>
      <w:pPr>
        <w:pStyle w:val="TheoremStyleUpright"/>
      </w:pPr>
      <w:bookmarkStart w:id="40" w:name="thm:thm5"/>
      <w:bookmarkEnd w:id="40"/>
      <w:r>
        <w:rPr>
          <w:rStyle w:val="NameStyle"/>
        </w:rPr>
        <w:t xml:space="preserve">Theorem 1.5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1"/>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3" w:name="prp:prop2"/>
    <w:p>
      <w:pPr>
        <w:pStyle w:val="TheoremStyleUpright"/>
      </w:pPr>
      <w:bookmarkStart w:id="42" w:name="prp:prop2"/>
      <w:bookmarkEnd w:id="42"/>
      <w:r>
        <w:rPr>
          <w:rStyle w:val="NameStyle"/>
        </w:rPr>
        <w:t xml:space="preserve">Proposition 1.2</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3"/>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 Now that we have this result, we can cover a more unusual power series example:</w:t>
      </w:r>
    </w:p>
    <w:p>
      <w:pPr>
        <w:pStyle w:val="BodyText"/>
      </w:pPr>
    </w:p>
    <w:bookmarkStart w:id="45" w:name="exm:ex2"/>
    <w:p>
      <w:pPr>
        <w:pStyle w:val="ExampleStyle"/>
      </w:pPr>
      <w:bookmarkStart w:id="44" w:name="exm:ex2"/>
      <w:bookmarkEnd w:id="44"/>
      <w:r>
        <w:rPr>
          <w:rStyle w:val="NameStyle"/>
        </w:rPr>
        <w:t xml:space="preserve">Example 1.1</w:t>
      </w:r>
      <w:r>
        <w:rPr>
          <w:rStyle w:val="NameStyle"/>
        </w:rPr>
        <w:t xml:space="preserve"> </w:t>
      </w:r>
    </w:p>
    <w:p>
      <w:pPr>
        <w:pStyle w:val="ExampleStyle"/>
      </w:pPr>
      <w:r>
        <w:t xml:space="preserve">Consider the power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oMath>
      <w:r>
        <w:t xml:space="preserve"> </w:t>
      </w:r>
      <w:r>
        <w:t xml:space="preserve">is given by</w:t>
      </w:r>
    </w:p>
    <w:p>
      <w:pPr>
        <w:pStyle w:val="ExampleStyle"/>
      </w:pPr>
      <m:oMathPara>
        <m:oMathParaPr>
          <m:jc m:val="center"/>
        </m:oMathParaPr>
        <m:oMath>
          <m:sSub>
            <m:e>
              <m:r>
                <m:t>a</m:t>
              </m:r>
            </m:e>
            <m:sub>
              <m:r>
                <m:t>n</m:t>
              </m:r>
            </m:sub>
          </m:sSub>
          <m:r>
            <m:rPr>
              <m:sty m:val="p"/>
            </m:rPr>
            <m:t>=</m:t>
          </m:r>
          <m:d>
            <m:dPr>
              <m:begChr m:val="{"/>
              <m:endChr m:val=""/>
              <m:sepChr m:val=""/>
              <m:grow/>
            </m:dPr>
            <m:e>
              <m:m>
                <m:mPr>
                  <m:baseJc m:val="center"/>
                  <m:plcHide m:val="1"/>
                  <m:mcs>
                    <m:mc>
                      <m:mcPr>
                        <m:mcJc m:val="left"/>
                        <m:count m:val="1"/>
                      </m:mcPr>
                    </m:mc>
                  </m:mcs>
                </m:mPr>
                <m:mr>
                  <m:e>
                    <m:r>
                      <m:t>n</m:t>
                    </m:r>
                    <m:r>
                      <m:t> </m:t>
                    </m:r>
                    <m:r>
                      <m:rPr>
                        <m:nor/>
                        <m:sty m:val="p"/>
                      </m:rPr>
                      <m:t>if </m:t>
                    </m:r>
                    <m:r>
                      <m:t>n</m:t>
                    </m:r>
                    <m:r>
                      <m:rPr>
                        <m:nor/>
                        <m:sty m:val="p"/>
                      </m:rPr>
                      <m:t> is prime</m:t>
                    </m:r>
                    <m:r>
                      <m:rPr>
                        <m:sty m:val="p"/>
                      </m:rPr>
                      <m:t>,</m:t>
                    </m:r>
                  </m:e>
                </m:mr>
                <m:mr>
                  <m:e>
                    <m:r>
                      <m:t>0</m:t>
                    </m:r>
                    <m:r>
                      <m:t> </m:t>
                    </m:r>
                    <m:r>
                      <m:rPr>
                        <m:nor/>
                        <m:sty m:val="p"/>
                      </m:rPr>
                      <m:t>otherwise</m:t>
                    </m:r>
                    <m:r>
                      <m:rPr>
                        <m:sty m:val="p"/>
                      </m:rPr>
                      <m:t>.</m:t>
                    </m:r>
                  </m:e>
                </m:mr>
              </m:m>
            </m:e>
          </m:d>
        </m:oMath>
      </m:oMathPara>
    </w:p>
    <w:p>
      <w:pPr>
        <w:pStyle w:val="ExampleStyle"/>
      </w:pPr>
      <w:r>
        <w:t xml:space="preserve">What is the radius of convergence,</w:t>
      </w:r>
      <w:r>
        <w:t xml:space="preserve"> </w:t>
      </w:r>
      <m:oMath>
        <m:r>
          <m:t>R</m:t>
        </m:r>
      </m:oMath>
      <w:r>
        <w:t xml:space="preserve">?</w:t>
      </w:r>
    </w:p>
    <w:bookmarkEnd w:id="45"/>
    <w:p>
      <w:pPr>
        <w:pStyle w:val="BodyText"/>
      </w:pPr>
      <w:r>
        <w:rPr>
          <w:bCs/>
          <w:b/>
        </w:rPr>
        <w:t xml:space="preserve">Solution:</w:t>
      </w:r>
      <w:r>
        <w:t xml:space="preserve"> </w:t>
      </w:r>
      <w:r>
        <w:t xml:space="preserve">Since zero occurs as a value of</w:t>
      </w:r>
      <w:r>
        <w:t xml:space="preserve"> </w:t>
      </w:r>
      <m:oMath>
        <m:sSub>
          <m:e>
            <m:r>
              <m:t>a</m:t>
            </m:r>
          </m:e>
          <m:sub>
            <m:r>
              <m:t>n</m:t>
            </m:r>
          </m:sub>
        </m:sSub>
      </m:oMath>
      <w:r>
        <w:t xml:space="preserve"> </w:t>
      </w:r>
      <w:r>
        <w:t xml:space="preserve">infinitely often, we resort to using the Cauchy-Hadamard test. As each term of</w:t>
      </w:r>
      <w:r>
        <w:t xml:space="preserve"> </w:t>
      </w:r>
      <m:oMath>
        <m:sSub>
          <m:e>
            <m:d>
              <m:dPr>
                <m:begChr m:val="("/>
                <m:endChr m:val=")"/>
                <m:sepChr m:val=""/>
                <m:grow/>
              </m:dPr>
              <m:e>
                <m:sSub>
                  <m:e>
                    <m:r>
                      <m:t>a</m:t>
                    </m:r>
                  </m:e>
                  <m:sub>
                    <m:r>
                      <m:t>n</m:t>
                    </m:r>
                  </m:sub>
                </m:sSub>
              </m:e>
            </m:d>
          </m:e>
          <m:sub>
            <m:r>
              <m:t>n</m:t>
            </m:r>
          </m:sub>
        </m:sSub>
      </m:oMath>
      <w:r>
        <w:t xml:space="preserve"> </w:t>
      </w:r>
      <w:r>
        <w:t xml:space="preserve">is non-negative and we can split it up into two monotonic increasing sequences — one consisting of all zeroes, and one consisting of the prime numbers — we find that</w:t>
      </w:r>
    </w:p>
    <w:p>
      <w:pPr>
        <w:pStyle w:val="BodyText"/>
      </w:pPr>
      <m:oMathPara>
        <m:oMathParaPr>
          <m:jc m:val="center"/>
        </m:oMathParaPr>
        <m:oMath>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r>
            <m:rPr>
              <m:sty m:val="p"/>
            </m:rPr>
            <m:t>=</m:t>
          </m:r>
          <m:limLow>
            <m:e>
              <m:r>
                <m:rPr>
                  <m:nor/>
                  <m:sty m:val="p"/>
                </m:rPr>
                <m:t>lim</m:t>
              </m:r>
            </m:e>
            <m:lim>
              <m:r>
                <m:t>n</m:t>
              </m:r>
              <m:r>
                <m:rPr>
                  <m:sty m:val="p"/>
                </m:rPr>
                <m:t>→</m:t>
              </m:r>
              <m:r>
                <m:rPr>
                  <m:sty m:val="p"/>
                </m:rPr>
                <m:t>∞</m:t>
              </m:r>
            </m:lim>
          </m:limLow>
          <m:sSup>
            <m:e>
              <m:r>
                <m:t>n</m:t>
              </m:r>
            </m:e>
            <m:sup>
              <m:f>
                <m:fPr>
                  <m:type m:val="bar"/>
                </m:fPr>
                <m:num>
                  <m:r>
                    <m:t>1</m:t>
                  </m:r>
                </m:num>
                <m:den>
                  <m:r>
                    <m:t>n</m:t>
                  </m:r>
                </m:den>
              </m:f>
            </m:sup>
          </m:sSup>
          <m:r>
            <m:rPr>
              <m:sty m:val="p"/>
            </m:rPr>
            <m:t>=</m:t>
          </m:r>
          <m:r>
            <m:t>1</m:t>
          </m:r>
          <m:r>
            <m:rPr>
              <m:sty m:val="p"/>
            </m:rPr>
            <m:t>.</m:t>
          </m:r>
        </m:oMath>
      </m:oMathPara>
    </w:p>
    <w:p>
      <w:pPr>
        <w:pStyle w:val="FirstParagraph"/>
      </w:pPr>
      <w:r>
        <w:t xml:space="preserve">Taking the reciprocal of this answer gives us that the radius of convergence is</w:t>
      </w:r>
      <w:r>
        <w:t xml:space="preserve"> </w:t>
      </w:r>
      <m:oMath>
        <m:r>
          <m:t>R</m:t>
        </m:r>
        <m:r>
          <m:rPr>
            <m:sty m:val="p"/>
          </m:rPr>
          <m:t>=</m:t>
        </m:r>
        <m:r>
          <m:t>1</m:t>
        </m:r>
      </m:oMath>
      <w:r>
        <w:t xml:space="preserve">.</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To begin here, you’ve seen a similar trick for the square roots in previous problem sheets (e.g. Sheet 4/Sheet 8). Think about your tests for convergence again on this one!</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6">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39">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2022-12-01T23:02:47Z</dcterms:created>
  <dcterms:modified xsi:type="dcterms:W3CDTF">2022-12-01T23:02:47Z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