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9th Analysis Tutorial on the 4th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9" w:name="lecture-recap"/>
    <w:p>
      <w:pPr>
        <w:pStyle w:val="Heading1"/>
      </w:pPr>
      <w:r>
        <w:t xml:space="preserve">Lecture Recap</w:t>
      </w:r>
    </w:p>
    <w:bookmarkStart w:id="33" w:name="two-more-series-results"/>
    <w:p>
      <w:pPr>
        <w:pStyle w:val="Heading2"/>
      </w:pPr>
      <w:r>
        <w:t xml:space="preserve">Two More Series Results</w:t>
      </w:r>
    </w:p>
    <w:bookmarkStart w:id="24" w:name="leibniz-alternating-series-test"/>
    <w:p>
      <w:pPr>
        <w:pStyle w:val="Heading3"/>
      </w:pPr>
      <w:r>
        <w:t xml:space="preserve">Leibniz Alternating Series Test</w:t>
      </w:r>
    </w:p>
    <w:p>
      <w:pPr>
        <w:pStyle w:val="FirstParagraph"/>
      </w:pPr>
      <w:r>
        <w:t xml:space="preserve">So far, we’ve seen three tests which allow us (under certain conditions) to determine whether a series is convergent or not. These were the comparison test, d’Alembert’s ratio test and the Cauchy condensation test. There’s one more test to cover here, and this concerns series which have</w:t>
      </w:r>
      <w:r>
        <w:t xml:space="preserve"> </w:t>
      </w:r>
      <w:r>
        <w:rPr>
          <w:iCs/>
          <w:i/>
        </w:rPr>
        <w:t xml:space="preserve">alternating terms</w:t>
      </w:r>
      <w:r>
        <w:t xml:space="preserve">. This is due to Leibniz, who — depending on your point of view — is considered to be the inventor of calculus.</w:t>
      </w:r>
    </w:p>
    <w:p>
      <w:pPr>
        <w:pStyle w:val="BodyText"/>
      </w:pPr>
    </w:p>
    <w:bookmarkStart w:id="23" w:name="thm:thm1"/>
    <w:p>
      <w:pPr>
        <w:pStyle w:val="TheoremStyleUpright"/>
      </w:pPr>
      <w:bookmarkStart w:id="22" w:name="thm:thm1"/>
      <w:bookmarkEnd w:id="22"/>
      <w:r>
        <w:rPr>
          <w:rStyle w:val="NameStyle"/>
        </w:rPr>
        <w:t xml:space="preserve">Theorem 1.1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3"/>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4"/>
    <w:bookmarkStart w:id="32" w:name="multiplying-series"/>
    <w:p>
      <w:pPr>
        <w:pStyle w:val="Heading3"/>
      </w:pPr>
      <w:r>
        <w:t xml:space="preserve">Multiplying Series</w:t>
      </w:r>
    </w:p>
    <w:p>
      <w:pPr>
        <w:pStyle w:val="FirstParagraph"/>
      </w:pPr>
      <w:r>
        <w:t xml:space="preserve">Recall the statement of the Algebra of Series:</w:t>
      </w:r>
      <w:r>
        <w:t xml:space="preserve"> </w:t>
      </w:r>
    </w:p>
    <w:bookmarkStart w:id="26" w:name="thm:thm2"/>
    <w:p>
      <w:pPr>
        <w:pStyle w:val="TheoremStyleUpright"/>
      </w:pPr>
      <w:bookmarkStart w:id="25" w:name="thm:thm2"/>
      <w:bookmarkEnd w:id="25"/>
      <w:r>
        <w:rPr>
          <w:rStyle w:val="NameStyle"/>
        </w:rPr>
        <w:t xml:space="preserve">Theorem 1.2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26"/>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we can try this with</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Using the Leibniz test, we can see that both</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but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r>
                    <m:t>n</m:t>
                  </m:r>
                </m:den>
              </m:f>
            </m:e>
          </m:nary>
          <m:r>
            <m:rPr>
              <m:sty m:val="p"/>
            </m:rPr>
            <m:t>=</m:t>
          </m:r>
          <m:r>
            <m:rPr>
              <m:sty m:val="p"/>
            </m:rPr>
            <m:t>∞</m:t>
          </m:r>
          <m:r>
            <m:rPr>
              <m:sty m:val="p"/>
            </m:rPr>
            <m:t>.</m:t>
          </m:r>
        </m:oMath>
      </m:oMathPara>
    </w:p>
    <w:p>
      <w:pPr>
        <w:pStyle w:val="FirstParagraph"/>
      </w:pPr>
      <w:r>
        <w:t xml:space="preserve">So, the next question we need to ask is whether a formula for multiplying convergent series exists, and if so, which series can we apply it to. This question was answered by Cauchy</w:t>
      </w:r>
      <w:r>
        <w:rPr>
          <w:rStyle w:val="FootnoteReference"/>
        </w:rPr>
        <w:footnoteReference w:id="27"/>
      </w:r>
      <w:r>
        <w:t xml:space="preserve">, and is summarised in the below theorem:</w:t>
      </w:r>
    </w:p>
    <w:p>
      <w:pPr>
        <w:pStyle w:val="BodyText"/>
      </w:pPr>
    </w:p>
    <w:bookmarkStart w:id="29" w:name="thm:thm3"/>
    <w:p>
      <w:pPr>
        <w:pStyle w:val="TheoremStyleUpright"/>
      </w:pPr>
      <w:bookmarkStart w:id="28" w:name="thm:thm3"/>
      <w:bookmarkEnd w:id="28"/>
      <w:r>
        <w:rPr>
          <w:rStyle w:val="NameStyle"/>
        </w:rPr>
        <w:t xml:space="preserve">Theorem 1.3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1</m:t>
              </m:r>
            </m:sub>
            <m:sup>
              <m:r>
                <m:t>n</m:t>
              </m:r>
            </m:sup>
            <m:e>
              <m:sSub>
                <m:e>
                  <m:r>
                    <m:t>a</m:t>
                  </m:r>
                </m:e>
                <m:sub>
                  <m:r>
                    <m:t>j</m:t>
                  </m:r>
                </m:sub>
              </m:sSub>
            </m:e>
          </m:nary>
          <m:sSub>
            <m:e>
              <m:r>
                <m:t>b</m:t>
              </m:r>
            </m:e>
            <m:sub>
              <m:r>
                <m:t>n</m:t>
              </m:r>
              <m:r>
                <m:rPr>
                  <m:sty m:val="p"/>
                </m:rPr>
                <m:t>+</m:t>
              </m:r>
              <m:r>
                <m:t>1</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bookmarkEnd w:id="29"/>
    <w:p>
      <w:pPr>
        <w:pStyle w:val="FirstParagraph"/>
      </w:pPr>
      <w:r>
        <w:t xml:space="preserve">Note that we require the condition that the two individual sums are</w:t>
      </w:r>
      <w:r>
        <w:t xml:space="preserve"> </w:t>
      </w:r>
      <w:r>
        <w:rPr>
          <w:iCs/>
          <w:i/>
        </w:rPr>
        <w:t xml:space="preserve">absolutely convergent</w:t>
      </w:r>
      <w:r>
        <w:t xml:space="preserve">. To see why, consider the following example:</w:t>
      </w:r>
    </w:p>
    <w:p>
      <w:pPr>
        <w:pStyle w:val="BodyText"/>
      </w:pPr>
    </w:p>
    <w:bookmarkStart w:id="31" w:name="exm:ex1"/>
    <w:p>
      <w:pPr>
        <w:pStyle w:val="ExampleStyle"/>
      </w:pPr>
      <w:bookmarkStart w:id="30" w:name="exm:ex1"/>
      <w:bookmarkEnd w:id="30"/>
      <w:r>
        <w:rPr>
          <w:rStyle w:val="NameStyle"/>
        </w:rPr>
        <w:t xml:space="preserve">Example 1.1</w:t>
      </w:r>
      <w:r>
        <w:rPr>
          <w:rStyle w:val="NameStyle"/>
        </w:rPr>
        <w:t xml:space="preserve"> </w:t>
      </w:r>
    </w:p>
    <w:p>
      <w:pPr>
        <w:pStyle w:val="ExampleStyle"/>
      </w:pPr>
      <w:r>
        <w:t xml:space="preserve">For</w:t>
      </w:r>
      <w:r>
        <w:t xml:space="preserve"> </w:t>
      </w:r>
      <m:oMath>
        <m:r>
          <m:t>n</m:t>
        </m:r>
        <m:r>
          <m:rPr>
            <m:sty m:val="p"/>
          </m:rPr>
          <m:t>∈</m:t>
        </m:r>
        <m:r>
          <m:rPr>
            <m:sty m:val="p"/>
            <m:scr m:val="double-struck"/>
          </m:rPr>
          <m:t>N</m:t>
        </m:r>
      </m:oMath>
      <w:r>
        <w:t xml:space="preserve">, define</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so that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are conditionally convergent. We can calculate</w:t>
      </w:r>
      <w:r>
        <w:t xml:space="preserve"> </w:t>
      </w:r>
      <m:oMath>
        <m:sSub>
          <m:e>
            <m:r>
              <m:t>c</m:t>
            </m:r>
          </m:e>
          <m:sub>
            <m:r>
              <m:t>n</m:t>
            </m:r>
          </m:sub>
        </m:sSub>
      </m:oMath>
      <w:r>
        <w:t xml:space="preserve"> </w:t>
      </w:r>
      <w:r>
        <w:t xml:space="preserve">as</w:t>
      </w:r>
    </w:p>
    <w:p>
      <w:pPr>
        <w:pStyle w:val="ExampleStyle"/>
      </w:pPr>
      <m:oMathPara>
        <m:oMathParaPr>
          <m:jc m:val="center"/>
        </m:oMathParaPr>
        <m:oMath>
          <m:sSub>
            <m:e>
              <m:r>
                <m:t>c</m:t>
              </m:r>
            </m:e>
            <m:sub>
              <m:r>
                <m:t>n</m:t>
              </m:r>
            </m:sub>
          </m:sSub>
          <m:r>
            <m:rPr>
              <m:sty m:val="p"/>
            </m:rPr>
            <m:t>=</m:t>
          </m:r>
          <m:nary>
            <m:naryPr>
              <m:chr m:val="∑"/>
              <m:limLoc m:val="undOvr"/>
              <m:subHide m:val="0"/>
              <m:supHide m:val="0"/>
            </m:naryPr>
            <m:sub>
              <m:r>
                <m:t>j</m:t>
              </m:r>
              <m:r>
                <m:rPr>
                  <m:sty m:val="p"/>
                </m:rPr>
                <m:t>=</m:t>
              </m:r>
              <m:r>
                <m:t>1</m:t>
              </m:r>
            </m:sub>
            <m:sup>
              <m:r>
                <m:t>n</m:t>
              </m:r>
            </m:sup>
            <m:e>
              <m:f>
                <m:fPr>
                  <m:type m:val="bar"/>
                </m:fPr>
                <m:num>
                  <m:sSup>
                    <m:e>
                      <m:d>
                        <m:dPr>
                          <m:begChr m:val="("/>
                          <m:endChr m:val=")"/>
                          <m:sepChr m:val=""/>
                          <m:grow/>
                        </m:dPr>
                        <m:e>
                          <m:r>
                            <m:rPr>
                              <m:sty m:val="p"/>
                            </m:rPr>
                            <m:t>−</m:t>
                          </m:r>
                          <m:r>
                            <m:t>1</m:t>
                          </m:r>
                        </m:e>
                      </m:d>
                    </m:e>
                    <m:sup>
                      <m:d>
                        <m:dPr>
                          <m:begChr m:val="("/>
                          <m:endChr m:val=")"/>
                          <m:sepChr m:val=""/>
                          <m:grow/>
                        </m:dPr>
                        <m:e>
                          <m:r>
                            <m:t>n</m:t>
                          </m:r>
                          <m:r>
                            <m:rPr>
                              <m:sty m:val="p"/>
                            </m:rPr>
                            <m:t>+</m:t>
                          </m:r>
                          <m:r>
                            <m:t>1</m:t>
                          </m:r>
                        </m:e>
                      </m:d>
                    </m:sup>
                  </m:sSup>
                </m:num>
                <m:den>
                  <m:rad>
                    <m:radPr>
                      <m:degHide m:val="1"/>
                    </m:radPr>
                    <m:deg/>
                    <m:e>
                      <m:r>
                        <m:t>j</m:t>
                      </m:r>
                    </m:e>
                  </m:rad>
                  <m:rad>
                    <m:radPr>
                      <m:degHide m:val="1"/>
                    </m:radPr>
                    <m:deg/>
                    <m:e>
                      <m:r>
                        <m:t>n</m:t>
                      </m:r>
                      <m:r>
                        <m:rPr>
                          <m:sty m:val="p"/>
                        </m:rPr>
                        <m:t>+</m:t>
                      </m:r>
                      <m:r>
                        <m:t>1</m:t>
                      </m:r>
                      <m:r>
                        <m:rPr>
                          <m:sty m:val="p"/>
                        </m:rPr>
                        <m:t>−</m:t>
                      </m:r>
                      <m:r>
                        <m:t>j</m:t>
                      </m:r>
                    </m:e>
                  </m:rad>
                </m:den>
              </m:f>
            </m:e>
          </m:nary>
          <m:r>
            <m:rPr>
              <m:sty m:val="p"/>
            </m:rPr>
            <m:t>,</m:t>
          </m:r>
        </m:oMath>
      </m:oMathPara>
    </w:p>
    <w:p>
      <w:pPr>
        <w:pStyle w:val="ExampleStyle"/>
      </w:pPr>
      <w:r>
        <w:t xml:space="preserve">from which (as</w:t>
      </w:r>
      <w:r>
        <w:t xml:space="preserve"> </w:t>
      </w:r>
      <m:oMath>
        <m:r>
          <m:t>1</m:t>
        </m:r>
        <m:r>
          <m:rPr>
            <m:sty m:val="p"/>
          </m:rPr>
          <m:t>≤</m:t>
        </m:r>
        <m:rad>
          <m:radPr>
            <m:degHide m:val="1"/>
          </m:radPr>
          <m:deg/>
          <m:e>
            <m:r>
              <m:t>j</m:t>
            </m:r>
          </m:e>
        </m:rad>
        <m:r>
          <m:rPr>
            <m:sty m:val="p"/>
          </m:rPr>
          <m:t>≤</m:t>
        </m:r>
        <m:rad>
          <m:radPr>
            <m:degHide m:val="1"/>
          </m:radPr>
          <m:deg/>
          <m:e>
            <m:r>
              <m:t>n</m:t>
            </m:r>
          </m:e>
        </m:rad>
      </m:oMath>
      <w:r>
        <w:t xml:space="preserve"> </w:t>
      </w:r>
      <w:r>
        <w:t xml:space="preserve">and</w:t>
      </w:r>
      <w:r>
        <w:t xml:space="preserve"> </w:t>
      </w:r>
      <m:oMath>
        <m:r>
          <m:t>1</m:t>
        </m:r>
        <m:r>
          <m:rPr>
            <m:sty m:val="p"/>
          </m:rPr>
          <m:t>≤</m:t>
        </m:r>
        <m:rad>
          <m:radPr>
            <m:degHide m:val="1"/>
          </m:radPr>
          <m:deg/>
          <m:e>
            <m:r>
              <m:t>n</m:t>
            </m:r>
            <m:r>
              <m:rPr>
                <m:sty m:val="p"/>
              </m:rPr>
              <m:t>+</m:t>
            </m:r>
            <m:r>
              <m:t>1</m:t>
            </m:r>
            <m:r>
              <m:rPr>
                <m:sty m:val="p"/>
              </m:rPr>
              <m:t>−</m:t>
            </m:r>
            <m:r>
              <m:t>j</m:t>
            </m:r>
          </m:e>
        </m:rad>
        <m:r>
          <m:rPr>
            <m:sty m:val="p"/>
          </m:rPr>
          <m:t>≤</m:t>
        </m:r>
        <m:rad>
          <m:radPr>
            <m:degHide m:val="1"/>
          </m:radPr>
          <m:deg/>
          <m:e>
            <m:r>
              <m:t>n</m:t>
            </m:r>
          </m:e>
        </m:rad>
      </m:oMath>
      <w:r>
        <w:t xml:space="preserve">),</w:t>
      </w:r>
    </w:p>
    <w:p>
      <w:pPr>
        <w:pStyle w:val="ExampleStyle"/>
      </w:pPr>
      <m:oMathPara>
        <m:oMathParaPr>
          <m:jc m:val="center"/>
        </m:oMathParaPr>
        <m:oMath>
          <m:r>
            <m:rPr>
              <m:sty m:val="p"/>
            </m:rPr>
            <m:t>|</m:t>
          </m:r>
          <m:sSub>
            <m:e>
              <m:r>
                <m:t>c</m:t>
              </m:r>
            </m:e>
            <m:sub>
              <m:r>
                <m:t>n</m:t>
              </m:r>
            </m:sub>
          </m:sSub>
          <m:r>
            <m:rPr>
              <m:sty m:val="p"/>
            </m:rPr>
            <m:t>|</m:t>
          </m:r>
          <m:r>
            <m:rPr>
              <m:sty m:val="p"/>
            </m:rPr>
            <m:t>≥</m:t>
          </m:r>
          <m:nary>
            <m:naryPr>
              <m:chr m:val="∑"/>
              <m:limLoc m:val="undOvr"/>
              <m:subHide m:val="0"/>
              <m:supHide m:val="0"/>
            </m:naryPr>
            <m:sub>
              <m:r>
                <m:t>j</m:t>
              </m:r>
              <m:r>
                <m:rPr>
                  <m:sty m:val="p"/>
                </m:rPr>
                <m:t>=</m:t>
              </m:r>
              <m:r>
                <m:t>1</m:t>
              </m:r>
            </m:sub>
            <m:sup>
              <m:r>
                <m:t>n</m:t>
              </m:r>
            </m:sup>
            <m:e>
              <m:f>
                <m:fPr>
                  <m:type m:val="bar"/>
                </m:fPr>
                <m:num>
                  <m:r>
                    <m:t>1</m:t>
                  </m:r>
                </m:num>
                <m:den>
                  <m:r>
                    <m:t>n</m:t>
                  </m:r>
                </m:den>
              </m:f>
            </m:e>
          </m:nary>
          <m:r>
            <m:rPr>
              <m:sty m:val="p"/>
            </m:rPr>
            <m:t>=</m:t>
          </m:r>
          <m:r>
            <m:t>n</m:t>
          </m:r>
          <m:r>
            <m:rPr>
              <m:sty m:val="p"/>
            </m:rPr>
            <m:t>.</m:t>
          </m:r>
        </m:oMath>
      </m:oMathPara>
    </w:p>
    <w:p>
      <w:pPr>
        <w:pStyle w:val="ExampleStyle"/>
      </w:pPr>
      <w:r>
        <w:t xml:space="preserve">This tells us that</w:t>
      </w:r>
      <w:r>
        <w:t xml:space="preserve"> </w:t>
      </w:r>
      <m:oMath>
        <m:sSub>
          <m:e>
            <m:r>
              <m:t>c</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so</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must diverge. Hence, the Cauchy Multiplication Theorem fails in this case.</w:t>
      </w:r>
    </w:p>
    <w:bookmarkEnd w:id="31"/>
    <w:bookmarkEnd w:id="32"/>
    <w:bookmarkEnd w:id="33"/>
    <w:bookmarkStart w:id="48" w:name="power-series"/>
    <w:p>
      <w:pPr>
        <w:pStyle w:val="Heading2"/>
      </w:pPr>
      <w:r>
        <w:t xml:space="preserve">Power Series</w:t>
      </w:r>
    </w:p>
    <w:p>
      <w:pPr>
        <w:pStyle w:val="FirstParagraph"/>
      </w:pPr>
      <w:r>
        <w:t xml:space="preserve">To complete our look at series, we’re going to consider a special type of series which may depend on some parameter</w:t>
      </w:r>
      <w:r>
        <w:t xml:space="preserve"> </w:t>
      </w:r>
      <m:oMath>
        <m:r>
          <m:t>x</m:t>
        </m:r>
      </m:oMath>
      <w:r>
        <w:t xml:space="preserve">. These are known as</w:t>
      </w:r>
      <w:r>
        <w:t xml:space="preserve"> </w:t>
      </w:r>
      <w:r>
        <w:rPr>
          <w:iCs/>
          <w:i/>
        </w:rPr>
        <w:t xml:space="preserve">power series</w:t>
      </w:r>
      <w:r>
        <w:t xml:space="preserve">, and are defined as follows:</w:t>
      </w:r>
    </w:p>
    <w:p>
      <w:pPr>
        <w:pStyle w:val="BodyText"/>
      </w:pPr>
    </w:p>
    <w:bookmarkStart w:id="35" w:name="def:def1"/>
    <w:p>
      <w:pPr>
        <w:pStyle w:val="DefinitionStyle"/>
      </w:pPr>
      <w:bookmarkStart w:id="34" w:name="def:def1"/>
      <w:bookmarkEnd w:id="34"/>
      <w:r>
        <w:rPr>
          <w:rStyle w:val="NameStyle"/>
        </w:rPr>
        <w:t xml:space="preserve">Definition 1.1 (Power Series)</w:t>
      </w:r>
      <w:r>
        <w:rPr>
          <w:rStyle w:val="NameStyle"/>
        </w:rPr>
        <w:t xml:space="preserve"> </w:t>
      </w:r>
    </w:p>
    <w:p>
      <w:pPr>
        <w:pStyle w:val="DefinitionStyle"/>
      </w:pPr>
      <w:r>
        <w:t xml:space="preserve">A power series is a real series of the form</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r>
          <m:rPr>
            <m:sty m:val="p"/>
          </m:rPr>
          <m:t>∈</m:t>
        </m:r>
        <m:r>
          <m:rPr>
            <m:sty m:val="p"/>
            <m:scr m:val="double-struck"/>
          </m:rPr>
          <m:t>R</m:t>
        </m:r>
      </m:oMath>
      <w:r>
        <w:t xml:space="preserve">.</w:t>
      </w:r>
    </w:p>
    <w:bookmarkEnd w:id="35"/>
    <w:p>
      <w:pPr>
        <w:pStyle w:val="BodyText"/>
      </w:pPr>
      <w:r>
        <w:t xml:space="preserve">Note that compared to many of the series we have seen so far, we have started indexing the sum at</w:t>
      </w:r>
      <w:r>
        <w:t xml:space="preserve"> </w:t>
      </w:r>
      <m:oMath>
        <m:r>
          <m:t>n</m:t>
        </m:r>
        <m:r>
          <m:rPr>
            <m:sty m:val="p"/>
          </m:rPr>
          <m:t>=</m:t>
        </m:r>
        <m:r>
          <m:t>0</m:t>
        </m:r>
      </m:oMath>
      <w:r>
        <w:t xml:space="preserve">. This is just convention, and will make no difference to the overall convergence properties of these series. Speaking of, we could do with knowing for which values of</w:t>
      </w:r>
      <w:r>
        <w:t xml:space="preserve"> </w:t>
      </w:r>
      <m:oMath>
        <m:r>
          <m:t>x</m:t>
        </m:r>
      </m:oMath>
      <w:r>
        <w:t xml:space="preserve"> </w:t>
      </w:r>
      <w:r>
        <w:t xml:space="preserve">these power series converge (or diverge) for.</w:t>
      </w:r>
    </w:p>
    <w:p>
      <w:pPr>
        <w:pStyle w:val="BodyText"/>
      </w:pPr>
    </w:p>
    <w:bookmarkStart w:id="37" w:name="prp:prop1"/>
    <w:p>
      <w:pPr>
        <w:pStyle w:val="TheoremStyleUpright"/>
      </w:pPr>
      <w:bookmarkStart w:id="36" w:name="prp:prop1"/>
      <w:bookmarkEnd w:id="36"/>
      <w:r>
        <w:rPr>
          <w:rStyle w:val="NameStyle"/>
        </w:rPr>
        <w:t xml:space="preserve">Proposition 1.1</w:t>
      </w:r>
      <w:r>
        <w:rPr>
          <w:rStyle w:val="NameStyle"/>
        </w:rPr>
        <w:t xml:space="preserve"> </w:t>
      </w:r>
    </w:p>
    <w:p>
      <w:pPr>
        <w:pStyle w:val="TheoremStyleUpright"/>
      </w:pPr>
      <w:r>
        <w:t xml:space="preserve">For a power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let</w:t>
      </w:r>
    </w:p>
    <w:p>
      <w:pPr>
        <w:pStyle w:val="TheoremStyleUpright"/>
      </w:pPr>
      <m:oMathPara>
        <m:oMathParaPr>
          <m:jc m:val="center"/>
        </m:oMathParaPr>
        <m:oMath>
          <m:r>
            <m:t>R</m:t>
          </m:r>
          <m:box>
            <m:boxPr>
              <m:opEmu m:val="1"/>
            </m:boxPr>
            <m:e>
              <m:r>
                <m:rPr>
                  <m:sty m:val="p"/>
                </m:rPr>
                <m:t>:=</m:t>
              </m:r>
            </m:e>
          </m:box>
          <m:r>
            <m:rPr>
              <m:nor/>
              <m:sty m:val="p"/>
            </m:rPr>
            <m:t>sup</m:t>
          </m:r>
          <m:r>
            <m:rPr>
              <m:sty m:val="p"/>
            </m:rPr>
            <m:t>{</m:t>
          </m:r>
          <m:r>
            <m:t>r</m:t>
          </m:r>
          <m:r>
            <m:rPr>
              <m:sty m:val="p"/>
            </m:rPr>
            <m:t>≥</m:t>
          </m:r>
          <m:r>
            <m:t>0</m:t>
          </m:r>
          <m:r>
            <m:rPr>
              <m:sty m:val="p"/>
            </m:rPr>
            <m:t>|</m:t>
          </m:r>
          <m:sSub>
            <m:e>
              <m:d>
                <m:dPr>
                  <m:begChr m:val="("/>
                  <m:endChr m:val=")"/>
                  <m:sepChr m:val=""/>
                  <m:grow/>
                </m:dPr>
                <m:e>
                  <m:r>
                    <m:rPr>
                      <m:sty m:val="p"/>
                    </m:rPr>
                    <m:t>|</m:t>
                  </m:r>
                  <m:sSub>
                    <m:e>
                      <m:r>
                        <m:t>a</m:t>
                      </m:r>
                    </m:e>
                    <m:sub>
                      <m:r>
                        <m:t>n</m:t>
                      </m:r>
                    </m:sub>
                  </m:sSub>
                  <m:r>
                    <m:rPr>
                      <m:sty m:val="p"/>
                    </m:rPr>
                    <m:t>|</m:t>
                  </m:r>
                  <m:sSup>
                    <m:e>
                      <m:r>
                        <m:t>r</m:t>
                      </m:r>
                    </m:e>
                    <m:sup>
                      <m:r>
                        <m:t>n</m:t>
                      </m:r>
                    </m:sup>
                  </m:sSup>
                </m:e>
              </m:d>
            </m:e>
            <m:sub>
              <m:r>
                <m:t>n</m:t>
              </m:r>
              <m:r>
                <m:rPr>
                  <m:sty m:val="p"/>
                </m:rPr>
                <m:t>∈</m:t>
              </m:r>
              <m:r>
                <m:rPr>
                  <m:sty m:val="p"/>
                  <m:scr m:val="double-struck"/>
                </m:rPr>
                <m:t>N</m:t>
              </m:r>
            </m:sub>
          </m:sSub>
          <m:r>
            <m:t> </m:t>
          </m:r>
          <m:r>
            <m:rPr>
              <m:nor/>
              <m:sty m:val="p"/>
            </m:rPr>
            <m:t>is bounded</m:t>
          </m:r>
          <m:r>
            <m:rPr>
              <m:sty m:val="p"/>
            </m:rPr>
            <m:t>}</m:t>
          </m:r>
          <m:r>
            <m:rPr>
              <m:sty m:val="p"/>
            </m:rPr>
            <m:t>.</m:t>
          </m:r>
        </m:oMath>
      </m:oMathPara>
    </w:p>
    <w:p>
      <w:pPr>
        <w:pStyle w:val="TheoremStyleUpright"/>
      </w:pPr>
      <w:r>
        <w:t xml:space="preserve">Then</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d>
            <m:dPr>
              <m:begChr m:val="{"/>
              <m:endChr m:val=""/>
              <m:sepChr m:val=""/>
              <m:grow/>
            </m:dPr>
            <m:e>
              <m:m>
                <m:mPr>
                  <m:baseJc m:val="center"/>
                  <m:plcHide m:val="1"/>
                  <m:mcs>
                    <m:mc>
                      <m:mcPr>
                        <m:mcJc m:val="left"/>
                        <m:count m:val="1"/>
                      </m:mcPr>
                    </m:mc>
                  </m:mcs>
                </m:mPr>
                <m:mr>
                  <m:e>
                    <m:r>
                      <m:rPr>
                        <m:nor/>
                        <m:sty m:val="p"/>
                      </m:rPr>
                      <m:t>diverges for</m:t>
                    </m:r>
                    <m:r>
                      <m:t> </m:t>
                    </m:r>
                    <m:r>
                      <m:rPr>
                        <m:sty m:val="p"/>
                      </m:rPr>
                      <m:t>|</m:t>
                    </m:r>
                    <m:r>
                      <m:t>x</m:t>
                    </m:r>
                    <m:r>
                      <m:rPr>
                        <m:sty m:val="p"/>
                      </m:rPr>
                      <m:t>|</m:t>
                    </m:r>
                    <m:r>
                      <m:rPr>
                        <m:sty m:val="p"/>
                      </m:rPr>
                      <m:t>&gt;</m:t>
                    </m:r>
                    <m:r>
                      <m:t>R</m:t>
                    </m:r>
                    <m:r>
                      <m:rPr>
                        <m:sty m:val="p"/>
                      </m:rPr>
                      <m:t>,</m:t>
                    </m:r>
                  </m:e>
                </m:mr>
                <m:mr>
                  <m:e>
                    <m:r>
                      <m:rPr>
                        <m:nor/>
                        <m:sty m:val="p"/>
                      </m:rPr>
                      <m:t>converges absolutely for</m:t>
                    </m:r>
                    <m:r>
                      <m:t> </m:t>
                    </m:r>
                    <m:r>
                      <m:rPr>
                        <m:sty m:val="p"/>
                      </m:rPr>
                      <m:t>|</m:t>
                    </m:r>
                    <m:r>
                      <m:t>x</m:t>
                    </m:r>
                    <m:r>
                      <m:rPr>
                        <m:sty m:val="p"/>
                      </m:rPr>
                      <m:t>|</m:t>
                    </m:r>
                    <m:r>
                      <m:rPr>
                        <m:sty m:val="p"/>
                      </m:rPr>
                      <m:t>&lt;</m:t>
                    </m:r>
                    <m:r>
                      <m:t>R</m:t>
                    </m:r>
                    <m:r>
                      <m:rPr>
                        <m:sty m:val="p"/>
                      </m:rPr>
                      <m:t>.</m:t>
                    </m:r>
                  </m:e>
                </m:mr>
              </m:m>
            </m:e>
          </m:d>
        </m:oMath>
      </m:oMathPara>
    </w:p>
    <w:bookmarkEnd w:id="37"/>
    <w:p>
      <w:pPr>
        <w:pStyle w:val="FirstParagraph"/>
      </w:pPr>
      <w:r>
        <w:t xml:space="preserve">Here,</w:t>
      </w:r>
      <w:r>
        <w:t xml:space="preserve"> </w:t>
      </w:r>
      <m:oMath>
        <m:r>
          <m:t>R</m:t>
        </m:r>
      </m:oMath>
      <w:r>
        <w:t xml:space="preserve"> </w:t>
      </w:r>
      <w:r>
        <w:t xml:space="preserve">is known as the</w:t>
      </w:r>
      <w:r>
        <w:t xml:space="preserve"> </w:t>
      </w:r>
      <w:r>
        <w:rPr>
          <w:iCs/>
          <w:i/>
        </w:rPr>
        <w:t xml:space="preserve">radius of convergence</w:t>
      </w:r>
      <w:r>
        <w:t xml:space="preserve"> </w:t>
      </w:r>
      <w:r>
        <w:t xml:space="preserve">of the power series. Now, if</w:t>
      </w:r>
      <w:r>
        <w:t xml:space="preserve"> </w:t>
      </w:r>
      <m:oMath>
        <m:r>
          <m:t>R</m:t>
        </m:r>
        <m:r>
          <m:rPr>
            <m:sty m:val="p"/>
          </m:rPr>
          <m:t>≠</m:t>
        </m:r>
        <m:r>
          <m:rPr>
            <m:sty m:val="p"/>
          </m:rPr>
          <m:t>+</m:t>
        </m:r>
        <m:r>
          <m:rPr>
            <m:sty m:val="p"/>
          </m:rPr>
          <m:t>∞</m:t>
        </m:r>
      </m:oMath>
      <w:r>
        <w:t xml:space="preserve">, what happens if</w:t>
      </w:r>
      <w:r>
        <w:t xml:space="preserve"> </w:t>
      </w:r>
      <m:oMath>
        <m:r>
          <m:t>x</m:t>
        </m:r>
        <m:r>
          <m:rPr>
            <m:sty m:val="p"/>
          </m:rPr>
          <m:t>=</m:t>
        </m:r>
        <m:r>
          <m:rPr>
            <m:sty m:val="p"/>
          </m:rPr>
          <m:t>±</m:t>
        </m:r>
        <m:r>
          <m:t>R</m:t>
        </m:r>
      </m:oMath>
      <w:r>
        <w:t xml:space="preserve">? Unfortunately, we need to check the convergence at these points separately, but in doing so, we determine the</w:t>
      </w:r>
      <w:r>
        <w:t xml:space="preserve"> </w:t>
      </w:r>
      <w:r>
        <w:rPr>
          <w:iCs/>
          <w:i/>
        </w:rPr>
        <w:t xml:space="preserve">interval of convergence</w:t>
      </w:r>
      <w:r>
        <w:t xml:space="preserve">, which is the set of all</w:t>
      </w:r>
      <w:r>
        <w:t xml:space="preserve"> </w:t>
      </w:r>
      <m:oMath>
        <m:r>
          <m:t>x</m:t>
        </m:r>
      </m:oMath>
      <w:r>
        <w:t xml:space="preserve"> </w:t>
      </w:r>
      <w:r>
        <w:t xml:space="preserve">for which the power series converges.</w:t>
      </w:r>
    </w:p>
    <w:bookmarkStart w:id="47" w:name="how-do-we-find-r"/>
    <w:p>
      <w:pPr>
        <w:pStyle w:val="Heading3"/>
      </w:pPr>
      <w:r>
        <w:t xml:space="preserve">How do we find</w:t>
      </w:r>
      <w:r>
        <w:t xml:space="preserve"> </w:t>
      </w:r>
      <m:oMath>
        <m:r>
          <m:t>R</m:t>
        </m:r>
      </m:oMath>
      <w:r>
        <w:t xml:space="preserve">?</w:t>
      </w:r>
    </w:p>
    <w:p>
      <w:pPr>
        <w:pStyle w:val="FirstParagraph"/>
      </w:pPr>
      <w:r>
        <w:t xml:space="preserve">Good question. Luckily, there’s two</w:t>
      </w:r>
      <w:r>
        <w:rPr>
          <w:rStyle w:val="FootnoteReference"/>
        </w:rPr>
        <w:footnoteReference w:id="38"/>
      </w:r>
      <w:r>
        <w:t xml:space="preserve"> </w:t>
      </w:r>
      <w:r>
        <w:t xml:space="preserve">methods of finding</w:t>
      </w:r>
      <w:r>
        <w:t xml:space="preserve"> </w:t>
      </w:r>
      <m:oMath>
        <m:r>
          <m:t>R</m:t>
        </m:r>
      </m:oMath>
      <w:r>
        <w:t xml:space="preserve">. The first one is a result of d’Alembert’s ratio test.</w:t>
      </w:r>
    </w:p>
    <w:p>
      <w:pPr>
        <w:pStyle w:val="BodyText"/>
      </w:pPr>
    </w:p>
    <w:bookmarkStart w:id="40" w:name="thm:thm4"/>
    <w:p>
      <w:pPr>
        <w:pStyle w:val="TheoremStyleUpright"/>
      </w:pPr>
      <w:bookmarkStart w:id="39" w:name="thm:thm4"/>
      <w:bookmarkEnd w:id="39"/>
      <w:r>
        <w:rPr>
          <w:rStyle w:val="NameStyle"/>
        </w:rPr>
        <w:t xml:space="preserve">Theorem 1.4</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If</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sub>
              </m:sSub>
              <m:r>
                <m:rPr>
                  <m:sty m:val="p"/>
                </m:rPr>
                <m:t>|</m:t>
              </m:r>
            </m:num>
            <m:den>
              <m:r>
                <m:rPr>
                  <m:sty m:val="p"/>
                </m:rPr>
                <m:t>|</m:t>
              </m:r>
              <m:sSub>
                <m:e>
                  <m:r>
                    <m:t>a</m:t>
                  </m:r>
                </m:e>
                <m:sub>
                  <m:r>
                    <m:t>n</m:t>
                  </m:r>
                  <m:r>
                    <m:rPr>
                      <m:sty m:val="p"/>
                    </m:rPr>
                    <m:t>+</m:t>
                  </m:r>
                  <m:r>
                    <m:t>1</m:t>
                  </m:r>
                </m:sub>
              </m:sSub>
              <m:r>
                <m:rPr>
                  <m:sty m:val="p"/>
                </m:rPr>
                <m:t>|</m:t>
              </m:r>
            </m:den>
          </m:f>
        </m:oMath>
      </m:oMathPara>
    </w:p>
    <w:p>
      <w:pPr>
        <w:pStyle w:val="TheoremStyleUpright"/>
      </w:pPr>
      <w:r>
        <w:t xml:space="preserve">exists, then the radius of convergence</w:t>
      </w:r>
      <w:r>
        <w:t xml:space="preserve"> </w:t>
      </w:r>
      <m:oMath>
        <m:r>
          <m:t>R</m:t>
        </m:r>
      </m:oMath>
      <w:r>
        <w:t xml:space="preserve"> </w:t>
      </w:r>
      <w:r>
        <w:t xml:space="preserve">is the value of this limit.</w:t>
      </w:r>
    </w:p>
    <w:bookmarkEnd w:id="40"/>
    <w:p>
      <w:pPr>
        <w:pStyle w:val="BodyText"/>
      </w:pPr>
      <w:r>
        <w:t xml:space="preserve">There’s something to be aware of here. In this test,</w:t>
      </w:r>
      <w:r>
        <w:t xml:space="preserve"> </w:t>
      </w:r>
      <m:oMath>
        <m:sSub>
          <m:e>
            <m:r>
              <m:t>a</m:t>
            </m:r>
          </m:e>
          <m:sub>
            <m:r>
              <m:t>n</m:t>
            </m:r>
          </m:sub>
        </m:sSub>
      </m:oMath>
      <w:r>
        <w:t xml:space="preserve"> </w:t>
      </w:r>
      <w:r>
        <w:t xml:space="preserve">is on the top of the fraction, and</w:t>
      </w:r>
      <w:r>
        <w:t xml:space="preserve"> </w:t>
      </w:r>
      <m:oMath>
        <m:sSub>
          <m:e>
            <m:r>
              <m:t>a</m:t>
            </m:r>
          </m:e>
          <m:sub>
            <m:r>
              <m:t>n</m:t>
            </m:r>
            <m:r>
              <m:rPr>
                <m:sty m:val="p"/>
              </m:rPr>
              <m:t>+</m:t>
            </m:r>
            <m:r>
              <m:t>1</m:t>
            </m:r>
          </m:sub>
        </m:sSub>
      </m:oMath>
      <w:r>
        <w:t xml:space="preserve"> </w:t>
      </w:r>
      <w:r>
        <w:t xml:space="preserve">is on the bottom. This is the</w:t>
      </w:r>
      <w:r>
        <w:t xml:space="preserve"> </w:t>
      </w:r>
      <w:r>
        <w:rPr>
          <w:bCs/>
          <w:b/>
        </w:rPr>
        <w:t xml:space="preserve">other way round</w:t>
      </w:r>
      <w:r>
        <w:t xml:space="preserve"> </w:t>
      </w:r>
      <w:r>
        <w:t xml:space="preserve">to d’Alembert’s ratio test, so be careful when applying this test! Also, note that if you have infinitely many</w:t>
      </w:r>
      <w:r>
        <w:t xml:space="preserve"> </w:t>
      </w:r>
      <m:oMath>
        <m:sSub>
          <m:e>
            <m:r>
              <m:t>a</m:t>
            </m:r>
          </m:e>
          <m:sub>
            <m:r>
              <m:t>n</m:t>
            </m:r>
          </m:sub>
        </m:sSub>
      </m:oMath>
      <w:r>
        <w:t xml:space="preserve"> </w:t>
      </w:r>
      <w:r>
        <w:t xml:space="preserve">equal to zero, then you won’t be able to define the fraction in the first place!</w:t>
      </w:r>
    </w:p>
    <w:p>
      <w:pPr>
        <w:pStyle w:val="BodyText"/>
      </w:pPr>
      <w:r>
        <w:t xml:space="preserve">The second method doesn’t look as nice, but it’s very useful if the values of</w:t>
      </w:r>
      <w:r>
        <w:t xml:space="preserve"> </w:t>
      </w:r>
      <m:oMath>
        <m:sSub>
          <m:e>
            <m:r>
              <m:t>a</m:t>
            </m:r>
          </m:e>
          <m:sub>
            <m:r>
              <m:t>n</m:t>
            </m:r>
          </m:sub>
        </m:sSub>
      </m:oMath>
      <w:r>
        <w:t xml:space="preserve"> </w:t>
      </w:r>
      <w:r>
        <w:t xml:space="preserve">involve powers of</w:t>
      </w:r>
      <w:r>
        <w:t xml:space="preserve"> </w:t>
      </w:r>
      <m:oMath>
        <m:r>
          <m:t>n</m:t>
        </m:r>
      </m:oMath>
      <w:r>
        <w:t xml:space="preserve">, or if there’s infinitely many of them equal to zero. And it’s also another result due to Cauchy!</w:t>
      </w:r>
      <w:r>
        <w:rPr>
          <w:rStyle w:val="FootnoteReference"/>
        </w:rPr>
        <w:footnoteReference w:id="41"/>
      </w:r>
    </w:p>
    <w:p>
      <w:pPr>
        <w:pStyle w:val="BodyText"/>
      </w:pPr>
    </w:p>
    <w:bookmarkStart w:id="43" w:name="thm:thm5"/>
    <w:p>
      <w:pPr>
        <w:pStyle w:val="TheoremStyleUpright"/>
      </w:pPr>
      <w:bookmarkStart w:id="42" w:name="thm:thm5"/>
      <w:bookmarkEnd w:id="42"/>
      <w:r>
        <w:rPr>
          <w:rStyle w:val="NameStyle"/>
        </w:rPr>
        <w:t xml:space="preserve">Theorem 1.5 (Cauchy-Hadamard)</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Then</w:t>
      </w:r>
    </w:p>
    <w:p>
      <w:pPr>
        <w:pStyle w:val="TheoremStyleUpright"/>
      </w:pPr>
      <m:oMathPara>
        <m:oMathParaPr>
          <m:jc m:val="center"/>
        </m:oMathParaPr>
        <m:oMath>
          <m:r>
            <m:t>R</m:t>
          </m:r>
          <m:r>
            <m:rPr>
              <m:sty m:val="p"/>
            </m:rPr>
            <m:t>=</m:t>
          </m:r>
          <m:sSup>
            <m:e>
              <m:d>
                <m:dPr>
                  <m:begChr m:val="("/>
                  <m:endChr m:val=")"/>
                  <m:sepChr m:val=""/>
                  <m:grow/>
                </m:dPr>
                <m:e>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e>
              </m:d>
            </m:e>
            <m:sup>
              <m:r>
                <m:rPr>
                  <m:sty m:val="p"/>
                </m:rPr>
                <m:t>−</m:t>
              </m:r>
              <m:r>
                <m:t>1</m:t>
              </m:r>
            </m:sup>
          </m:sSup>
          <m:r>
            <m:rPr>
              <m:sty m:val="p"/>
            </m:rPr>
            <m:t>,</m:t>
          </m:r>
        </m:oMath>
      </m:oMathPara>
    </w:p>
    <w:p>
      <w:pPr>
        <w:pStyle w:val="TheoremStyleUpright"/>
      </w:pPr>
      <w:r>
        <w:t xml:space="preserve">where we define</w:t>
      </w:r>
      <w:r>
        <w:t xml:space="preserve"> </w:t>
      </w:r>
      <m:oMath>
        <m:r>
          <m:t>R</m:t>
        </m:r>
        <m:r>
          <m:rPr>
            <m:sty m:val="p"/>
          </m:rPr>
          <m:t>=</m:t>
        </m:r>
        <m:r>
          <m:rPr>
            <m:sty m:val="p"/>
          </m:rPr>
          <m:t>∞</m:t>
        </m:r>
      </m:oMath>
      <w:r>
        <w:t xml:space="preserve"> </w:t>
      </w:r>
      <w:r>
        <w:t xml:space="preserve">if</w:t>
      </w:r>
      <w:r>
        <w:t xml:space="preserve"> </w:t>
      </w:r>
      <m:oMath>
        <m:f>
          <m:fPr>
            <m:type m:val="bar"/>
          </m:fPr>
          <m:num>
            <m:r>
              <m:t>1</m:t>
            </m:r>
          </m:num>
          <m:den>
            <m:r>
              <m:t>R</m:t>
            </m:r>
          </m:den>
        </m:f>
        <m:r>
          <m:rPr>
            <m:sty m:val="p"/>
          </m:rPr>
          <m:t>=</m:t>
        </m:r>
        <m:r>
          <m:t>0</m:t>
        </m:r>
      </m:oMath>
      <w:r>
        <w:t xml:space="preserve">, and</w:t>
      </w:r>
      <w:r>
        <w:t xml:space="preserve"> </w:t>
      </w:r>
      <m:oMath>
        <m:r>
          <m:t>R</m:t>
        </m:r>
        <m:r>
          <m:rPr>
            <m:sty m:val="p"/>
          </m:rPr>
          <m:t>=</m:t>
        </m:r>
        <m:r>
          <m:t>0</m:t>
        </m:r>
      </m:oMath>
      <w:r>
        <w:t xml:space="preserve"> </w:t>
      </w:r>
      <w:r>
        <w:t xml:space="preserve">if</w:t>
      </w:r>
      <w:r>
        <w:t xml:space="preserve"> </w:t>
      </w:r>
      <m:oMath>
        <m:f>
          <m:fPr>
            <m:type m:val="bar"/>
          </m:fPr>
          <m:num>
            <m:r>
              <m:t>1</m:t>
            </m:r>
          </m:num>
          <m:den>
            <m:r>
              <m:t>R</m:t>
            </m:r>
          </m:den>
        </m:f>
        <m:r>
          <m:rPr>
            <m:sty m:val="p"/>
          </m:rPr>
          <m:t>=</m:t>
        </m:r>
        <m:r>
          <m:rPr>
            <m:sty m:val="p"/>
          </m:rPr>
          <m:t>∞</m:t>
        </m:r>
      </m:oMath>
      <w:r>
        <w:t xml:space="preserve">.</w:t>
      </w:r>
    </w:p>
    <w:bookmarkEnd w:id="43"/>
    <w:p>
      <w:pPr>
        <w:pStyle w:val="BodyText"/>
      </w:pPr>
      <w:r>
        <w:t xml:space="preserve">This test is also known as the</w:t>
      </w:r>
      <w:r>
        <w:t xml:space="preserve"> </w:t>
      </w:r>
      <w:r>
        <w:rPr>
          <w:iCs/>
          <w:i/>
        </w:rPr>
        <w:t xml:space="preserve">root test</w:t>
      </w:r>
      <w:r>
        <w:t xml:space="preserve">. It is also a good point to mention a particular limit, as it often comes up when applying Cauchy-Hadamard.</w:t>
      </w:r>
    </w:p>
    <w:p>
      <w:pPr>
        <w:pStyle w:val="BodyText"/>
      </w:pPr>
    </w:p>
    <w:bookmarkStart w:id="45" w:name="prp:prop2"/>
    <w:p>
      <w:pPr>
        <w:pStyle w:val="TheoremStyleUpright"/>
      </w:pPr>
      <w:bookmarkStart w:id="44" w:name="prp:prop2"/>
      <w:bookmarkEnd w:id="44"/>
      <w:r>
        <w:rPr>
          <w:rStyle w:val="NameStyle"/>
        </w:rPr>
        <w:t xml:space="preserve">Proposition 1.2</w:t>
      </w:r>
      <w:r>
        <w:rPr>
          <w:rStyle w:val="NameStyle"/>
        </w:rPr>
        <w:t xml:space="preserve"> </w:t>
      </w:r>
    </w:p>
    <w:p>
      <w:pPr>
        <w:pStyle w:val="TheoremStyleUpright"/>
      </w:pPr>
      <w:r>
        <w:t xml:space="preserve">We have</w:t>
      </w:r>
      <w:r>
        <w:t xml:space="preserve"> </w:t>
      </w:r>
      <m:oMath>
        <m:sSub>
          <m:e>
            <m:r>
              <m:rPr>
                <m:nor/>
                <m:sty m:val="p"/>
              </m:rPr>
              <m:t>lim</m:t>
            </m:r>
          </m:e>
          <m:sub>
            <m:r>
              <m:t>n</m:t>
            </m:r>
            <m:r>
              <m:rPr>
                <m:sty m:val="p"/>
              </m:rPr>
              <m:t>→</m:t>
            </m:r>
            <m:r>
              <m:rPr>
                <m:sty m:val="p"/>
              </m:rPr>
              <m:t>∞</m:t>
            </m:r>
          </m:sub>
        </m:sSub>
        <m:sSup>
          <m:e>
            <m:r>
              <m:t>n</m:t>
            </m:r>
          </m:e>
          <m:sup>
            <m:f>
              <m:fPr>
                <m:type m:val="bar"/>
              </m:fPr>
              <m:num>
                <m:r>
                  <m:t>1</m:t>
                </m:r>
              </m:num>
              <m:den>
                <m:r>
                  <m:t>n</m:t>
                </m:r>
              </m:den>
            </m:f>
          </m:sup>
        </m:sSup>
        <m:r>
          <m:rPr>
            <m:sty m:val="p"/>
          </m:rPr>
          <m:t>=</m:t>
        </m:r>
        <m:r>
          <m:t>1</m:t>
        </m:r>
      </m:oMath>
      <w:r>
        <w:t xml:space="preserve">.</w:t>
      </w:r>
    </w:p>
    <w:bookmarkEnd w:id="45"/>
    <w:p>
      <w:pPr>
        <w:pStyle w:val="BodyText"/>
      </w:pPr>
      <w:r>
        <w:t xml:space="preserve">Try proving this using a similar argument to that on</w:t>
      </w:r>
      <w:r>
        <w:t xml:space="preserve"> </w:t>
      </w:r>
      <w:r>
        <w:rPr>
          <w:iCs/>
          <w:i/>
        </w:rPr>
        <w:t xml:space="preserve">Exercise Sheet 5, Question 1</w:t>
      </w:r>
      <w:r>
        <w:t xml:space="preserve"> </w:t>
      </w:r>
      <w:r>
        <w:t xml:space="preserve">(but using the binomial theorem instead of just the binomial inequality).</w:t>
      </w:r>
    </w:p>
    <w:p>
      <w:pPr>
        <w:pStyle w:val="BodyText"/>
      </w:pPr>
      <w:r>
        <w:t xml:space="preserve">As a final comment here, there is much more that we can say about power series (in regards to differentiability, integrability, etc.), and we can even extend them to complex</w:t>
      </w:r>
      <w:r>
        <w:t xml:space="preserve"> </w:t>
      </w:r>
      <m:oMath>
        <m:r>
          <m:t>x</m:t>
        </m:r>
      </m:oMath>
      <w:r>
        <w:t xml:space="preserve">. If you’re interested, you’ll find these results in</w:t>
      </w:r>
      <w:r>
        <w:t xml:space="preserve"> </w:t>
      </w:r>
      <w:hyperlink r:id="rId46">
        <w:r>
          <w:rPr>
            <w:rStyle w:val="Hyperlink"/>
          </w:rPr>
          <w:t xml:space="preserve">Analysis 2A</w:t>
        </w:r>
      </w:hyperlink>
      <w:r>
        <w:t xml:space="preserve"> </w:t>
      </w:r>
      <w:r>
        <w:t xml:space="preserve">in Year 2!</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In this one, remember what we did in tutorials. One uses Leibniz, one can be done with Leibniz (but its quicker not to), and one diverges. Make sure you check the hypotheses of any test you use!</w:t>
      </w:r>
    </w:p>
    <w:p>
      <w:pPr>
        <w:numPr>
          <w:ilvl w:val="0"/>
          <w:numId w:val="1001"/>
        </w:numPr>
        <w:pStyle w:val="Compact"/>
      </w:pPr>
      <w:r>
        <w:t xml:space="preserve">[H2.] The radius of convergence,</w:t>
      </w:r>
      <w:r>
        <w:t xml:space="preserve"> </w:t>
      </w:r>
      <m:oMath>
        <m:r>
          <m:t>R</m:t>
        </m:r>
      </m:oMath>
      <w:r>
        <w:t xml:space="preserve">, should be alright — have a look at the theory in lectures/tutorials. For the interval of convergence, remember that if</w:t>
      </w:r>
      <w:r>
        <w:t xml:space="preserve"> </w:t>
      </w:r>
      <m:oMath>
        <m:r>
          <m:t>R</m:t>
        </m:r>
        <m:r>
          <m:rPr>
            <m:sty m:val="p"/>
          </m:rPr>
          <m:t>≠</m:t>
        </m:r>
        <m:r>
          <m:rPr>
            <m:sty m:val="p"/>
          </m:rPr>
          <m:t>∞</m:t>
        </m:r>
      </m:oMath>
      <w:r>
        <w:t xml:space="preserve">, you need to test for convergence at</w:t>
      </w:r>
      <w:r>
        <w:t xml:space="preserve"> </w:t>
      </w:r>
      <m:oMath>
        <m:r>
          <m:rPr>
            <m:sty m:val="p"/>
          </m:rPr>
          <m:t>±</m:t>
        </m:r>
        <m:r>
          <m:t>R</m:t>
        </m:r>
      </m:oMath>
      <w:r>
        <w:t xml:space="preserve">. However…</w:t>
      </w:r>
    </w:p>
    <w:p>
      <w:pPr>
        <w:numPr>
          <w:ilvl w:val="1"/>
          <w:numId w:val="1002"/>
        </w:numPr>
        <w:pStyle w:val="Compact"/>
      </w:pPr>
      <w:r>
        <w:t xml:space="preserve">[H2a).] For this one, you might want to make a variable substitution first.</w:t>
      </w:r>
    </w:p>
    <w:p>
      <w:pPr>
        <w:numPr>
          <w:ilvl w:val="0"/>
          <w:numId w:val="1001"/>
        </w:numPr>
        <w:pStyle w:val="Compact"/>
      </w:pPr>
      <w:r>
        <w:t xml:space="preserve">[H3.] This one is only slightly more involved. Know your definitions, and again, think of possible convergence tests to apply.</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keeping track, this is the third time Cauchy has appeared in this course. And we’re not done yet!</w:t>
      </w:r>
    </w:p>
  </w:footnote>
  <w:footnote w:id="38">
    <w:p>
      <w:pPr>
        <w:pStyle w:val="FootnoteText"/>
      </w:pPr>
      <w:r>
        <w:rPr>
          <w:rStyle w:val="FootnoteReference"/>
        </w:rPr>
        <w:footnoteRef/>
      </w:r>
      <w:r>
        <w:t xml:space="preserve"> </w:t>
      </w:r>
      <w:r>
        <w:t xml:space="preserve">Technically, there’s three, but the third is basically by using both versions of the comparison test to compare the power series to something which you know converges/diverges.</w:t>
      </w:r>
    </w:p>
  </w:footnote>
  <w:footnote w:id="41">
    <w:p>
      <w:pPr>
        <w:pStyle w:val="FootnoteText"/>
      </w:pPr>
      <w:r>
        <w:rPr>
          <w:rStyle w:val="FootnoteReference"/>
        </w:rPr>
        <w:footnoteRef/>
      </w:r>
      <w:r>
        <w:t xml:space="preserve"> </w:t>
      </w:r>
      <w:r>
        <w:t xml:space="preserve">This is result number four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2022-12-01T14:11:13Z</dcterms:created>
  <dcterms:modified xsi:type="dcterms:W3CDTF">2022-12-01T14:11:13Z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