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funcionário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Validar se já tem email cadastrado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`funcionario` WHERE `nm_email` LIKE :pemail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Validar se o CPF já está cadastrado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`funcionario` WHERE `nr_cpf` LIKE :pcpf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Inserir os dados do cadastro depois das validações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`funcionario` (`id_funcionario`, `nm_funcionario`,`nr_cpf`,`dt_nasc`, `ds_experiencia`, `nm_email`, `nr_senha`, `eh_funcionario`)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(NULL, :pnome, :pcpf, :pnasc, :pexp, :pemail, :psenha,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estabelecimento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Validar se já tem email cadastrado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`funcionario` WHERE `nm_email` LIKE :pemail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Validar se o CNPJ já está cadastrado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`funcionario` WHERE `nr_cnpj` LIKE :pcnpj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Inserir os dados do cadastro depois das validações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`estabelecimento` (`id_estabelecimento`, `nm_estabelecimento`,`tipo_estabelecimento`, `nr_cnpj`, `nm_responsavel`, `nr_cpf`, `nm_email`, `nr_senha`, `eh_funcionario`)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(NULL, :pnome, :pramo, :pcnpj, :presp, :pcpf, :pemail, :psenha,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Buscar se o cadastro está na base de dados de funcionário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 `funcionario` WHERE `nm_email`= :pemail  AND `nr_senha`=:psenha;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Buscar se o cadastro está na base de dados do estabelecimento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`estabelecimento` WHERE `nm_email`= :pemail AND `nr_senha`=:psenha;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Buscar os dados do usuário na página de funcionario para validar se o campo eh_funcionario é 1, se for 1 continua na página do funcionario, se for 0 ele redireciona para a página de estabelecimento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 `funcionario` WHERE id_funcionario=:pid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