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Montserrat SemiBold" w:cs="Montserrat SemiBold" w:eastAsia="Montserrat SemiBold" w:hAnsi="Montserrat SemiBold"/>
          <w:sz w:val="36"/>
          <w:szCs w:val="3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6"/>
          <w:szCs w:val="36"/>
          <w:rtl w:val="0"/>
        </w:rPr>
        <w:t xml:space="preserve">Задача 1. Генератор интеграций с платёжными провайдерами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qyixolkg2p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b5fzl3gg1f5" w:id="1"/>
      <w:bookmarkEnd w:id="1"/>
      <w:r w:rsidDel="00000000" w:rsidR="00000000" w:rsidRPr="00000000">
        <w:rPr>
          <w:rtl w:val="0"/>
        </w:rPr>
        <w:t xml:space="preserve">Полное описание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Space Payments подключает новых платёжных провайдеров регулярно. Каждая интеграция - Ruby-сервис с единым контрактом:</w:t>
      </w:r>
    </w:p>
    <w:tbl>
      <w:tblPr>
        <w:tblStyle w:val="Table1"/>
        <w:jc w:val="left"/>
        <w:tblLayout w:type="fixed"/>
        <w:tblLook w:val="0600"/>
      </w:tblPr>
      <w:tblGrid>
        <w:gridCol w:w="13958"/>
        <w:tblGridChange w:id="0">
          <w:tblGrid>
            <w:gridCol w:w="13958"/>
          </w:tblGrid>
        </w:tblGridChange>
      </w:tblGrid>
      <w:tr>
        <w:trPr>
          <w:cantSplit w:val="0"/>
          <w:tblHeader w:val="0"/>
        </w:trPr>
        <w:tc>
          <w:tcPr>
            <w:shd w:fill="fe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928a1"/>
                <w:shd w:fill="fefef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7faa"/>
                <w:shd w:fill="fefefe" w:val="clear"/>
                <w:rtl w:val="0"/>
              </w:rPr>
              <w:t xml:space="preserve">Provider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::ExampleService &lt; Provider::BaseService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928a1"/>
                <w:shd w:fill="fefef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7faa"/>
                <w:shd w:fill="fefefe" w:val="clear"/>
                <w:rtl w:val="0"/>
              </w:rPr>
              <w:t xml:space="preserve">check_conditions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(operation, request_method)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   # предпроверки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7faa"/>
                <w:shd w:fill="fefef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7faa"/>
                <w:shd w:fill="fefefe" w:val="clear"/>
                <w:rtl w:val="0"/>
              </w:rPr>
              <w:t xml:space="preserve">create_request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(operation, ...)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                # создание выплаты/депозита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7faa"/>
                <w:shd w:fill="fefef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7faa"/>
                <w:shd w:fill="fefefe" w:val="clear"/>
                <w:rtl w:val="0"/>
              </w:rPr>
              <w:t xml:space="preserve">process_callback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(payload)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                     # обработка </w:t>
            </w:r>
            <w:r w:rsidDel="00000000" w:rsidR="00000000" w:rsidRPr="00000000">
              <w:rPr>
                <w:rFonts w:ascii="Consolas" w:cs="Consolas" w:eastAsia="Consolas" w:hAnsi="Consolas"/>
                <w:color w:val="007faa"/>
                <w:shd w:fill="fefefe" w:val="clear"/>
                <w:rtl w:val="0"/>
              </w:rPr>
              <w:t xml:space="preserve">webhook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7faa"/>
                <w:shd w:fill="fefefe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7faa"/>
                <w:shd w:fill="fefefe" w:val="clear"/>
                <w:rtl w:val="0"/>
              </w:rPr>
              <w:t xml:space="preserve">fetch_status</w:t>
            </w:r>
            <w:r w:rsidDel="00000000" w:rsidR="00000000" w:rsidRPr="00000000">
              <w:rPr>
                <w:rFonts w:ascii="Consolas" w:cs="Consolas" w:eastAsia="Consolas" w:hAnsi="Consolas"/>
                <w:color w:val="aa5d00"/>
                <w:shd w:fill="fefefe" w:val="clear"/>
                <w:rtl w:val="0"/>
              </w:rPr>
              <w:t xml:space="preserve">(operation)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t xml:space="preserve">                       # статус-запрос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7faa"/>
                <w:shd w:fill="fefefe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545454"/>
                <w:shd w:fill="fefefe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Сейчас разработчик вручную читает документацию провайдера и пишет сервис с нуля. Это занимает 2–5 дней на интеграцию.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Задача: создать инструмент, который принимает открытую документацию API провайдера и генерирует интеграцию провайдера.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660450" cy="38573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0450" cy="3857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jwus6wjy55a" w:id="2"/>
      <w:bookmarkEnd w:id="2"/>
      <w:r w:rsidDel="00000000" w:rsidR="00000000" w:rsidRPr="00000000">
        <w:rPr>
          <w:rtl w:val="0"/>
        </w:rPr>
        <w:t xml:space="preserve">Вводные данные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9"/>
        <w:gridCol w:w="6979"/>
        <w:tblGridChange w:id="0">
          <w:tblGrid>
            <w:gridCol w:w="6979"/>
            <w:gridCol w:w="697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provider_api.yaml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f9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Пример текстового файла с инструкцией, как программе обращаться к платежному провайдеру: куда отправлять запросы, какие данные передавать и какие ответы ожидать. 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wkyjbi1xyoh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3sip7hkn03m5" w:id="4"/>
      <w:bookmarkEnd w:id="4"/>
      <w:r w:rsidDel="00000000" w:rsidR="00000000" w:rsidRPr="00000000">
        <w:rPr>
          <w:rtl w:val="0"/>
        </w:rPr>
        <w:t xml:space="preserve">Ожидаемый результат работы решения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Система должна получать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provider_api.yaml</w:t>
      </w:r>
      <w:r w:rsidDel="00000000" w:rsidR="00000000" w:rsidRPr="00000000">
        <w:rPr>
          <w:rtl w:val="0"/>
        </w:rPr>
        <w:t xml:space="preserve"> на входе и отдавать несколько файлов для интеграции на выходе: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hyfqbpmwq5r4" w:id="5"/>
      <w:bookmarkEnd w:id="5"/>
      <w:r w:rsidDel="00000000" w:rsidR="00000000" w:rsidRPr="00000000">
        <w:rPr>
          <w:rtl w:val="0"/>
        </w:rPr>
        <w:t xml:space="preserve">1. Сгенерированный сервис, соответствующий контракту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Provider::BaseService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app/services/provider/novapay_service.rb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Provider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NovapayService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BaseService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'NOVAPAY_BASE_URL'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'https://api.sandbox.novapay.example/v1'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request_method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'create'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build_payout_payload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(operation)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#{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/payouts"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json: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payload,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auth_headers)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parse_create_response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(operation, response)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rescue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Provider::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RateLimitError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:too_many_requests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'provider.rate_limit'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rescue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Provider::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UnauthorizedError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:unauthorized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'provider.invalid_credentials'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client.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#{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/payouts/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#{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operation.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provider_operation_id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(response.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process_callback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verify_signature!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(payload)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HMAC-SHA256 из X-NovaPay-Signature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payload[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'event'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'payout.completed'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approve_operation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(payload[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'payout_id'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'payout.failed'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reject_operation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(payload[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'payout_id'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payload.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:unprocessable_entity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'unknown_event'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check_conditions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request_method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base_result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super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base_result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base_result.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failed?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:unprocessable_entity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'amount_too_low'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operation.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success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build_payout_payload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amount: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(operation.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currency: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'RUB'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external_id: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operation.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recipient: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'sbp'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phone: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operation.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payout_requisite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'sbp'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'phone'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bank_code: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operation.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payout_requisite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'sbp'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'bank_code'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bank_name: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operation.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payout_requisite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'sbp'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'bank_name'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STATUS_MAP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'in_progress'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'processing'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'in_progress'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'rejected'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'cancelled'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'rejected'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freeze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ERROR_MAP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'validation_error'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'invalid_credentials'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'insufficient_balance'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'validation_error'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'rate_limit'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'internal_error'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freeze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rumsu786ghx5" w:id="6"/>
      <w:bookmarkEnd w:id="6"/>
      <w:r w:rsidDel="00000000" w:rsidR="00000000" w:rsidRPr="00000000">
        <w:rPr>
          <w:rtl w:val="0"/>
        </w:rPr>
        <w:t xml:space="preserve">2. Документация интеграции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 NovaPay Integration Guide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Авторизация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Тип: API Key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Header: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`X-API-Key: &lt;credentials.api_key&gt;`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Хранение: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`providers.credentials`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(encrypted)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Методы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Метод | Endpoint | Назначение | Idempotency |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|-------|----------|------------|-------------|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create_payout | POST /payouts | Создание выплаты | Idempotency-Key header |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get_status | GET /payouts/{id} | Статус | - |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cancel | POST /payouts/{id}/cancel | Отмена | - |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webhook | POST /webhooks/payout | Callback | X-NovaPay-Signature |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Маппинг статусов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Provider | Space Payments |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|----------|----------------|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pending | in_progress |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processing | in_progress |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completed | approved |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failed | rejected |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cancelled | rejected |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Обработка ошибок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HTTP | Provider code | Действие |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|------|---------------|----------|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400 | validation_error | reject |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401 | unauthorized | alert ops, block provider |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402 | insufficient_balance | retry later |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429 | rate_limit_exceeded | retry with backoff |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 500 | internal_error | retry, alert ops |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ProviderGateway config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"external_method": "sbp_payout", "gateway": "RUB_SBP_WITHDRAW" }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Webhook signature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d4d4d4"/>
          <w:sz w:val="21"/>
          <w:szCs w:val="21"/>
          <w:rtl w:val="0"/>
        </w:rPr>
        <w:t xml:space="preserve">HMAC-SHA256(body, callback_secret) → hex → X-NovaPay-Signature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rPr/>
      </w:pPr>
      <w:bookmarkStart w:colFirst="0" w:colLast="0" w:name="_erqj7jb9ze9a" w:id="7"/>
      <w:bookmarkEnd w:id="7"/>
      <w:r w:rsidDel="00000000" w:rsidR="00000000" w:rsidRPr="00000000">
        <w:rPr>
          <w:rtl w:val="0"/>
        </w:rPr>
        <w:t xml:space="preserve">3. Тестовые фикстуры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fixtures.json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"create_request"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"external_id"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"op_abc123"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"recipient"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"sbp"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"79001234567"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"bank_code"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"044525225"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"response_201"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"np_7f3a9b2c"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"response_422"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"validation_error"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 must be at least 100000 kopecks"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}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"fetch_status"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"response_200"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"np_7f3a9b2c"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"callback"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"payload"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"event"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"payout.completed"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"payout_id"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"np_7f3a9b2c"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"expected_operation_status"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"approved"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"callback_failed"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"payload"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"event"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"payout.failed"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"payout_id"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"np_7f3a9b2c"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"failed"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"recipient_not_found"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 },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"expected_operation_status"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"rejected"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vvn4dauxl9ra" w:id="8"/>
      <w:bookmarkEnd w:id="8"/>
      <w:r w:rsidDel="00000000" w:rsidR="00000000" w:rsidRPr="00000000">
        <w:rPr>
          <w:rtl w:val="0"/>
        </w:rPr>
        <w:t xml:space="preserve">4. CLI или веб-интерфейс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$ ./integrate --spec provider_api.yaml --provider novapay --lang ruby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Parsing spec...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Found 5 endpoints: POST /payouts, GET /payouts/{id}, POST /payouts/{id}/cancel,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POST /webhooks/payout, GET /balance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Auth: ApiKeyAuth (header: X-API-Key)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Webhook signature: X-NovaPay-Signature (HMAC-SHA256)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Generating service...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Generating integration guide...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Generating test fixtures...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./output/novapay_service.rb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./output/INTEGRATION.md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./output/fixtures.json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bvxppsahexl2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ifaswf1ysspp" w:id="10"/>
      <w:bookmarkEnd w:id="10"/>
      <w:r w:rsidDel="00000000" w:rsidR="00000000" w:rsidRPr="00000000">
        <w:rPr>
          <w:rtl w:val="0"/>
        </w:rPr>
        <w:t xml:space="preserve">Процесс разработки и оценки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После начала хакатона команды получат вводные данные кейса (см раздел “Вводные данные”) и критерии оценки (см раздел “Критерии”)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В течении хакатона у команды будет 3 чекпоинта (встречи с экспертами), по итогу всех трех чекпоинтов эксперты выставляют оценки и так формируется топ 5 команд, которые будут допущены до защит (максимум 100 баллов)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На защитах команд их будут оценивать жюри по своим критериям (см раздел “Критерии”), суммарная оценка команды за хакатон складывается как баллы технического жюри + баллы отраслевого жюри (максимум 120 баллов)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По итогам выставленных баллов формируется лидерборд и отбираются топ3 команды призеры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863200" cy="495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r5geddl0gz5o" w:id="11"/>
      <w:bookmarkEnd w:id="11"/>
      <w:r w:rsidDel="00000000" w:rsidR="00000000" w:rsidRPr="00000000">
        <w:rPr>
          <w:rtl w:val="0"/>
        </w:rPr>
        <w:t xml:space="preserve">Ограничения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 кейсе нельзя использовать проприетарные технологии и решения с закрытым исходным кодом.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Большинство кода внутри репозитория должно быть написано на ruby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Запрещено использование нейросетей внутри проекта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За нарушения правил предусматривается дисквалификация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qhcwnbmz9pml" w:id="12"/>
      <w:bookmarkEnd w:id="12"/>
      <w:r w:rsidDel="00000000" w:rsidR="00000000" w:rsidRPr="00000000">
        <w:rPr>
          <w:rtl w:val="0"/>
        </w:rPr>
        <w:t xml:space="preserve">Критерии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В колонке “Конкретная разбалловка” указано максимальное кол-во баллов, которое можно получить при выполнении условия разбалловки. Если в разбалловке указано, например, 8 баллов, то это значит, что по этому пункту можно получить баллы от 0 до 8.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qjqhgne6h7dj" w:id="13"/>
      <w:bookmarkEnd w:id="13"/>
      <w:r w:rsidDel="00000000" w:rsidR="00000000" w:rsidRPr="00000000">
        <w:rPr>
          <w:rtl w:val="0"/>
        </w:rPr>
        <w:t xml:space="preserve">Эксперты</w:t>
      </w:r>
    </w:p>
    <w:tbl>
      <w:tblPr>
        <w:tblStyle w:val="Table3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2.666666666667"/>
        <w:gridCol w:w="4652.666666666667"/>
        <w:gridCol w:w="4652.666666666667"/>
        <w:tblGridChange w:id="0">
          <w:tblGrid>
            <w:gridCol w:w="4652.666666666667"/>
            <w:gridCol w:w="4652.666666666667"/>
            <w:gridCol w:w="4652.66666666666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Максимум, баллов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Конкретная разбалловка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Корректность разбора API-спецификации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 - определены основные методы API и параметры запросов и ответов;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 - учтены авторизация, статусы операций и ошибки;</w:t>
            </w:r>
          </w:p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учтены webhook и другие условия взаимодействия, предусмотренные спецификацией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Генерация интеграционного сервиса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 - сервис формирует и отправляет запросы к API;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 - обрабатывает ответы, статусы операций и ошибки;</w:t>
            </w:r>
          </w:p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 - поддерживает входящие уведомления и настройку параметров подключения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Корректность преобразования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 - корректно сопоставляются поля запросов, ответов и статусы операций;</w:t>
            </w:r>
          </w:p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 - корректно обрабатываются форматы данных, обязательные и необязательные поля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Универсальность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 - решение работает со спецификациями, отличающимися набором методов, полей и параметров;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основная логика не привязана к одному конкретному провайдеру;</w:t>
            </w:r>
          </w:p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предусмотрено добавление новых правил и обработка неподдерживаемых элементов спецификации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Понятность использования и демонстрации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- решение можно запустить и получить результат через понятный последовательный процесс;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есть необходимая информация по настройке, авторизации и использованию сгенерированной интеграции;</w:t>
            </w:r>
          </w:p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результат работы и возникающие ошибки представлены в понятном виде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Качество технической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- код имеет понятную структуру и разделение основных компонентов;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предусмотрена обработка ошибок при разборе спецификации и генерации файлов;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bricob4a2qsl" w:id="14"/>
      <w:bookmarkEnd w:id="14"/>
      <w:r w:rsidDel="00000000" w:rsidR="00000000" w:rsidRPr="00000000">
        <w:rPr>
          <w:rtl w:val="0"/>
        </w:rPr>
        <w:t xml:space="preserve">Жюри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897gajb09s0w" w:id="15"/>
      <w:bookmarkEnd w:id="15"/>
      <w:r w:rsidDel="00000000" w:rsidR="00000000" w:rsidRPr="00000000">
        <w:rPr>
          <w:rtl w:val="0"/>
        </w:rPr>
        <w:t xml:space="preserve">Технические жюри</w:t>
      </w:r>
    </w:p>
    <w:tbl>
      <w:tblPr>
        <w:tblStyle w:val="Table4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2.666666666667"/>
        <w:gridCol w:w="4652.666666666667"/>
        <w:gridCol w:w="4652.666666666667"/>
        <w:tblGridChange w:id="0">
          <w:tblGrid>
            <w:gridCol w:w="4652.666666666667"/>
            <w:gridCol w:w="4652.666666666667"/>
            <w:gridCol w:w="4652.66666666666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Баллы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Конкретная разбалловка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Разбор API-спецификации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определены доступные методы API; </w:t>
            </w:r>
          </w:p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распознаны параметры запросов и ответов; </w:t>
            </w:r>
          </w:p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распознаны требования к авторизации; </w:t>
            </w:r>
          </w:p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распознаны статусы и ошибки; </w:t>
            </w:r>
          </w:p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распознаны webhook и дополнительные условия взаимодействия.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Генерация интеграционного сервиса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- сгенерированный сервис, соответствующий контракту Provider::BaseService </w:t>
            </w:r>
          </w:p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формирование и отправка запросов; </w:t>
            </w:r>
          </w:p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получение и обработка статуса операции; </w:t>
            </w:r>
          </w:p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обработка ответов и ошибок; </w:t>
            </w:r>
          </w:p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обработка входящих уведомлений; </w:t>
            </w:r>
          </w:p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конфигурация адресов и параметров подключения.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Корректность преобразования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корректное сопоставление статусов; </w:t>
            </w:r>
          </w:p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корректное сопоставление полей запросов и ответов; </w:t>
            </w:r>
          </w:p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корректное преобразование форматов и единиц данных; </w:t>
            </w:r>
          </w:p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корректная обработка обязательных и необязательных полей.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Универсальность и адаптируемость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поддерживаются спецификации с разным набором методов и полей; </w:t>
            </w:r>
          </w:p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логика генерации отделена от особенностей конкретного провайдера; </w:t>
            </w:r>
          </w:p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- предусмотрено расширение шаблонов и правил генерации; </w:t>
            </w:r>
          </w:p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- система сообщает о неподдерживаемых или неоднозначных элементах спецификации.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Генерация документации и тестовых материалов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описание настройки и авторизации; </w:t>
            </w:r>
          </w:p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описание методов, статусов и ошибок; </w:t>
            </w:r>
          </w:p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после генерации сервиса есть также примеры запросов, ответов и уведомлений в файле fixtures.json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Удобство использования и демонстрация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понятный способ запуска; </w:t>
            </w:r>
          </w:p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результат создается за один последовательный процесс; </w:t>
            </w:r>
          </w:p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пользователь получает понятные сообщения о результате и ошибках.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Качество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- понятная архитектура и читаемый код; </w:t>
            </w:r>
          </w:p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предусмотрена обработка ошибок при разборе спецификации и генерации файлов;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 - инструкция по запуску и настройке.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4"/>
        <w:rPr/>
      </w:pPr>
      <w:bookmarkStart w:colFirst="0" w:colLast="0" w:name="_of0if7d8qcpt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4"/>
        <w:rPr/>
      </w:pPr>
      <w:bookmarkStart w:colFirst="0" w:colLast="0" w:name="_k51epcqo1mpa" w:id="17"/>
      <w:bookmarkEnd w:id="17"/>
      <w:r w:rsidDel="00000000" w:rsidR="00000000" w:rsidRPr="00000000">
        <w:rPr>
          <w:rtl w:val="0"/>
        </w:rPr>
        <w:t xml:space="preserve">Отраслевые критерии</w:t>
      </w:r>
    </w:p>
    <w:p w:rsidR="00000000" w:rsidDel="00000000" w:rsidP="00000000" w:rsidRDefault="00000000" w:rsidRPr="00000000" w14:paraId="00000128">
      <w:pPr>
        <w:pStyle w:val="Heading4"/>
        <w:rPr/>
      </w:pPr>
      <w:bookmarkStart w:colFirst="0" w:colLast="0" w:name="_3zvmewrxevje" w:id="18"/>
      <w:bookmarkEnd w:id="18"/>
      <w:r w:rsidDel="00000000" w:rsidR="00000000" w:rsidRPr="00000000">
        <w:rPr>
          <w:rtl w:val="0"/>
        </w:rPr>
      </w:r>
    </w:p>
    <w:tbl>
      <w:tblPr>
        <w:tblStyle w:val="Table5"/>
        <w:tblW w:w="139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2.666666666667"/>
        <w:gridCol w:w="4652.666666666667"/>
        <w:gridCol w:w="4652.666666666667"/>
        <w:tblGridChange w:id="0">
          <w:tblGrid>
            <w:gridCol w:w="4652.666666666667"/>
            <w:gridCol w:w="4652.666666666667"/>
            <w:gridCol w:w="4652.666666666667"/>
          </w:tblGrid>
        </w:tblGridChange>
      </w:tblGrid>
      <w:tr>
        <w:trPr>
          <w:cantSplit w:val="0"/>
          <w:trHeight w:val="1820.5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Максимум, баллов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Разбалловка</w:t>
            </w:r>
          </w:p>
        </w:tc>
      </w:tr>
      <w:tr>
        <w:trPr>
          <w:cantSplit w:val="0"/>
          <w:trHeight w:val="1820.5517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Реализация дополнительных идей</w:t>
            </w:r>
          </w:p>
        </w:tc>
        <w:tc>
          <w:tcPr>
            <w:tcBorders>
              <w:left w:color="000000" w:space="0" w:sz="4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 - Свободный выбор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Выступление команды (умение презентовать результаты своей работы, строить логичный, понятный и интересный рассказ для презентации результатов своей работы)</w:t>
            </w:r>
          </w:p>
        </w:tc>
        <w:tc>
          <w:tcPr>
            <w:tcBorders>
              <w:left w:color="000000" w:space="0" w:sz="4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  <w:t xml:space="preserve">- Хорошее выступление и презентация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Полнота проработки решения</w:t>
            </w:r>
          </w:p>
        </w:tc>
        <w:tc>
          <w:tcPr>
            <w:tcBorders>
              <w:left w:color="000000" w:space="0" w:sz="4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 - Решение выполнено полностью покрывает поставленную задачу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