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AAF2AB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特别说明：需要多多考虑</w:t>
      </w:r>
    </w:p>
    <w:p w14:paraId="1DEB6B3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第一问：无</w:t>
      </w:r>
    </w:p>
    <w:p w14:paraId="4BD5F8B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第二问：问题二是否需要考虑板凳之间的碰撞？</w:t>
      </w:r>
    </w:p>
    <w:p w14:paraId="517063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螺距是否保证在龙头碰撞之前，其他板凳不会相互碰撞？</w:t>
      </w:r>
    </w:p>
    <w:p w14:paraId="19671F5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第三问：龙头和龙尾该是什么状态，才调头</w:t>
      </w:r>
    </w:p>
    <w:p w14:paraId="1C45AD9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第四问：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Y5NjU5ZGVjZDQwZDY3YjY4NTFjZWQ1OGQ2MTU2NGQifQ=="/>
  </w:docVars>
  <w:rsids>
    <w:rsidRoot w:val="00000000"/>
    <w:rsid w:val="6DAF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2024-09-08T05:07:06Z</dcterms:created>
  <dc:creator>KING</dc:creator>
  <cp:lastModifiedBy>落日孤城闭</cp:lastModifiedBy>
  <dcterms:modified xsi:type="dcterms:W3CDTF">2024-09-08T05:10:15Z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3385EA970AFF4A3F932DE4114D000A67_12</vt:lpwstr>
  </property>
</Properties>
</file>