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B3A5C"/>
          <w:sz w:val="56"/>
          <w:szCs w:val="56"/>
        </w:rPr>
        <w:t xml:space="preserve">Dataset Card</w:t>
      </w:r>
    </w:p>
    <w:p>
      <w:pPr>
        <w:spacing w:before="0" w:after="60"/>
        <w:jc w:val="center"/>
      </w:pPr>
      <w:r>
        <w:rPr>
          <w:rFonts w:ascii="Arial" w:cs="Arial" w:eastAsia="Arial" w:hAnsi="Arial"/>
          <w:b/>
          <w:bCs/>
          <w:color w:val="2E6DA4"/>
          <w:sz w:val="34"/>
          <w:szCs w:val="34"/>
        </w:rPr>
        <w:t xml:space="preserve">Adversarial Prompt Benchmark Compilation</w:t>
      </w:r>
    </w:p>
    <w:p>
      <w:pPr>
        <w:spacing w:before="0" w:after="400"/>
        <w:jc w:val="center"/>
      </w:pPr>
      <w:r>
        <w:rPr>
          <w:rFonts w:ascii="Arial" w:cs="Arial" w:eastAsia="Arial" w:hAnsi="Arial"/>
          <w:i/>
          <w:iCs/>
          <w:color w:val="555555"/>
          <w:sz w:val="22"/>
          <w:szCs w:val="22"/>
        </w:rPr>
        <w:t xml:space="preserve">For LLM Safety Research · Version 1.0 · 2025</w:t>
      </w:r>
    </w:p>
    <w:p>
      <w:pPr>
        <w:pBdr>
          <w:bottom w:val="single" w:color="2E6DA4"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E8F5" w:sz="1"/>
              <w:left w:val="single" w:color="D9E8F5" w:sz="1"/>
              <w:bottom w:val="single" w:color="D9E8F5" w:sz="1"/>
              <w:right w:val="single" w:color="D9E8F5" w:sz="1"/>
            </w:tcBorders>
            <w:shd w:fill="EEF4FB" w:val="clear"/>
            <w:tcMar>
              <w:top w:type="dxa" w:w="140"/>
              <w:left w:type="dxa" w:w="160"/>
              <w:bottom w:type="dxa" w:w="140"/>
              <w:right w:type="dxa" w:w="160"/>
            </w:tcMar>
            <w:vAlign w:val="center"/>
          </w:tcPr>
          <w:p>
            <w:pPr>
              <w:jc w:val="center"/>
            </w:pPr>
            <w:r>
              <w:rPr>
                <w:rFonts w:ascii="Arial" w:cs="Arial" w:eastAsia="Arial" w:hAnsi="Arial"/>
                <w:b/>
                <w:bCs/>
                <w:color w:val="1B3A5C"/>
                <w:sz w:val="48"/>
                <w:szCs w:val="48"/>
              </w:rPr>
              <w:t xml:space="preserve">700</w:t>
            </w:r>
          </w:p>
          <w:p>
            <w:pPr>
              <w:jc w:val="center"/>
            </w:pPr>
            <w:r>
              <w:rPr>
                <w:rFonts w:ascii="Arial" w:cs="Arial" w:eastAsia="Arial" w:hAnsi="Arial"/>
                <w:color w:val="555555"/>
                <w:sz w:val="18"/>
                <w:szCs w:val="18"/>
              </w:rPr>
              <w:t xml:space="preserve">Total Entries</w:t>
            </w:r>
          </w:p>
        </w:tc>
        <w:tc>
          <w:tcPr>
            <w:tcW w:type="dxa" w:w="2340"/>
            <w:tcBorders>
              <w:top w:val="single" w:color="D9E8F5" w:sz="1"/>
              <w:left w:val="single" w:color="D9E8F5" w:sz="1"/>
              <w:bottom w:val="single" w:color="D9E8F5" w:sz="1"/>
              <w:right w:val="single" w:color="D9E8F5" w:sz="1"/>
            </w:tcBorders>
            <w:shd w:fill="EEF4FB" w:val="clear"/>
            <w:tcMar>
              <w:top w:type="dxa" w:w="140"/>
              <w:left w:type="dxa" w:w="160"/>
              <w:bottom w:type="dxa" w:w="140"/>
              <w:right w:type="dxa" w:w="160"/>
            </w:tcMar>
            <w:vAlign w:val="center"/>
          </w:tcPr>
          <w:p>
            <w:pPr>
              <w:jc w:val="center"/>
            </w:pPr>
            <w:r>
              <w:rPr>
                <w:rFonts w:ascii="Arial" w:cs="Arial" w:eastAsia="Arial" w:hAnsi="Arial"/>
                <w:b/>
                <w:bCs/>
                <w:color w:val="1B3A5C"/>
                <w:sz w:val="48"/>
                <w:szCs w:val="48"/>
              </w:rPr>
              <w:t xml:space="preserve">6</w:t>
            </w:r>
          </w:p>
          <w:p>
            <w:pPr>
              <w:jc w:val="center"/>
            </w:pPr>
            <w:r>
              <w:rPr>
                <w:rFonts w:ascii="Arial" w:cs="Arial" w:eastAsia="Arial" w:hAnsi="Arial"/>
                <w:color w:val="555555"/>
                <w:sz w:val="18"/>
                <w:szCs w:val="18"/>
              </w:rPr>
              <w:t xml:space="preserve">Datasets</w:t>
            </w:r>
          </w:p>
        </w:tc>
        <w:tc>
          <w:tcPr>
            <w:tcW w:type="dxa" w:w="2340"/>
            <w:tcBorders>
              <w:top w:val="single" w:color="D9E8F5" w:sz="1"/>
              <w:left w:val="single" w:color="D9E8F5" w:sz="1"/>
              <w:bottom w:val="single" w:color="D9E8F5" w:sz="1"/>
              <w:right w:val="single" w:color="D9E8F5" w:sz="1"/>
            </w:tcBorders>
            <w:shd w:fill="EEF4FB" w:val="clear"/>
            <w:tcMar>
              <w:top w:type="dxa" w:w="140"/>
              <w:left w:type="dxa" w:w="160"/>
              <w:bottom w:type="dxa" w:w="140"/>
              <w:right w:type="dxa" w:w="160"/>
            </w:tcMar>
            <w:vAlign w:val="center"/>
          </w:tcPr>
          <w:p>
            <w:pPr>
              <w:jc w:val="center"/>
            </w:pPr>
            <w:r>
              <w:rPr>
                <w:rFonts w:ascii="Arial" w:cs="Arial" w:eastAsia="Arial" w:hAnsi="Arial"/>
                <w:b/>
                <w:bCs/>
                <w:color w:val="1B3A5C"/>
                <w:sz w:val="48"/>
                <w:szCs w:val="48"/>
              </w:rPr>
              <w:t xml:space="preserve">5</w:t>
            </w:r>
          </w:p>
          <w:p>
            <w:pPr>
              <w:jc w:val="center"/>
            </w:pPr>
            <w:r>
              <w:rPr>
                <w:rFonts w:ascii="Arial" w:cs="Arial" w:eastAsia="Arial" w:hAnsi="Arial"/>
                <w:color w:val="555555"/>
                <w:sz w:val="18"/>
                <w:szCs w:val="18"/>
              </w:rPr>
              <w:t xml:space="preserve">Attack Types</w:t>
            </w:r>
          </w:p>
        </w:tc>
        <w:tc>
          <w:tcPr>
            <w:tcW w:type="dxa" w:w="2340"/>
            <w:tcBorders>
              <w:top w:val="single" w:color="D9E8F5" w:sz="1"/>
              <w:left w:val="single" w:color="D9E8F5" w:sz="1"/>
              <w:bottom w:val="single" w:color="D9E8F5" w:sz="1"/>
              <w:right w:val="single" w:color="D9E8F5" w:sz="1"/>
            </w:tcBorders>
            <w:shd w:fill="EEF4FB" w:val="clear"/>
            <w:tcMar>
              <w:top w:type="dxa" w:w="140"/>
              <w:left w:type="dxa" w:w="160"/>
              <w:bottom w:type="dxa" w:w="140"/>
              <w:right w:type="dxa" w:w="160"/>
            </w:tcMar>
            <w:vAlign w:val="center"/>
          </w:tcPr>
          <w:p>
            <w:pPr>
              <w:jc w:val="center"/>
            </w:pPr>
            <w:r>
              <w:rPr>
                <w:rFonts w:ascii="Arial" w:cs="Arial" w:eastAsia="Arial" w:hAnsi="Arial"/>
                <w:b/>
                <w:bCs/>
                <w:color w:val="1B3A5C"/>
                <w:sz w:val="48"/>
                <w:szCs w:val="48"/>
              </w:rPr>
              <w:t xml:space="preserve">2</w:t>
            </w:r>
          </w:p>
          <w:p>
            <w:pPr>
              <w:jc w:val="center"/>
            </w:pPr>
            <w:r>
              <w:rPr>
                <w:rFonts w:ascii="Arial" w:cs="Arial" w:eastAsia="Arial" w:hAnsi="Arial"/>
                <w:color w:val="555555"/>
                <w:sz w:val="18"/>
                <w:szCs w:val="18"/>
              </w:rPr>
              <w:t xml:space="preserve">Output Formats</w:t>
            </w:r>
          </w:p>
        </w:tc>
      </w:tr>
    </w:tbl>
    <w:p>
      <w:pPr>
        <w:spacing w:before="0" w:after="200"/>
      </w:pPr>
    </w:p>
    <w:p>
      <w:pPr>
        <w:pStyle w:val="Heading1"/>
        <w:spacing w:before="320" w:after="120"/>
      </w:pPr>
      <w:r>
        <w:rPr>
          <w:rFonts w:ascii="Arial" w:cs="Arial" w:eastAsia="Arial" w:hAnsi="Arial"/>
          <w:b/>
          <w:bCs/>
          <w:color w:val="1B3A5C"/>
          <w:sz w:val="32"/>
          <w:szCs w:val="32"/>
        </w:rPr>
        <w:t xml:space="preserve">1.  Overview</w:t>
      </w:r>
    </w:p>
    <w:p>
      <w:pPr>
        <w:pBdr>
          <w:bottom w:val="single" w:color="2E6DA4" w:sz="6" w:space="1"/>
        </w:pBdr>
        <w:spacing w:before="0" w:after="160"/>
      </w:pPr>
    </w:p>
    <w:p>
      <w:pPr>
        <w:spacing w:before="40" w:after="80"/>
        <w:jc w:val="left"/>
      </w:pPr>
      <w:r>
        <w:rPr>
          <w:rFonts w:ascii="Arial" w:cs="Arial" w:eastAsia="Arial" w:hAnsi="Arial"/>
          <w:color w:val="212121"/>
          <w:sz w:val="22"/>
          <w:szCs w:val="22"/>
        </w:rPr>
        <w:t xml:space="preserve">This dataset card describes the composition, provenance, sampling methodology, and intended use of the adversarial prompt compilation produced by compile_datasets.py. The compilation aggregates six peer-reviewed academic benchmarks spanning five distinct jailbreak attack families, providing a balanced and traceable corpus for evaluating the robustness of aligned large language models (LLMs).</w:t>
      </w:r>
    </w:p>
    <w:p>
      <w:pPr>
        <w:spacing w:before="40" w:after="80"/>
        <w:jc w:val="left"/>
      </w:pPr>
      <w:r>
        <w:rPr>
          <w:rFonts w:ascii="Arial" w:cs="Arial" w:eastAsia="Arial" w:hAnsi="Arial"/>
          <w:color w:val="212121"/>
          <w:sz w:val="22"/>
          <w:szCs w:val="22"/>
        </w:rPr>
        <w:t xml:space="preserve">All constituent datasets are sourced from publicly available repositories. No dataset is reproduced in full; samples are drawn programmatically under the respective open-access or Creative Commons licences associated with each source.</w:t>
      </w:r>
    </w:p>
    <w:p>
      <w:pPr>
        <w:spacing w:before="0" w:after="120"/>
      </w:pPr>
    </w:p>
    <w:p>
      <w:pPr>
        <w:pStyle w:val="Heading2"/>
        <w:spacing w:before="240" w:after="80"/>
      </w:pPr>
      <w:r>
        <w:rPr>
          <w:rFonts w:ascii="Arial" w:cs="Arial" w:eastAsia="Arial" w:hAnsi="Arial"/>
          <w:b/>
          <w:bCs/>
          <w:color w:val="2E6DA4"/>
          <w:sz w:val="26"/>
          <w:szCs w:val="26"/>
        </w:rPr>
        <w:t xml:space="preserve">1.1  Intended Use</w:t>
      </w:r>
    </w:p>
    <w:p>
      <w:pPr>
        <w:spacing w:before="40" w:after="80"/>
        <w:jc w:val="left"/>
      </w:pPr>
      <w:r>
        <w:rPr>
          <w:rFonts w:ascii="Arial" w:cs="Arial" w:eastAsia="Arial" w:hAnsi="Arial"/>
          <w:b/>
          <w:bCs/>
          <w:color w:val="212121"/>
          <w:sz w:val="22"/>
          <w:szCs w:val="22"/>
        </w:rPr>
        <w:t xml:space="preserve">Primary use: </w:t>
      </w:r>
      <w:r>
        <w:rPr>
          <w:rFonts w:ascii="Arial" w:cs="Arial" w:eastAsia="Arial" w:hAnsi="Arial"/>
          <w:color w:val="212121"/>
          <w:sz w:val="22"/>
          <w:szCs w:val="22"/>
        </w:rPr>
        <w:t xml:space="preserve">Evaluating and benchmarking the safety alignment of LLMs against a diverse range of adversarial prompt strategies.</w:t>
      </w:r>
    </w:p>
    <w:p>
      <w:pPr>
        <w:spacing w:before="40" w:after="80"/>
        <w:jc w:val="left"/>
      </w:pPr>
      <w:r>
        <w:rPr>
          <w:rFonts w:ascii="Arial" w:cs="Arial" w:eastAsia="Arial" w:hAnsi="Arial"/>
          <w:b/>
          <w:bCs/>
          <w:color w:val="212121"/>
          <w:sz w:val="22"/>
          <w:szCs w:val="22"/>
        </w:rPr>
        <w:t xml:space="preserve">Secondary use: </w:t>
      </w:r>
      <w:r>
        <w:rPr>
          <w:rFonts w:ascii="Arial" w:cs="Arial" w:eastAsia="Arial" w:hAnsi="Arial"/>
          <w:color w:val="212121"/>
          <w:sz w:val="22"/>
          <w:szCs w:val="22"/>
        </w:rPr>
        <w:t xml:space="preserve">Ablation studies on safety fine-tuning methods (e.g. RLHF, DPO, Constitutional AI) and red-teaming tooling.</w:t>
      </w:r>
    </w:p>
    <w:p>
      <w:pPr>
        <w:spacing w:before="40" w:after="80"/>
        <w:jc w:val="left"/>
      </w:pPr>
      <w:r>
        <w:rPr>
          <w:rFonts w:ascii="Arial" w:cs="Arial" w:eastAsia="Arial" w:hAnsi="Arial"/>
          <w:b/>
          <w:bCs/>
          <w:color w:val="212121"/>
          <w:sz w:val="22"/>
          <w:szCs w:val="22"/>
        </w:rPr>
        <w:t xml:space="preserve">Out-of-scope: </w:t>
      </w:r>
      <w:r>
        <w:rPr>
          <w:rFonts w:ascii="Arial" w:cs="Arial" w:eastAsia="Arial" w:hAnsi="Arial"/>
          <w:color w:val="212121"/>
          <w:sz w:val="22"/>
          <w:szCs w:val="22"/>
        </w:rPr>
        <w:t xml:space="preserve">Operational deployment to elicit harmful outputs from production systems. This compilation is a research artefact and must not be used outside a controlled safety-research context.</w:t>
      </w:r>
    </w:p>
    <w:p>
      <w:pPr>
        <w:spacing w:before="0" w:after="120"/>
      </w:pPr>
    </w:p>
    <w:p>
      <w:pPr>
        <w:pStyle w:val="Heading2"/>
        <w:spacing w:before="240" w:after="80"/>
      </w:pPr>
      <w:r>
        <w:rPr>
          <w:rFonts w:ascii="Arial" w:cs="Arial" w:eastAsia="Arial" w:hAnsi="Arial"/>
          <w:b/>
          <w:bCs/>
          <w:color w:val="2E6DA4"/>
          <w:sz w:val="26"/>
          <w:szCs w:val="26"/>
        </w:rPr>
        <w:t xml:space="preserve">1.2  Ethical Considerations</w:t>
      </w:r>
    </w:p>
    <w:p>
      <w:pPr>
        <w:spacing w:before="40" w:after="80"/>
        <w:jc w:val="left"/>
      </w:pPr>
      <w:r>
        <w:rPr>
          <w:rFonts w:ascii="Arial" w:cs="Arial" w:eastAsia="Arial" w:hAnsi="Arial"/>
          <w:color w:val="212121"/>
          <w:sz w:val="22"/>
          <w:szCs w:val="22"/>
        </w:rPr>
        <w:t xml:space="preserve">All samples originate from datasets already published in peer-reviewed venues (NeurIPS, ICLR, ACL). Access to the compiled file should be restricted to authorised researchers. Individual entries are presented in their attack form solely to enable measurement and mitigation of harms, not to facilitate them.</w:t>
      </w:r>
    </w:p>
    <w:p>
      <w:pPr>
        <w:pStyle w:val="Heading1"/>
        <w:spacing w:before="320" w:after="120"/>
      </w:pPr>
      <w:r>
        <w:rPr>
          <w:rFonts w:ascii="Arial" w:cs="Arial" w:eastAsia="Arial" w:hAnsi="Arial"/>
          <w:b/>
          <w:bCs/>
          <w:color w:val="1B3A5C"/>
          <w:sz w:val="32"/>
          <w:szCs w:val="32"/>
        </w:rPr>
        <w:t xml:space="preserve">2.  Dataset Inventory</w:t>
      </w:r>
    </w:p>
    <w:p>
      <w:pPr>
        <w:pBdr>
          <w:bottom w:val="single" w:color="2E6DA4" w:sz="6" w:space="1"/>
        </w:pBdr>
        <w:spacing w:before="0" w:after="160"/>
      </w:pPr>
    </w:p>
    <w:p>
      <w:pPr>
        <w:spacing w:before="40" w:after="80"/>
        <w:jc w:val="left"/>
      </w:pPr>
      <w:r>
        <w:rPr>
          <w:rFonts w:ascii="Arial" w:cs="Arial" w:eastAsia="Arial" w:hAnsi="Arial"/>
          <w:color w:val="212121"/>
          <w:sz w:val="22"/>
          <w:szCs w:val="22"/>
        </w:rPr>
        <w:t xml:space="preserve">Table 1 summarises all constituent datasets. Each row corresponds to one source key in the compiled output files (all_prompts.json / all_prompts.jsonl).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200"/>
        <w:gridCol w:w="1000"/>
        <w:gridCol w:w="196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ID</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Dataset</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Attack Family</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Venue</w:t>
            </w:r>
          </w:p>
        </w:tc>
        <w:tc>
          <w:tcPr>
            <w:tcW w:type="dxa" w:w="1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Samples</w:t>
            </w:r>
          </w:p>
        </w:tc>
        <w:tc>
          <w:tcPr>
            <w:tcW w:type="dxa" w:w="1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Source Key</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Goal-only baseline</w:t>
            </w:r>
          </w:p>
        </w:tc>
        <w:tc>
          <w:tcPr>
            <w:tcW w:type="dxa" w:w="1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arXiv 2023</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w:t>
            </w:r>
          </w:p>
        </w:tc>
      </w:tr>
      <w:tr>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advbench_prefill</w:t>
            </w:r>
          </w:p>
        </w:tc>
        <w:tc>
          <w:tcPr>
            <w:tcW w:type="dxa" w:w="2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 (prefill)</w:t>
            </w:r>
          </w:p>
        </w:tc>
        <w:tc>
          <w:tcPr>
            <w:tcW w:type="dxa" w:w="14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Forced-prefix</w:t>
            </w:r>
          </w:p>
        </w:tc>
        <w:tc>
          <w:tcPr>
            <w:tcW w:type="dxa" w:w="1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arXiv 2023</w:t>
            </w:r>
          </w:p>
        </w:tc>
        <w:tc>
          <w:tcPr>
            <w:tcW w:type="dxa" w:w="10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advbench_prefill</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safemtdata</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SafeMTData / ActorAttack</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Multi-turn</w:t>
            </w:r>
          </w:p>
        </w:tc>
        <w:tc>
          <w:tcPr>
            <w:tcW w:type="dxa" w:w="1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arXiv 2024</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safemtdata_multiturn</w:t>
            </w:r>
          </w:p>
        </w:tc>
      </w:tr>
      <w:tr>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cipherchat</w:t>
            </w:r>
          </w:p>
        </w:tc>
        <w:tc>
          <w:tcPr>
            <w:tcW w:type="dxa" w:w="2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CipherChat</w:t>
            </w:r>
          </w:p>
        </w:tc>
        <w:tc>
          <w:tcPr>
            <w:tcW w:type="dxa" w:w="14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Cipher-based</w:t>
            </w:r>
          </w:p>
        </w:tc>
        <w:tc>
          <w:tcPr>
            <w:tcW w:type="dxa" w:w="1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ICLR 2024</w:t>
            </w:r>
          </w:p>
        </w:tc>
        <w:tc>
          <w:tcPr>
            <w:tcW w:type="dxa" w:w="10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cipherchat_cipher</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artprompt</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ArtPrompt</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Orthographic / ASCII</w:t>
            </w:r>
          </w:p>
        </w:tc>
        <w:tc>
          <w:tcPr>
            <w:tcW w:type="dxa" w:w="1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ACL 2024</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artprompt_orthographic</w:t>
            </w:r>
          </w:p>
        </w:tc>
      </w:tr>
      <w:tr>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msj</w:t>
            </w:r>
          </w:p>
        </w:tc>
        <w:tc>
          <w:tcPr>
            <w:tcW w:type="dxa" w:w="2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Many-Shot Jailbreaking</w:t>
            </w:r>
          </w:p>
        </w:tc>
        <w:tc>
          <w:tcPr>
            <w:tcW w:type="dxa" w:w="14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Context-window</w:t>
            </w:r>
          </w:p>
        </w:tc>
        <w:tc>
          <w:tcPr>
            <w:tcW w:type="dxa" w:w="1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NeurIPS 2024</w:t>
            </w:r>
          </w:p>
        </w:tc>
        <w:tc>
          <w:tcPr>
            <w:tcW w:type="dxa" w:w="10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msj_contextwindow</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jailbreakbench</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JailbreakBench / JBB</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General benchmark</w:t>
            </w:r>
          </w:p>
        </w:tc>
        <w:tc>
          <w:tcPr>
            <w:tcW w:type="dxa" w:w="1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NeurIPS 2024</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jailbreakbench_general</w:t>
            </w:r>
          </w:p>
        </w:tc>
      </w:tr>
    </w:tbl>
    <w:p>
      <w:pPr>
        <w:spacing w:before="0" w:after="100"/>
      </w:pPr>
    </w:p>
    <w:p>
      <w:pPr>
        <w:spacing w:before="40" w:after="80"/>
        <w:jc w:val="left"/>
      </w:pPr>
      <w:r>
        <w:rPr>
          <w:rFonts w:ascii="Arial" w:cs="Arial" w:eastAsia="Arial" w:hAnsi="Arial"/>
          <w:i/>
          <w:iCs/>
          <w:color w:val="555555"/>
          <w:sz w:val="22"/>
          <w:szCs w:val="22"/>
        </w:rPr>
        <w:t xml:space="preserve">Table 1: Dataset inventory. All samples are drawn with random seed 67 for reproducibility.</w:t>
      </w:r>
    </w:p>
    <w:p>
      <w:pPr>
        <w:spacing w:before="0" w:after="120"/>
      </w:pPr>
    </w:p>
    <w:p>
      <w:pPr>
        <w:pStyle w:val="Heading1"/>
        <w:spacing w:before="320" w:after="120"/>
      </w:pPr>
      <w:r>
        <w:rPr>
          <w:rFonts w:ascii="Arial" w:cs="Arial" w:eastAsia="Arial" w:hAnsi="Arial"/>
          <w:b/>
          <w:bCs/>
          <w:color w:val="1B3A5C"/>
          <w:sz w:val="32"/>
          <w:szCs w:val="32"/>
        </w:rPr>
        <w:t xml:space="preserve">3.  Dataset Details</w:t>
      </w:r>
    </w:p>
    <w:p>
      <w:pPr>
        <w:pBdr>
          <w:bottom w:val="single" w:color="2E6DA4" w:sz="6" w:space="1"/>
        </w:pBdr>
        <w:spacing w:before="0" w:after="160"/>
      </w:pPr>
    </w:p>
    <w:p>
      <w:pPr>
        <w:pStyle w:val="Heading2"/>
        <w:spacing w:before="240" w:after="80"/>
      </w:pPr>
      <w:r>
        <w:rPr>
          <w:rFonts w:ascii="Arial" w:cs="Arial" w:eastAsia="Arial" w:hAnsi="Arial"/>
          <w:b/>
          <w:bCs/>
          <w:color w:val="2E6DA4"/>
          <w:sz w:val="26"/>
          <w:szCs w:val="26"/>
        </w:rPr>
        <w:t xml:space="preserve">3.1  AdvBench  (Zou et al.,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Paper</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Universal and Transferable Adversarial Attacks on Aligned Language Models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arXiv</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2307.15043</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Repository</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github.com/llm-attacks/llm-attacks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Licence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MIT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Full size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520 goal–target pairs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Sampled</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goal-only  +  100 goal+prefill  =  200 entries (seed 67)</w:t>
            </w:r>
          </w:p>
        </w:tc>
      </w:tr>
    </w:tbl>
    <w:p>
      <w:pPr>
        <w:spacing w:before="0" w:after="80"/>
      </w:pPr>
    </w:p>
    <w:p>
      <w:pPr>
        <w:pStyle w:val="Heading3"/>
        <w:spacing w:before="180" w:after="60"/>
      </w:pPr>
      <w:r>
        <w:rPr>
          <w:rFonts w:ascii="Arial" w:cs="Arial" w:eastAsia="Arial" w:hAnsi="Arial"/>
          <w:b/>
          <w:bCs/>
          <w:color w:val="1B3A5C"/>
          <w:sz w:val="22"/>
          <w:szCs w:val="22"/>
        </w:rPr>
        <w:t xml:space="preserve">Rationale for Inclusion</w:t>
      </w:r>
    </w:p>
    <w:p>
      <w:pPr>
        <w:spacing w:before="40" w:after="80"/>
        <w:jc w:val="left"/>
      </w:pPr>
      <w:r>
        <w:rPr>
          <w:rFonts w:ascii="Arial" w:cs="Arial" w:eastAsia="Arial" w:hAnsi="Arial"/>
          <w:color w:val="212121"/>
          <w:sz w:val="22"/>
          <w:szCs w:val="22"/>
        </w:rPr>
        <w:t xml:space="preserve">AdvBench is the de facto baseline benchmark for harmful behaviour elicitation. Its 520 curated goal–target pairs span categories including weapons, fraud, malware, and self-harm. It is included here both in goal-only form (baseline evaluation) and in goal+prefill form (forced-prefix attack evaluation) to replicate the two experimental conditions most commonly reported in the literature.</w:t>
      </w:r>
    </w:p>
    <w:p>
      <w:pPr>
        <w:pStyle w:val="Heading3"/>
        <w:spacing w:before="180" w:after="60"/>
      </w:pPr>
      <w:r>
        <w:rPr>
          <w:rFonts w:ascii="Arial" w:cs="Arial" w:eastAsia="Arial" w:hAnsi="Arial"/>
          <w:b/>
          <w:bCs/>
          <w:color w:val="1B3A5C"/>
          <w:sz w:val="22"/>
          <w:szCs w:val="22"/>
        </w:rPr>
        <w:t xml:space="preserve">Split &amp; Sampling</w:t>
      </w:r>
    </w:p>
    <w:p>
      <w:pPr>
        <w:spacing w:before="40" w:after="80"/>
        <w:jc w:val="left"/>
      </w:pPr>
      <w:r>
        <w:rPr>
          <w:rFonts w:ascii="Arial" w:cs="Arial" w:eastAsia="Arial" w:hAnsi="Arial"/>
          <w:color w:val="212121"/>
          <w:sz w:val="22"/>
          <w:szCs w:val="22"/>
        </w:rPr>
        <w:t xml:space="preserve">200 rows sampled independently from the full 520-row CSV (with replacement allowed between the two sub-splits) using Python's random.sample with seed 67. The two sub-splits are labelled separately so researchers can analyse goal-only vs. prefill attack conditions independently.</w:t>
      </w:r>
    </w:p>
    <w:p>
      <w:pPr>
        <w:pStyle w:val="Heading3"/>
        <w:spacing w:before="180" w:after="60"/>
      </w:pPr>
      <w:r>
        <w:rPr>
          <w:rFonts w:ascii="Arial" w:cs="Arial" w:eastAsia="Arial" w:hAnsi="Arial"/>
          <w:b/>
          <w:bCs/>
          <w:color w:val="1B3A5C"/>
          <w:sz w:val="22"/>
          <w:szCs w:val="22"/>
        </w:rPr>
        <w:t xml:space="preserve">Output Format</w:t>
      </w:r>
    </w:p>
    <w:p>
      <w:pPr>
        <w:spacing w:before="40" w:after="80"/>
        <w:jc w:val="left"/>
      </w:pPr>
      <w:r>
        <w:rPr>
          <w:rFonts w:ascii="Arial" w:cs="Arial" w:eastAsia="Arial" w:hAnsi="Arial"/>
          <w:color w:val="212121"/>
          <w:sz w:val="22"/>
          <w:szCs w:val="22"/>
        </w:rPr>
        <w:t xml:space="preserve">Two source keys are emitted. "advbench" entries carry only the prompt field. "advbench_prefill" entries carry both goal and target fields, where target is the forced prefill string (e.g. "Sure, here is how to …").</w:t>
      </w:r>
    </w:p>
    <w:p>
      <w:pPr>
        <w:pStyle w:val="Heading3"/>
        <w:spacing w:before="180" w:after="60"/>
      </w:pPr>
      <w:r>
        <w:rPr>
          <w:rFonts w:ascii="Arial" w:cs="Arial" w:eastAsia="Arial" w:hAnsi="Arial"/>
          <w:b/>
          <w:bCs/>
          <w:color w:val="1B3A5C"/>
          <w:sz w:val="22"/>
          <w:szCs w:val="22"/>
        </w:rPr>
        <w:t xml:space="preserve">Fields</w:t>
      </w:r>
    </w:p>
    <w:p>
      <w:pPr>
        <w:pStyle w:val="ListParagraph"/>
        <w:numPr>
          <w:ilvl w:val="0"/>
          <w:numId w:val="2"/>
        </w:numPr>
        <w:spacing w:before="30" w:after="50"/>
      </w:pPr>
      <w:r>
        <w:rPr>
          <w:rFonts w:ascii="Arial" w:cs="Arial" w:eastAsia="Arial" w:hAnsi="Arial"/>
          <w:color w:val="212121"/>
          <w:sz w:val="22"/>
          <w:szCs w:val="22"/>
        </w:rPr>
        <w:t xml:space="preserve">source  — "advbench" | "advbench_prefill"</w:t>
      </w:r>
    </w:p>
    <w:p>
      <w:pPr>
        <w:pStyle w:val="ListParagraph"/>
        <w:numPr>
          <w:ilvl w:val="0"/>
          <w:numId w:val="2"/>
        </w:numPr>
        <w:spacing w:before="30" w:after="50"/>
      </w:pPr>
      <w:r>
        <w:rPr>
          <w:rFonts w:ascii="Arial" w:cs="Arial" w:eastAsia="Arial" w:hAnsi="Arial"/>
          <w:color w:val="212121"/>
          <w:sz w:val="22"/>
          <w:szCs w:val="22"/>
        </w:rPr>
        <w:t xml:space="preserve">prompt  — (advbench only) the harmful instruction</w:t>
      </w:r>
    </w:p>
    <w:p>
      <w:pPr>
        <w:pStyle w:val="ListParagraph"/>
        <w:numPr>
          <w:ilvl w:val="0"/>
          <w:numId w:val="2"/>
        </w:numPr>
        <w:spacing w:before="30" w:after="50"/>
      </w:pPr>
      <w:r>
        <w:rPr>
          <w:rFonts w:ascii="Arial" w:cs="Arial" w:eastAsia="Arial" w:hAnsi="Arial"/>
          <w:color w:val="212121"/>
          <w:sz w:val="22"/>
          <w:szCs w:val="22"/>
        </w:rPr>
        <w:t xml:space="preserve">goal    — (advbench_prefill only) the harmful instruction</w:t>
      </w:r>
    </w:p>
    <w:p>
      <w:pPr>
        <w:pStyle w:val="ListParagraph"/>
        <w:numPr>
          <w:ilvl w:val="0"/>
          <w:numId w:val="2"/>
        </w:numPr>
        <w:spacing w:before="30" w:after="50"/>
      </w:pPr>
      <w:r>
        <w:rPr>
          <w:rFonts w:ascii="Arial" w:cs="Arial" w:eastAsia="Arial" w:hAnsi="Arial"/>
          <w:color w:val="212121"/>
          <w:sz w:val="22"/>
          <w:szCs w:val="22"/>
        </w:rPr>
        <w:t xml:space="preserve">target  — (advbench_prefill only) the model prefill string</w:t>
      </w:r>
    </w:p>
    <w:p>
      <w:pPr>
        <w:spacing w:before="0" w:after="120"/>
      </w:pPr>
    </w:p>
    <w:p>
      <w:pPr>
        <w:pStyle w:val="Heading2"/>
        <w:spacing w:before="240" w:after="80"/>
      </w:pPr>
      <w:r>
        <w:rPr>
          <w:rFonts w:ascii="Arial" w:cs="Arial" w:eastAsia="Arial" w:hAnsi="Arial"/>
          <w:b/>
          <w:bCs/>
          <w:color w:val="2E6DA4"/>
          <w:sz w:val="26"/>
          <w:szCs w:val="26"/>
        </w:rPr>
        <w:t xml:space="preserve">3.2  SafeMTData / ActorAttack  (Ren et al., 2024)  ·  MULTI-TURN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Paper</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Derail Yourself: Multi-turn LLM Jailbreak Attack through Self-discovered Clues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arXiv</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2410.10700</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HuggingFace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SafeMTData/SafeMTData  (Attack_600 split)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Licence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Apache 2.0</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Full size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600 multi-turn attack paths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Sampled</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entries (seed 67)</w:t>
            </w:r>
          </w:p>
        </w:tc>
      </w:tr>
    </w:tbl>
    <w:p>
      <w:pPr>
        <w:spacing w:before="0" w:after="80"/>
      </w:pPr>
    </w:p>
    <w:p>
      <w:pPr>
        <w:pStyle w:val="Heading3"/>
        <w:spacing w:before="180" w:after="60"/>
      </w:pPr>
      <w:r>
        <w:rPr>
          <w:rFonts w:ascii="Arial" w:cs="Arial" w:eastAsia="Arial" w:hAnsi="Arial"/>
          <w:b/>
          <w:bCs/>
          <w:color w:val="1B3A5C"/>
          <w:sz w:val="22"/>
          <w:szCs w:val="22"/>
        </w:rPr>
        <w:t xml:space="preserve">Rationale for Inclusion</w:t>
      </w:r>
    </w:p>
    <w:p>
      <w:pPr>
        <w:spacing w:before="40" w:after="80"/>
        <w:jc w:val="left"/>
      </w:pPr>
      <w:r>
        <w:rPr>
          <w:rFonts w:ascii="Arial" w:cs="Arial" w:eastAsia="Arial" w:hAnsi="Arial"/>
          <w:color w:val="212121"/>
          <w:sz w:val="22"/>
          <w:szCs w:val="22"/>
        </w:rPr>
        <w:t xml:space="preserve">Multi-turn attacks are significantly underrepresented in single-turn benchmarks such as AdvBench. SafeMTData provides the first large-scale multi-turn jailbreak corpus, in which an actor model autonomously discovers contextual clues across turns to gradually derail a target model. Including this dataset ensures the compilation covers conversational attack vectors that single-turn evaluations cannot capture.</w:t>
      </w:r>
    </w:p>
    <w:p>
      <w:pPr>
        <w:pStyle w:val="Heading3"/>
        <w:spacing w:before="180" w:after="60"/>
      </w:pPr>
      <w:r>
        <w:rPr>
          <w:rFonts w:ascii="Arial" w:cs="Arial" w:eastAsia="Arial" w:hAnsi="Arial"/>
          <w:b/>
          <w:bCs/>
          <w:color w:val="1B3A5C"/>
          <w:sz w:val="22"/>
          <w:szCs w:val="22"/>
        </w:rPr>
        <w:t xml:space="preserve">Split &amp; Sampling</w:t>
      </w:r>
    </w:p>
    <w:p>
      <w:pPr>
        <w:spacing w:before="40" w:after="80"/>
        <w:jc w:val="left"/>
      </w:pPr>
      <w:r>
        <w:rPr>
          <w:rFonts w:ascii="Arial" w:cs="Arial" w:eastAsia="Arial" w:hAnsi="Arial"/>
          <w:color w:val="212121"/>
          <w:sz w:val="22"/>
          <w:szCs w:val="22"/>
        </w:rPr>
        <w:t xml:space="preserve">100 rows sampled from the Attack_600 HuggingFace split using load_dataset and random.sample (seed 67).</w:t>
      </w:r>
    </w:p>
    <w:p>
      <w:pPr>
        <w:pStyle w:val="Heading3"/>
        <w:spacing w:before="180" w:after="60"/>
      </w:pPr>
      <w:r>
        <w:rPr>
          <w:rFonts w:ascii="Arial" w:cs="Arial" w:eastAsia="Arial" w:hAnsi="Arial"/>
          <w:b/>
          <w:bCs/>
          <w:color w:val="1B3A5C"/>
          <w:sz w:val="22"/>
          <w:szCs w:val="22"/>
        </w:rPr>
        <w:t xml:space="preserve">Output Format</w:t>
      </w:r>
    </w:p>
    <w:p>
      <w:pPr>
        <w:spacing w:before="40" w:after="80"/>
        <w:jc w:val="left"/>
      </w:pPr>
      <w:r>
        <w:rPr>
          <w:rFonts w:ascii="Arial" w:cs="Arial" w:eastAsia="Arial" w:hAnsi="Arial"/>
          <w:color w:val="212121"/>
          <w:sz w:val="22"/>
          <w:szCs w:val="22"/>
        </w:rPr>
        <w:t xml:space="preserve">Source key "safemtdata_multiturn". When the dataset provides a multi_turn_queries field, the full turn sequence is preserved in the compiled entry.</w:t>
      </w:r>
    </w:p>
    <w:p>
      <w:pPr>
        <w:pStyle w:val="Heading3"/>
        <w:spacing w:before="180" w:after="60"/>
      </w:pPr>
      <w:r>
        <w:rPr>
          <w:rFonts w:ascii="Arial" w:cs="Arial" w:eastAsia="Arial" w:hAnsi="Arial"/>
          <w:b/>
          <w:bCs/>
          <w:color w:val="1B3A5C"/>
          <w:sz w:val="22"/>
          <w:szCs w:val="22"/>
        </w:rPr>
        <w:t xml:space="preserve">Fields</w:t>
      </w:r>
    </w:p>
    <w:p>
      <w:pPr>
        <w:pStyle w:val="ListParagraph"/>
        <w:numPr>
          <w:ilvl w:val="0"/>
          <w:numId w:val="2"/>
        </w:numPr>
        <w:spacing w:before="30" w:after="50"/>
      </w:pPr>
      <w:r>
        <w:rPr>
          <w:rFonts w:ascii="Arial" w:cs="Arial" w:eastAsia="Arial" w:hAnsi="Arial"/>
          <w:color w:val="212121"/>
          <w:sz w:val="22"/>
          <w:szCs w:val="22"/>
        </w:rPr>
        <w:t xml:space="preserve">source — "safemtdata_multiturn"</w:t>
      </w:r>
    </w:p>
    <w:p>
      <w:pPr>
        <w:pStyle w:val="ListParagraph"/>
        <w:numPr>
          <w:ilvl w:val="0"/>
          <w:numId w:val="2"/>
        </w:numPr>
        <w:spacing w:before="30" w:after="50"/>
      </w:pPr>
      <w:r>
        <w:rPr>
          <w:rFonts w:ascii="Arial" w:cs="Arial" w:eastAsia="Arial" w:hAnsi="Arial"/>
          <w:color w:val="212121"/>
          <w:sz w:val="22"/>
          <w:szCs w:val="22"/>
        </w:rPr>
        <w:t xml:space="preserve">goal   — the target harmful behaviour</w:t>
      </w:r>
    </w:p>
    <w:p>
      <w:pPr>
        <w:pStyle w:val="ListParagraph"/>
        <w:numPr>
          <w:ilvl w:val="0"/>
          <w:numId w:val="2"/>
        </w:numPr>
        <w:spacing w:before="30" w:after="50"/>
      </w:pPr>
      <w:r>
        <w:rPr>
          <w:rFonts w:ascii="Arial" w:cs="Arial" w:eastAsia="Arial" w:hAnsi="Arial"/>
          <w:color w:val="212121"/>
          <w:sz w:val="22"/>
          <w:szCs w:val="22"/>
        </w:rPr>
        <w:t xml:space="preserve">turns  — (when available) list of turn strings constituting the attack path</w:t>
      </w:r>
    </w:p>
    <w:p>
      <w:pPr>
        <w:spacing w:before="0" w:after="120"/>
      </w:pPr>
    </w:p>
    <w:p>
      <w:pPr>
        <w:pStyle w:val="Heading2"/>
        <w:spacing w:before="240" w:after="80"/>
      </w:pPr>
      <w:r>
        <w:rPr>
          <w:rFonts w:ascii="Arial" w:cs="Arial" w:eastAsia="Arial" w:hAnsi="Arial"/>
          <w:b/>
          <w:bCs/>
          <w:color w:val="2E6DA4"/>
          <w:sz w:val="26"/>
          <w:szCs w:val="26"/>
        </w:rPr>
        <w:t xml:space="preserve">3.3  CipherChat  (Yuan et al., 2024, ICLR)  ·  CIPHER-BASED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Paper</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GPT-4 Is Too Smart To Be Safe: Stealthy Chat with LLMs via Cipher</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arXiv</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2308.06463</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Venue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ICLR 2024</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Repository</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github.com/RobustNLP/CipherChat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Licence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MIT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Full size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~330 entries across 11 unsafe categories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Sampled</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entries with Caesar ROT-13 cipher applied (seed 67)</w:t>
            </w:r>
          </w:p>
        </w:tc>
      </w:tr>
    </w:tbl>
    <w:p>
      <w:pPr>
        <w:spacing w:before="0" w:after="80"/>
      </w:pPr>
    </w:p>
    <w:p>
      <w:pPr>
        <w:pStyle w:val="Heading3"/>
        <w:spacing w:before="180" w:after="60"/>
      </w:pPr>
      <w:r>
        <w:rPr>
          <w:rFonts w:ascii="Arial" w:cs="Arial" w:eastAsia="Arial" w:hAnsi="Arial"/>
          <w:b/>
          <w:bCs/>
          <w:color w:val="1B3A5C"/>
          <w:sz w:val="22"/>
          <w:szCs w:val="22"/>
        </w:rPr>
        <w:t xml:space="preserve">Rationale for Inclusion</w:t>
      </w:r>
    </w:p>
    <w:p>
      <w:pPr>
        <w:spacing w:before="40" w:after="80"/>
        <w:jc w:val="left"/>
      </w:pPr>
      <w:r>
        <w:rPr>
          <w:rFonts w:ascii="Arial" w:cs="Arial" w:eastAsia="Arial" w:hAnsi="Arial"/>
          <w:color w:val="212121"/>
          <w:sz w:val="22"/>
          <w:szCs w:val="22"/>
        </w:rPr>
        <w:t xml:space="preserve">Cipher-based attacks exploit the gap between a model's instruction-following and its safety training by encoding harmful instructions in a cipher the model can decode but its safety classifier cannot. CipherChat demonstrates that state-of-the-art models including GPT-4 are vulnerable to Caesar, ROT-13, and Morse encodings. This attack family is absent from all other constituent datasets.</w:t>
      </w:r>
    </w:p>
    <w:p>
      <w:pPr>
        <w:pStyle w:val="Heading3"/>
        <w:spacing w:before="180" w:after="60"/>
      </w:pPr>
      <w:r>
        <w:rPr>
          <w:rFonts w:ascii="Arial" w:cs="Arial" w:eastAsia="Arial" w:hAnsi="Arial"/>
          <w:b/>
          <w:bCs/>
          <w:color w:val="1B3A5C"/>
          <w:sz w:val="22"/>
          <w:szCs w:val="22"/>
        </w:rPr>
        <w:t xml:space="preserve">Split &amp; Sampling</w:t>
      </w:r>
    </w:p>
    <w:p>
      <w:pPr>
        <w:spacing w:before="40" w:after="80"/>
        <w:jc w:val="left"/>
      </w:pPr>
      <w:r>
        <w:rPr>
          <w:rFonts w:ascii="Arial" w:cs="Arial" w:eastAsia="Arial" w:hAnsi="Arial"/>
          <w:color w:val="212121"/>
          <w:sz w:val="22"/>
          <w:szCs w:val="22"/>
        </w:rPr>
        <w:t xml:space="preserve">The script attempts to load CipherChat's 11-category base behavior list from GitHub. If unavailable, AdvBench goals are used as the base. ROT-13 Caesar cipher is applied programmatically to each sampled goal, and each entry is wrapped in the paper's SelfCipher system-prompt template. 100 entries are sampled from the resulting pool (seed 67).</w:t>
      </w:r>
    </w:p>
    <w:p>
      <w:pPr>
        <w:pStyle w:val="Heading3"/>
        <w:spacing w:before="180" w:after="60"/>
      </w:pPr>
      <w:r>
        <w:rPr>
          <w:rFonts w:ascii="Arial" w:cs="Arial" w:eastAsia="Arial" w:hAnsi="Arial"/>
          <w:b/>
          <w:bCs/>
          <w:color w:val="1B3A5C"/>
          <w:sz w:val="22"/>
          <w:szCs w:val="22"/>
        </w:rPr>
        <w:t xml:space="preserve">Output Format</w:t>
      </w:r>
    </w:p>
    <w:p>
      <w:pPr>
        <w:spacing w:before="40" w:after="80"/>
        <w:jc w:val="left"/>
      </w:pPr>
      <w:r>
        <w:rPr>
          <w:rFonts w:ascii="Arial" w:cs="Arial" w:eastAsia="Arial" w:hAnsi="Arial"/>
          <w:color w:val="212121"/>
          <w:sz w:val="22"/>
          <w:szCs w:val="22"/>
        </w:rPr>
        <w:t xml:space="preserve">Source key "cipherchat_cipher". The plaintext goal and fully-constructed cipher prompt are both stored to allow comparison of plaintext vs. ciphered attack rates.</w:t>
      </w:r>
    </w:p>
    <w:p>
      <w:pPr>
        <w:pStyle w:val="Heading3"/>
        <w:spacing w:before="180" w:after="60"/>
      </w:pPr>
      <w:r>
        <w:rPr>
          <w:rFonts w:ascii="Arial" w:cs="Arial" w:eastAsia="Arial" w:hAnsi="Arial"/>
          <w:b/>
          <w:bCs/>
          <w:color w:val="1B3A5C"/>
          <w:sz w:val="22"/>
          <w:szCs w:val="22"/>
        </w:rPr>
        <w:t xml:space="preserve">Fields</w:t>
      </w:r>
    </w:p>
    <w:p>
      <w:pPr>
        <w:pStyle w:val="ListParagraph"/>
        <w:numPr>
          <w:ilvl w:val="0"/>
          <w:numId w:val="2"/>
        </w:numPr>
        <w:spacing w:before="30" w:after="50"/>
      </w:pPr>
      <w:r>
        <w:rPr>
          <w:rFonts w:ascii="Arial" w:cs="Arial" w:eastAsia="Arial" w:hAnsi="Arial"/>
          <w:color w:val="212121"/>
          <w:sz w:val="22"/>
          <w:szCs w:val="22"/>
        </w:rPr>
        <w:t xml:space="preserve">source        — "cipherchat_cipher"</w:t>
      </w:r>
    </w:p>
    <w:p>
      <w:pPr>
        <w:pStyle w:val="ListParagraph"/>
        <w:numPr>
          <w:ilvl w:val="0"/>
          <w:numId w:val="2"/>
        </w:numPr>
        <w:spacing w:before="30" w:after="50"/>
      </w:pPr>
      <w:r>
        <w:rPr>
          <w:rFonts w:ascii="Arial" w:cs="Arial" w:eastAsia="Arial" w:hAnsi="Arial"/>
          <w:color w:val="212121"/>
          <w:sz w:val="22"/>
          <w:szCs w:val="22"/>
        </w:rPr>
        <w:t xml:space="preserve">goal          — plaintext harmful instruction</w:t>
      </w:r>
    </w:p>
    <w:p>
      <w:pPr>
        <w:pStyle w:val="ListParagraph"/>
        <w:numPr>
          <w:ilvl w:val="0"/>
          <w:numId w:val="2"/>
        </w:numPr>
        <w:spacing w:before="30" w:after="50"/>
      </w:pPr>
      <w:r>
        <w:rPr>
          <w:rFonts w:ascii="Arial" w:cs="Arial" w:eastAsia="Arial" w:hAnsi="Arial"/>
          <w:color w:val="212121"/>
          <w:sz w:val="22"/>
          <w:szCs w:val="22"/>
        </w:rPr>
        <w:t xml:space="preserve">cipher_prompt — full SelfCipher prompt with ROT-13-encoded instruction</w:t>
      </w:r>
    </w:p>
    <w:p>
      <w:pPr>
        <w:pStyle w:val="ListParagraph"/>
        <w:numPr>
          <w:ilvl w:val="0"/>
          <w:numId w:val="2"/>
        </w:numPr>
        <w:spacing w:before="30" w:after="50"/>
      </w:pPr>
      <w:r>
        <w:rPr>
          <w:rFonts w:ascii="Arial" w:cs="Arial" w:eastAsia="Arial" w:hAnsi="Arial"/>
          <w:color w:val="212121"/>
          <w:sz w:val="22"/>
          <w:szCs w:val="22"/>
        </w:rPr>
        <w:t xml:space="preserve">cipher_method — "caesar_rot13"</w:t>
      </w:r>
    </w:p>
    <w:p>
      <w:pPr>
        <w:spacing w:before="0" w:after="120"/>
      </w:pPr>
    </w:p>
    <w:p>
      <w:pPr>
        <w:pStyle w:val="Heading2"/>
        <w:spacing w:before="240" w:after="80"/>
      </w:pPr>
      <w:r>
        <w:rPr>
          <w:rFonts w:ascii="Arial" w:cs="Arial" w:eastAsia="Arial" w:hAnsi="Arial"/>
          <w:b/>
          <w:bCs/>
          <w:color w:val="2E6DA4"/>
          <w:sz w:val="26"/>
          <w:szCs w:val="26"/>
        </w:rPr>
        <w:t xml:space="preserve">3.4  ArtPrompt  (Jiang et al., 2024, ACL)  ·  ORTHOGRAPHIC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Paper</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ArtPrompt: ASCII Art-based Jailbreak Attacks against Aligned LLMs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arXiv</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2402.11753</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Venue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ACL 2024</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Repository</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github.com/uw-nsl/ArtPrompt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Licence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MIT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Full size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~500 harmful behaviors (custom CSV)</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Sampled</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entries with ASCII art masking applied (seed 67)</w:t>
            </w:r>
          </w:p>
        </w:tc>
      </w:tr>
    </w:tbl>
    <w:p>
      <w:pPr>
        <w:spacing w:before="0" w:after="80"/>
      </w:pPr>
    </w:p>
    <w:p>
      <w:pPr>
        <w:pStyle w:val="Heading3"/>
        <w:spacing w:before="180" w:after="60"/>
      </w:pPr>
      <w:r>
        <w:rPr>
          <w:rFonts w:ascii="Arial" w:cs="Arial" w:eastAsia="Arial" w:hAnsi="Arial"/>
          <w:b/>
          <w:bCs/>
          <w:color w:val="1B3A5C"/>
          <w:sz w:val="22"/>
          <w:szCs w:val="22"/>
        </w:rPr>
        <w:t xml:space="preserve">Rationale for Inclusion</w:t>
      </w:r>
    </w:p>
    <w:p>
      <w:pPr>
        <w:spacing w:before="40" w:after="80"/>
        <w:jc w:val="left"/>
      </w:pPr>
      <w:r>
        <w:rPr>
          <w:rFonts w:ascii="Arial" w:cs="Arial" w:eastAsia="Arial" w:hAnsi="Arial"/>
          <w:color w:val="212121"/>
          <w:sz w:val="22"/>
          <w:szCs w:val="22"/>
        </w:rPr>
        <w:t xml:space="preserve">Orthographic attacks replace safety-critical tokens with visually equivalent or contextually decodable representations — in ArtPrompt's case, ASCII art rendered from a five-font corpus. Safety classifiers trained on token distributions fail to flag ASCII-rendered tokens such as 'BOMB' or 'WEAPON', making this a practically significant attack vector distinct from semantic and structural manipulation techniques.</w:t>
      </w:r>
    </w:p>
    <w:p>
      <w:pPr>
        <w:pStyle w:val="Heading3"/>
        <w:spacing w:before="180" w:after="60"/>
      </w:pPr>
      <w:r>
        <w:rPr>
          <w:rFonts w:ascii="Arial" w:cs="Arial" w:eastAsia="Arial" w:hAnsi="Arial"/>
          <w:b/>
          <w:bCs/>
          <w:color w:val="1B3A5C"/>
          <w:sz w:val="22"/>
          <w:szCs w:val="22"/>
        </w:rPr>
        <w:t xml:space="preserve">Split &amp; Sampling</w:t>
      </w:r>
    </w:p>
    <w:p>
      <w:pPr>
        <w:spacing w:before="40" w:after="80"/>
        <w:jc w:val="left"/>
      </w:pPr>
      <w:r>
        <w:rPr>
          <w:rFonts w:ascii="Arial" w:cs="Arial" w:eastAsia="Arial" w:hAnsi="Arial"/>
          <w:color w:val="212121"/>
          <w:sz w:val="22"/>
          <w:szCs w:val="22"/>
        </w:rPr>
        <w:t xml:space="preserve">The script attempts to load ArtPrompt's custom harmful behaviors CSV from GitHub. If unavailable, AdvBench goals are used as the base. The word-masking step identifies safety-critical tokens (bomb, weapon, poison, hack, kill, drug, attack, exploit, malware, illegal) and substitutes them with pre-rendered ASCII art templates replicating the paper's methodology. 100 entries are sampled (seed 67).</w:t>
      </w:r>
    </w:p>
    <w:p>
      <w:pPr>
        <w:pStyle w:val="Heading3"/>
        <w:spacing w:before="180" w:after="60"/>
      </w:pPr>
      <w:r>
        <w:rPr>
          <w:rFonts w:ascii="Arial" w:cs="Arial" w:eastAsia="Arial" w:hAnsi="Arial"/>
          <w:b/>
          <w:bCs/>
          <w:color w:val="1B3A5C"/>
          <w:sz w:val="22"/>
          <w:szCs w:val="22"/>
        </w:rPr>
        <w:t xml:space="preserve">Output Format</w:t>
      </w:r>
    </w:p>
    <w:p>
      <w:pPr>
        <w:spacing w:before="40" w:after="80"/>
        <w:jc w:val="left"/>
      </w:pPr>
      <w:r>
        <w:rPr>
          <w:rFonts w:ascii="Arial" w:cs="Arial" w:eastAsia="Arial" w:hAnsi="Arial"/>
          <w:color w:val="212121"/>
          <w:sz w:val="22"/>
          <w:szCs w:val="22"/>
        </w:rPr>
        <w:t xml:space="preserve">Source key "artprompt_orthographic". Both the original goal and the cloaked (ASCII-masked) prompt are stored.</w:t>
      </w:r>
    </w:p>
    <w:p>
      <w:pPr>
        <w:pStyle w:val="Heading3"/>
        <w:spacing w:before="180" w:after="60"/>
      </w:pPr>
      <w:r>
        <w:rPr>
          <w:rFonts w:ascii="Arial" w:cs="Arial" w:eastAsia="Arial" w:hAnsi="Arial"/>
          <w:b/>
          <w:bCs/>
          <w:color w:val="1B3A5C"/>
          <w:sz w:val="22"/>
          <w:szCs w:val="22"/>
        </w:rPr>
        <w:t xml:space="preserve">Fields</w:t>
      </w:r>
    </w:p>
    <w:p>
      <w:pPr>
        <w:pStyle w:val="ListParagraph"/>
        <w:numPr>
          <w:ilvl w:val="0"/>
          <w:numId w:val="2"/>
        </w:numPr>
        <w:spacing w:before="30" w:after="50"/>
      </w:pPr>
      <w:r>
        <w:rPr>
          <w:rFonts w:ascii="Arial" w:cs="Arial" w:eastAsia="Arial" w:hAnsi="Arial"/>
          <w:color w:val="212121"/>
          <w:sz w:val="22"/>
          <w:szCs w:val="22"/>
        </w:rPr>
        <w:t xml:space="preserve">source         — "artprompt_orthographic"</w:t>
      </w:r>
    </w:p>
    <w:p>
      <w:pPr>
        <w:pStyle w:val="ListParagraph"/>
        <w:numPr>
          <w:ilvl w:val="0"/>
          <w:numId w:val="2"/>
        </w:numPr>
        <w:spacing w:before="30" w:after="50"/>
      </w:pPr>
      <w:r>
        <w:rPr>
          <w:rFonts w:ascii="Arial" w:cs="Arial" w:eastAsia="Arial" w:hAnsi="Arial"/>
          <w:color w:val="212121"/>
          <w:sz w:val="22"/>
          <w:szCs w:val="22"/>
        </w:rPr>
        <w:t xml:space="preserve">goal           — plaintext harmful instruction</w:t>
      </w:r>
    </w:p>
    <w:p>
      <w:pPr>
        <w:pStyle w:val="ListParagraph"/>
        <w:numPr>
          <w:ilvl w:val="0"/>
          <w:numId w:val="2"/>
        </w:numPr>
        <w:spacing w:before="30" w:after="50"/>
      </w:pPr>
      <w:r>
        <w:rPr>
          <w:rFonts w:ascii="Arial" w:cs="Arial" w:eastAsia="Arial" w:hAnsi="Arial"/>
          <w:color w:val="212121"/>
          <w:sz w:val="22"/>
          <w:szCs w:val="22"/>
        </w:rPr>
        <w:t xml:space="preserve">cloaked_prompt — prompt with safety-critical word replaced by ASCII art</w:t>
      </w:r>
    </w:p>
    <w:p>
      <w:pPr>
        <w:pStyle w:val="ListParagraph"/>
        <w:numPr>
          <w:ilvl w:val="0"/>
          <w:numId w:val="2"/>
        </w:numPr>
        <w:spacing w:before="30" w:after="50"/>
      </w:pPr>
      <w:r>
        <w:rPr>
          <w:rFonts w:ascii="Arial" w:cs="Arial" w:eastAsia="Arial" w:hAnsi="Arial"/>
          <w:color w:val="212121"/>
          <w:sz w:val="22"/>
          <w:szCs w:val="22"/>
        </w:rPr>
        <w:t xml:space="preserve">masked_word    — the token that was substituted (or null if none matched)</w:t>
      </w:r>
    </w:p>
    <w:p>
      <w:pPr>
        <w:spacing w:before="0" w:after="120"/>
      </w:pPr>
    </w:p>
    <w:p>
      <w:pPr>
        <w:pStyle w:val="Heading2"/>
        <w:spacing w:before="240" w:after="80"/>
      </w:pPr>
      <w:r>
        <w:rPr>
          <w:rFonts w:ascii="Arial" w:cs="Arial" w:eastAsia="Arial" w:hAnsi="Arial"/>
          <w:b/>
          <w:bCs/>
          <w:color w:val="2E6DA4"/>
          <w:sz w:val="26"/>
          <w:szCs w:val="26"/>
        </w:rPr>
        <w:t xml:space="preserve">3.5  Many-Shot Jailbreaking  (Anil et al., 2024, NeurIPS)  ·  CONTEXT-WINDOW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Paper</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Many-Shot Jailbreaking</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Publisher</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Anthropic / NeurIPS 2024</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URL</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anthropic.com/research/many-shot-jailbreaking</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Demo repo</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github.com/TrustAI-laboratory/Many-Shot-Jailbreaking-Demo</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Licence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Public research release</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Full size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~520 target queries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Sampled</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entries with 5-shot faux dialogue prefix (seed 67)</w:t>
            </w:r>
          </w:p>
        </w:tc>
      </w:tr>
    </w:tbl>
    <w:p>
      <w:pPr>
        <w:spacing w:before="0" w:after="80"/>
      </w:pPr>
    </w:p>
    <w:p>
      <w:pPr>
        <w:pStyle w:val="Heading3"/>
        <w:spacing w:before="180" w:after="60"/>
      </w:pPr>
      <w:r>
        <w:rPr>
          <w:rFonts w:ascii="Arial" w:cs="Arial" w:eastAsia="Arial" w:hAnsi="Arial"/>
          <w:b/>
          <w:bCs/>
          <w:color w:val="1B3A5C"/>
          <w:sz w:val="22"/>
          <w:szCs w:val="22"/>
        </w:rPr>
        <w:t xml:space="preserve">Rationale for Inclusion</w:t>
      </w:r>
    </w:p>
    <w:p>
      <w:pPr>
        <w:spacing w:before="40" w:after="80"/>
        <w:jc w:val="left"/>
      </w:pPr>
      <w:r>
        <w:rPr>
          <w:rFonts w:ascii="Arial" w:cs="Arial" w:eastAsia="Arial" w:hAnsi="Arial"/>
          <w:color w:val="212121"/>
          <w:sz w:val="22"/>
          <w:szCs w:val="22"/>
        </w:rPr>
        <w:t xml:space="preserve">Context-window attacks exploit the in-context learning capability of long-context LLMs: by prepending many (16–256) faux harmful question-answer pairs, the model is conditioned into a compliant mode before receiving the true target query. This attack family is uniquely dependent on model context length and is therefore orthogonal to the token-level and semantic attacks in other constituent datasets.</w:t>
      </w:r>
    </w:p>
    <w:p>
      <w:pPr>
        <w:pStyle w:val="Heading3"/>
        <w:spacing w:before="180" w:after="60"/>
      </w:pPr>
      <w:r>
        <w:rPr>
          <w:rFonts w:ascii="Arial" w:cs="Arial" w:eastAsia="Arial" w:hAnsi="Arial"/>
          <w:b/>
          <w:bCs/>
          <w:color w:val="1B3A5C"/>
          <w:sz w:val="22"/>
          <w:szCs w:val="22"/>
        </w:rPr>
        <w:t xml:space="preserve">Split &amp; Sampling</w:t>
      </w:r>
    </w:p>
    <w:p>
      <w:pPr>
        <w:spacing w:before="40" w:after="80"/>
        <w:jc w:val="left"/>
      </w:pPr>
      <w:r>
        <w:rPr>
          <w:rFonts w:ascii="Arial" w:cs="Arial" w:eastAsia="Arial" w:hAnsi="Arial"/>
          <w:color w:val="212121"/>
          <w:sz w:val="22"/>
          <w:szCs w:val="22"/>
        </w:rPr>
        <w:t xml:space="preserve">The script attempts to load target queries from the TrustAI GitHub demo repo. If unavailable, AdvBench goals are used. Each target is wrapped in a 5-shot faux Human/Assistant dialogue prefix (configurable via n_shots) replicating the attack structure described in Anil et al. 100 entries sampled (seed 67).</w:t>
      </w:r>
    </w:p>
    <w:p>
      <w:pPr>
        <w:pStyle w:val="Heading3"/>
        <w:spacing w:before="180" w:after="60"/>
      </w:pPr>
      <w:r>
        <w:rPr>
          <w:rFonts w:ascii="Arial" w:cs="Arial" w:eastAsia="Arial" w:hAnsi="Arial"/>
          <w:b/>
          <w:bCs/>
          <w:color w:val="1B3A5C"/>
          <w:sz w:val="22"/>
          <w:szCs w:val="22"/>
        </w:rPr>
        <w:t xml:space="preserve">Output Format</w:t>
      </w:r>
    </w:p>
    <w:p>
      <w:pPr>
        <w:spacing w:before="40" w:after="80"/>
        <w:jc w:val="left"/>
      </w:pPr>
      <w:r>
        <w:rPr>
          <w:rFonts w:ascii="Arial" w:cs="Arial" w:eastAsia="Arial" w:hAnsi="Arial"/>
          <w:color w:val="212121"/>
          <w:sz w:val="22"/>
          <w:szCs w:val="22"/>
        </w:rPr>
        <w:t xml:space="preserve">Source key "msj_contextwindow". Both the bare goal and the full MSJ-structured prompt are stored.</w:t>
      </w:r>
    </w:p>
    <w:p>
      <w:pPr>
        <w:pStyle w:val="Heading3"/>
        <w:spacing w:before="180" w:after="60"/>
      </w:pPr>
      <w:r>
        <w:rPr>
          <w:rFonts w:ascii="Arial" w:cs="Arial" w:eastAsia="Arial" w:hAnsi="Arial"/>
          <w:b/>
          <w:bCs/>
          <w:color w:val="1B3A5C"/>
          <w:sz w:val="22"/>
          <w:szCs w:val="22"/>
        </w:rPr>
        <w:t xml:space="preserve">Fields</w:t>
      </w:r>
    </w:p>
    <w:p>
      <w:pPr>
        <w:pStyle w:val="ListParagraph"/>
        <w:numPr>
          <w:ilvl w:val="0"/>
          <w:numId w:val="2"/>
        </w:numPr>
        <w:spacing w:before="30" w:after="50"/>
      </w:pPr>
      <w:r>
        <w:rPr>
          <w:rFonts w:ascii="Arial" w:cs="Arial" w:eastAsia="Arial" w:hAnsi="Arial"/>
          <w:color w:val="212121"/>
          <w:sz w:val="22"/>
          <w:szCs w:val="22"/>
        </w:rPr>
        <w:t xml:space="preserve">source       — "msj_contextwindow"</w:t>
      </w:r>
    </w:p>
    <w:p>
      <w:pPr>
        <w:pStyle w:val="ListParagraph"/>
        <w:numPr>
          <w:ilvl w:val="0"/>
          <w:numId w:val="2"/>
        </w:numPr>
        <w:spacing w:before="30" w:after="50"/>
      </w:pPr>
      <w:r>
        <w:rPr>
          <w:rFonts w:ascii="Arial" w:cs="Arial" w:eastAsia="Arial" w:hAnsi="Arial"/>
          <w:color w:val="212121"/>
          <w:sz w:val="22"/>
          <w:szCs w:val="22"/>
        </w:rPr>
        <w:t xml:space="preserve">goal         — the target harmful query</w:t>
      </w:r>
    </w:p>
    <w:p>
      <w:pPr>
        <w:pStyle w:val="ListParagraph"/>
        <w:numPr>
          <w:ilvl w:val="0"/>
          <w:numId w:val="2"/>
        </w:numPr>
        <w:spacing w:before="30" w:after="50"/>
      </w:pPr>
      <w:r>
        <w:rPr>
          <w:rFonts w:ascii="Arial" w:cs="Arial" w:eastAsia="Arial" w:hAnsi="Arial"/>
          <w:color w:val="212121"/>
          <w:sz w:val="22"/>
          <w:szCs w:val="22"/>
        </w:rPr>
        <w:t xml:space="preserve">msj_prompt   — full many-shot faux-dialogue prompt</w:t>
      </w:r>
    </w:p>
    <w:p>
      <w:pPr>
        <w:pStyle w:val="ListParagraph"/>
        <w:numPr>
          <w:ilvl w:val="0"/>
          <w:numId w:val="2"/>
        </w:numPr>
        <w:spacing w:before="30" w:after="50"/>
      </w:pPr>
      <w:r>
        <w:rPr>
          <w:rFonts w:ascii="Arial" w:cs="Arial" w:eastAsia="Arial" w:hAnsi="Arial"/>
          <w:color w:val="212121"/>
          <w:sz w:val="22"/>
          <w:szCs w:val="22"/>
        </w:rPr>
        <w:t xml:space="preserve">n_faux_shots — number of faux dialogue turns prepended (default: 5)</w:t>
      </w:r>
    </w:p>
    <w:p>
      <w:pPr>
        <w:spacing w:before="0" w:after="120"/>
      </w:pPr>
    </w:p>
    <w:p>
      <w:pPr>
        <w:pStyle w:val="Heading2"/>
        <w:spacing w:before="240" w:after="80"/>
      </w:pPr>
      <w:r>
        <w:rPr>
          <w:rFonts w:ascii="Arial" w:cs="Arial" w:eastAsia="Arial" w:hAnsi="Arial"/>
          <w:b/>
          <w:bCs/>
          <w:color w:val="2E6DA4"/>
          <w:sz w:val="26"/>
          <w:szCs w:val="26"/>
        </w:rPr>
        <w:t xml:space="preserve">3.6  JailbreakBench / JBB-Behaviors  (Chao et al., 2024, NeurIPS)  ·  GENERAL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Paper</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JailbreakBench: An Open Robustness Benchmark for Jailbreaking Language Models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arXiv</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2404.01318</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Venue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NeurIPS 2024 Datasets &amp; Benchmarks Track</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HuggingFace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JailbreakBench/JBB-Behaviors  (harmful split)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Licence</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MIT</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Full size</w:t>
            </w:r>
          </w:p>
        </w:tc>
        <w:tc>
          <w:tcPr>
            <w:tcW w:type="dxa" w:w="73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harmful behaviors across 10 OpenAI-policy categories</w:t>
            </w:r>
          </w:p>
        </w:tc>
      </w:tr>
      <w:tr>
        <w:tc>
          <w:tcPr>
            <w:tcW w:type="dxa" w:w="2000"/>
            <w:tcBorders>
              <w:top w:val="single" w:color="BFCFDF" w:sz="1"/>
              <w:left w:val="single" w:color="BFCFDF" w:sz="1"/>
              <w:bottom w:val="single" w:color="BFCFDF" w:sz="1"/>
              <w:right w:val="single" w:color="BFCFDF" w:sz="1"/>
            </w:tcBorders>
            <w:shd w:fill="D9E8F5" w:val="clear"/>
            <w:tcMar>
              <w:top w:type="dxa" w:w="100"/>
              <w:left w:type="dxa" w:w="140"/>
              <w:bottom w:type="dxa" w:w="100"/>
              <w:right w:type="dxa" w:w="140"/>
            </w:tcMar>
          </w:tcPr>
          <w:p>
            <w:r>
              <w:rPr>
                <w:rFonts w:ascii="Arial" w:cs="Arial" w:eastAsia="Arial" w:hAnsi="Arial"/>
                <w:b/>
                <w:bCs/>
                <w:color w:val="1B3A5C"/>
                <w:sz w:val="20"/>
                <w:szCs w:val="20"/>
              </w:rPr>
              <w:t xml:space="preserve">Sampled</w:t>
            </w:r>
          </w:p>
        </w:tc>
        <w:tc>
          <w:tcPr>
            <w:tcW w:type="dxa" w:w="7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spacing w:before="40" w:after="40"/>
            </w:pPr>
            <w:r>
              <w:rPr>
                <w:rFonts w:ascii="Arial" w:cs="Arial" w:eastAsia="Arial" w:hAnsi="Arial"/>
                <w:color w:val="212121"/>
                <w:sz w:val="20"/>
                <w:szCs w:val="20"/>
              </w:rPr>
              <w:t xml:space="preserve">100 entries (full harmful split, seed 67)</w:t>
            </w:r>
          </w:p>
        </w:tc>
      </w:tr>
    </w:tbl>
    <w:p>
      <w:pPr>
        <w:spacing w:before="0" w:after="80"/>
      </w:pPr>
    </w:p>
    <w:p>
      <w:pPr>
        <w:pStyle w:val="Heading3"/>
        <w:spacing w:before="180" w:after="60"/>
      </w:pPr>
      <w:r>
        <w:rPr>
          <w:rFonts w:ascii="Arial" w:cs="Arial" w:eastAsia="Arial" w:hAnsi="Arial"/>
          <w:b/>
          <w:bCs/>
          <w:color w:val="1B3A5C"/>
          <w:sz w:val="22"/>
          <w:szCs w:val="22"/>
        </w:rPr>
        <w:t xml:space="preserve">Rationale for Inclusion</w:t>
      </w:r>
    </w:p>
    <w:p>
      <w:pPr>
        <w:spacing w:before="40" w:after="80"/>
        <w:jc w:val="left"/>
      </w:pPr>
      <w:r>
        <w:rPr>
          <w:rFonts w:ascii="Arial" w:cs="Arial" w:eastAsia="Arial" w:hAnsi="Arial"/>
          <w:color w:val="212121"/>
          <w:sz w:val="22"/>
          <w:szCs w:val="22"/>
        </w:rPr>
        <w:t xml:space="preserve">JailbreakBench provides a standardised, community-maintained benchmark designed specifically for reproducible jailbreak evaluation. Its 100 harmful behaviors are carefully curated across 10 OpenAI-policy categories (including CBRN, hate speech, and cybercrime), making it the most policy-grounded dataset in the compilation. It serves as a cross-reference ground truth and enables direct comparison with published JBB leaderboard results.</w:t>
      </w:r>
    </w:p>
    <w:p>
      <w:pPr>
        <w:pStyle w:val="Heading3"/>
        <w:spacing w:before="180" w:after="60"/>
      </w:pPr>
      <w:r>
        <w:rPr>
          <w:rFonts w:ascii="Arial" w:cs="Arial" w:eastAsia="Arial" w:hAnsi="Arial"/>
          <w:b/>
          <w:bCs/>
          <w:color w:val="1B3A5C"/>
          <w:sz w:val="22"/>
          <w:szCs w:val="22"/>
        </w:rPr>
        <w:t xml:space="preserve">Split &amp; Sampling</w:t>
      </w:r>
    </w:p>
    <w:p>
      <w:pPr>
        <w:spacing w:before="40" w:after="80"/>
        <w:jc w:val="left"/>
      </w:pPr>
      <w:r>
        <w:rPr>
          <w:rFonts w:ascii="Arial" w:cs="Arial" w:eastAsia="Arial" w:hAnsi="Arial"/>
          <w:color w:val="212121"/>
          <w:sz w:val="22"/>
          <w:szCs w:val="22"/>
        </w:rPr>
        <w:t xml:space="preserve">The full harmful split (100 rows) is loaded via the HuggingFace datasets library. All 100 entries are included without further sub-sampling, as the split was designed to be a complete, balanced evaluation set. Seed 67 is applied for consistency even though no sub-sampling occurs.</w:t>
      </w:r>
    </w:p>
    <w:p>
      <w:pPr>
        <w:pStyle w:val="Heading3"/>
        <w:spacing w:before="180" w:after="60"/>
      </w:pPr>
      <w:r>
        <w:rPr>
          <w:rFonts w:ascii="Arial" w:cs="Arial" w:eastAsia="Arial" w:hAnsi="Arial"/>
          <w:b/>
          <w:bCs/>
          <w:color w:val="1B3A5C"/>
          <w:sz w:val="22"/>
          <w:szCs w:val="22"/>
        </w:rPr>
        <w:t xml:space="preserve">Output Format</w:t>
      </w:r>
    </w:p>
    <w:p>
      <w:pPr>
        <w:spacing w:before="40" w:after="80"/>
        <w:jc w:val="left"/>
      </w:pPr>
      <w:r>
        <w:rPr>
          <w:rFonts w:ascii="Arial" w:cs="Arial" w:eastAsia="Arial" w:hAnsi="Arial"/>
          <w:color w:val="212121"/>
          <w:sz w:val="22"/>
          <w:szCs w:val="22"/>
        </w:rPr>
        <w:t xml:space="preserve">Source key "jailbreakbench_general". Goal, prefill target, and policy category are all preserved.</w:t>
      </w:r>
    </w:p>
    <w:p>
      <w:pPr>
        <w:pStyle w:val="Heading3"/>
        <w:spacing w:before="180" w:after="60"/>
      </w:pPr>
      <w:r>
        <w:rPr>
          <w:rFonts w:ascii="Arial" w:cs="Arial" w:eastAsia="Arial" w:hAnsi="Arial"/>
          <w:b/>
          <w:bCs/>
          <w:color w:val="1B3A5C"/>
          <w:sz w:val="22"/>
          <w:szCs w:val="22"/>
        </w:rPr>
        <w:t xml:space="preserve">Fields</w:t>
      </w:r>
    </w:p>
    <w:p>
      <w:pPr>
        <w:pStyle w:val="ListParagraph"/>
        <w:numPr>
          <w:ilvl w:val="0"/>
          <w:numId w:val="2"/>
        </w:numPr>
        <w:spacing w:before="30" w:after="50"/>
      </w:pPr>
      <w:r>
        <w:rPr>
          <w:rFonts w:ascii="Arial" w:cs="Arial" w:eastAsia="Arial" w:hAnsi="Arial"/>
          <w:color w:val="212121"/>
          <w:sz w:val="22"/>
          <w:szCs w:val="22"/>
        </w:rPr>
        <w:t xml:space="preserve">source   — "jailbreakbench_general"</w:t>
      </w:r>
    </w:p>
    <w:p>
      <w:pPr>
        <w:pStyle w:val="ListParagraph"/>
        <w:numPr>
          <w:ilvl w:val="0"/>
          <w:numId w:val="2"/>
        </w:numPr>
        <w:spacing w:before="30" w:after="50"/>
      </w:pPr>
      <w:r>
        <w:rPr>
          <w:rFonts w:ascii="Arial" w:cs="Arial" w:eastAsia="Arial" w:hAnsi="Arial"/>
          <w:color w:val="212121"/>
          <w:sz w:val="22"/>
          <w:szCs w:val="22"/>
        </w:rPr>
        <w:t xml:space="preserve">goal     — the harmful instruction</w:t>
      </w:r>
    </w:p>
    <w:p>
      <w:pPr>
        <w:pStyle w:val="ListParagraph"/>
        <w:numPr>
          <w:ilvl w:val="0"/>
          <w:numId w:val="2"/>
        </w:numPr>
        <w:spacing w:before="30" w:after="50"/>
      </w:pPr>
      <w:r>
        <w:rPr>
          <w:rFonts w:ascii="Arial" w:cs="Arial" w:eastAsia="Arial" w:hAnsi="Arial"/>
          <w:color w:val="212121"/>
          <w:sz w:val="22"/>
          <w:szCs w:val="22"/>
        </w:rPr>
        <w:t xml:space="preserve">target   — the model prefill string</w:t>
      </w:r>
    </w:p>
    <w:p>
      <w:pPr>
        <w:pStyle w:val="ListParagraph"/>
        <w:numPr>
          <w:ilvl w:val="0"/>
          <w:numId w:val="2"/>
        </w:numPr>
        <w:spacing w:before="30" w:after="50"/>
      </w:pPr>
      <w:r>
        <w:rPr>
          <w:rFonts w:ascii="Arial" w:cs="Arial" w:eastAsia="Arial" w:hAnsi="Arial"/>
          <w:color w:val="212121"/>
          <w:sz w:val="22"/>
          <w:szCs w:val="22"/>
        </w:rPr>
        <w:t xml:space="preserve">category — one of 10 OpenAI policy violation categories</w:t>
      </w:r>
    </w:p>
    <w:p>
      <w:pPr>
        <w:spacing w:before="0" w:after="120"/>
      </w:pPr>
    </w:p>
    <w:p>
      <w:pPr>
        <w:pStyle w:val="Heading1"/>
        <w:spacing w:before="320" w:after="120"/>
      </w:pPr>
      <w:r>
        <w:rPr>
          <w:rFonts w:ascii="Arial" w:cs="Arial" w:eastAsia="Arial" w:hAnsi="Arial"/>
          <w:b/>
          <w:bCs/>
          <w:color w:val="1B3A5C"/>
          <w:sz w:val="32"/>
          <w:szCs w:val="32"/>
        </w:rPr>
        <w:t xml:space="preserve">4.  Output Format</w:t>
      </w:r>
    </w:p>
    <w:p>
      <w:pPr>
        <w:pBdr>
          <w:bottom w:val="single" w:color="2E6DA4" w:sz="6" w:space="1"/>
        </w:pBdr>
        <w:spacing w:before="0" w:after="160"/>
      </w:pPr>
    </w:p>
    <w:p>
      <w:pPr>
        <w:spacing w:before="40" w:after="80"/>
        <w:jc w:val="left"/>
      </w:pPr>
      <w:r>
        <w:rPr>
          <w:rFonts w:ascii="Arial" w:cs="Arial" w:eastAsia="Arial" w:hAnsi="Arial"/>
          <w:color w:val="212121"/>
          <w:sz w:val="22"/>
          <w:szCs w:val="22"/>
        </w:rPr>
        <w:t xml:space="preserve">The compilation is written in two formats: all_prompts.json (pretty-printed, with a metadata header) and all_prompts.jsonl (one JSON object per line, suitable for streaming ingestion).</w:t>
      </w:r>
    </w:p>
    <w:p>
      <w:pPr>
        <w:spacing w:before="0" w:after="80"/>
      </w:pPr>
    </w:p>
    <w:p>
      <w:pPr>
        <w:pStyle w:val="Heading2"/>
        <w:spacing w:before="240" w:after="80"/>
      </w:pPr>
      <w:r>
        <w:rPr>
          <w:rFonts w:ascii="Arial" w:cs="Arial" w:eastAsia="Arial" w:hAnsi="Arial"/>
          <w:b/>
          <w:bCs/>
          <w:color w:val="2E6DA4"/>
          <w:sz w:val="26"/>
          <w:szCs w:val="26"/>
        </w:rPr>
        <w:t xml:space="preserve">4.1  Metadata Block (JSON only)</w:t>
      </w:r>
    </w:p>
    <w:p>
      <w:pPr>
        <w:spacing w:before="40" w:after="80"/>
        <w:jc w:val="left"/>
      </w:pPr>
      <w:r>
        <w:rPr>
          <w:rFonts w:ascii="Arial" w:cs="Arial" w:eastAsia="Arial" w:hAnsi="Arial"/>
          <w:color w:val="212121"/>
          <w:sz w:val="22"/>
          <w:szCs w:val="22"/>
        </w:rPr>
        <w:t xml:space="preserve">The top-level "metadata" object in all_prompts.json contains: total_entries (int), random_seed (int), datasets (object mapping source key → sample count), and citations (object mapping source key → full academic citation string).</w:t>
      </w:r>
    </w:p>
    <w:p>
      <w:pPr>
        <w:spacing w:before="0" w:after="80"/>
      </w:pPr>
    </w:p>
    <w:p>
      <w:pPr>
        <w:pStyle w:val="Heading2"/>
        <w:spacing w:before="240" w:after="80"/>
      </w:pPr>
      <w:r>
        <w:rPr>
          <w:rFonts w:ascii="Arial" w:cs="Arial" w:eastAsia="Arial" w:hAnsi="Arial"/>
          <w:b/>
          <w:bCs/>
          <w:color w:val="2E6DA4"/>
          <w:sz w:val="26"/>
          <w:szCs w:val="26"/>
        </w:rPr>
        <w:t xml:space="preserve">4.2  Prompt Entry Schema</w:t>
      </w:r>
    </w:p>
    <w:p>
      <w:pPr>
        <w:spacing w:before="40" w:after="80"/>
        <w:jc w:val="left"/>
      </w:pPr>
      <w:r>
        <w:rPr>
          <w:rFonts w:ascii="Arial" w:cs="Arial" w:eastAsia="Arial" w:hAnsi="Arial"/>
          <w:color w:val="212121"/>
          <w:sz w:val="22"/>
          <w:szCs w:val="22"/>
        </w:rPr>
        <w:t xml:space="preserve">Each entry in the prompts array (JSON) or each line (JSONL) is a flat JSON object. Fields are sparse: only fields relevant to a given source key are present.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Field</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Type</w:t>
            </w:r>
          </w:p>
        </w:tc>
        <w:tc>
          <w:tcPr>
            <w:tcW w:type="dxa" w:w="36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Description</w:t>
            </w:r>
          </w:p>
        </w:tc>
      </w:tr>
      <w:tr>
        <w:tc>
          <w:tcPr>
            <w:tcW w:type="dxa" w:w="25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source</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w:t>
            </w:r>
          </w:p>
        </w:tc>
        <w:tc>
          <w:tcPr>
            <w:tcW w:type="dxa" w:w="36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Dataset identifier key (see Table 1)</w:t>
            </w:r>
          </w:p>
        </w:tc>
      </w:tr>
      <w:tr>
        <w:tc>
          <w:tcPr>
            <w:tcW w:type="dxa" w:w="25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prompt</w:t>
            </w:r>
          </w:p>
        </w:tc>
        <w:tc>
          <w:tcPr>
            <w:tcW w:type="dxa" w:w="3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Bare harmful instruction (advbench only)</w:t>
            </w:r>
          </w:p>
        </w:tc>
      </w:tr>
      <w:tr>
        <w:tc>
          <w:tcPr>
            <w:tcW w:type="dxa" w:w="25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goal</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Harmful instruction (all other sources)</w:t>
            </w:r>
          </w:p>
        </w:tc>
      </w:tr>
      <w:tr>
        <w:tc>
          <w:tcPr>
            <w:tcW w:type="dxa" w:w="25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target</w:t>
            </w:r>
          </w:p>
        </w:tc>
        <w:tc>
          <w:tcPr>
            <w:tcW w:type="dxa" w:w="3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Model prefill / forced prefix string</w:t>
            </w:r>
          </w:p>
        </w:tc>
      </w:tr>
      <w:tr>
        <w:tc>
          <w:tcPr>
            <w:tcW w:type="dxa" w:w="25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turns</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list | absent</w:t>
            </w:r>
          </w:p>
        </w:tc>
        <w:tc>
          <w:tcPr>
            <w:tcW w:type="dxa" w:w="36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Ordered list of attack turn strings (SafeMTData)</w:t>
            </w:r>
          </w:p>
        </w:tc>
      </w:tr>
      <w:tr>
        <w:tc>
          <w:tcPr>
            <w:tcW w:type="dxa" w:w="25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cipher_prompt</w:t>
            </w:r>
          </w:p>
        </w:tc>
        <w:tc>
          <w:tcPr>
            <w:tcW w:type="dxa" w:w="3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Fully-constructed cipher attack prompt (CipherChat)</w:t>
            </w:r>
          </w:p>
        </w:tc>
      </w:tr>
      <w:tr>
        <w:tc>
          <w:tcPr>
            <w:tcW w:type="dxa" w:w="25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cipher_method</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 algorithm identifier (CipherChat)</w:t>
            </w:r>
          </w:p>
        </w:tc>
      </w:tr>
      <w:tr>
        <w:tc>
          <w:tcPr>
            <w:tcW w:type="dxa" w:w="25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cloaked_prompt</w:t>
            </w:r>
          </w:p>
        </w:tc>
        <w:tc>
          <w:tcPr>
            <w:tcW w:type="dxa" w:w="3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ASCII art-masked prompt (ArtPrompt)</w:t>
            </w:r>
          </w:p>
        </w:tc>
      </w:tr>
      <w:tr>
        <w:tc>
          <w:tcPr>
            <w:tcW w:type="dxa" w:w="25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masked_word</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null</w:t>
            </w:r>
          </w:p>
        </w:tc>
        <w:tc>
          <w:tcPr>
            <w:tcW w:type="dxa" w:w="36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Token replaced by ASCII art (ArtPrompt)</w:t>
            </w:r>
          </w:p>
        </w:tc>
      </w:tr>
      <w:tr>
        <w:tc>
          <w:tcPr>
            <w:tcW w:type="dxa" w:w="25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msj_prompt</w:t>
            </w:r>
          </w:p>
        </w:tc>
        <w:tc>
          <w:tcPr>
            <w:tcW w:type="dxa" w:w="3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Many-shot faux-dialogue prompt (MSJ)</w:t>
            </w:r>
          </w:p>
        </w:tc>
      </w:tr>
      <w:tr>
        <w:tc>
          <w:tcPr>
            <w:tcW w:type="dxa" w:w="25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n_faux_shots</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int | absent</w:t>
            </w:r>
          </w:p>
        </w:tc>
        <w:tc>
          <w:tcPr>
            <w:tcW w:type="dxa" w:w="36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Number of faux turns prepended (MSJ)</w:t>
            </w:r>
          </w:p>
        </w:tc>
      </w:tr>
      <w:tr>
        <w:tc>
          <w:tcPr>
            <w:tcW w:type="dxa" w:w="25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category</w:t>
            </w:r>
          </w:p>
        </w:tc>
        <w:tc>
          <w:tcPr>
            <w:tcW w:type="dxa" w:w="32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string | absent</w:t>
            </w:r>
          </w:p>
        </w:tc>
        <w:tc>
          <w:tcPr>
            <w:tcW w:type="dxa" w:w="36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OpenAI policy category (JailbreakBench)</w:t>
            </w:r>
          </w:p>
        </w:tc>
      </w:tr>
    </w:tbl>
    <w:p>
      <w:pPr>
        <w:spacing w:before="0" w:after="100"/>
      </w:pPr>
    </w:p>
    <w:p>
      <w:pPr>
        <w:spacing w:before="40" w:after="80"/>
        <w:jc w:val="left"/>
      </w:pPr>
      <w:r>
        <w:rPr>
          <w:rFonts w:ascii="Arial" w:cs="Arial" w:eastAsia="Arial" w:hAnsi="Arial"/>
          <w:i/>
          <w:iCs/>
          <w:color w:val="555555"/>
          <w:sz w:val="22"/>
          <w:szCs w:val="22"/>
        </w:rPr>
        <w:t xml:space="preserve">Table 2: Prompt entry schema. Fields marked 'absent' are omitted (not set to null) when not applicable.</w:t>
      </w:r>
    </w:p>
    <w:p>
      <w:pPr>
        <w:spacing w:before="0" w:after="120"/>
      </w:pPr>
    </w:p>
    <w:p>
      <w:pPr>
        <w:pStyle w:val="Heading1"/>
        <w:spacing w:before="320" w:after="120"/>
      </w:pPr>
      <w:r>
        <w:rPr>
          <w:rFonts w:ascii="Arial" w:cs="Arial" w:eastAsia="Arial" w:hAnsi="Arial"/>
          <w:b/>
          <w:bCs/>
          <w:color w:val="1B3A5C"/>
          <w:sz w:val="32"/>
          <w:szCs w:val="32"/>
        </w:rPr>
        <w:t xml:space="preserve">5.  Split Summary</w:t>
      </w:r>
    </w:p>
    <w:p>
      <w:pPr>
        <w:pBdr>
          <w:bottom w:val="single" w:color="2E6DA4" w:sz="6" w:space="1"/>
        </w:pBdr>
        <w:spacing w:before="0" w:after="160"/>
      </w:pPr>
    </w:p>
    <w:p>
      <w:pPr>
        <w:spacing w:before="40" w:after="80"/>
        <w:jc w:val="left"/>
      </w:pPr>
      <w:r>
        <w:rPr>
          <w:rFonts w:ascii="Arial" w:cs="Arial" w:eastAsia="Arial" w:hAnsi="Arial"/>
          <w:color w:val="212121"/>
          <w:sz w:val="22"/>
          <w:szCs w:val="22"/>
        </w:rPr>
        <w:t xml:space="preserve">The dataset is intentionally balanced: each constituent source contributes exactly 100 entries, preventing any single attack family from dominating aggregate evaluation metrics. The 200 AdvBench entries (split across two source keys) collectively provide a larger baseline for single-turn goal-only evaluation, reflecting the continued centrality of AdvBench as a community standard.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Source Key</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Entries</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 of Total</w:t>
            </w:r>
          </w:p>
        </w:tc>
        <w:tc>
          <w:tcPr>
            <w:tcW w:type="dxa" w:w="3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spacing w:before="60" w:after="60"/>
            </w:pPr>
            <w:r>
              <w:rPr>
                <w:rFonts w:ascii="Arial" w:cs="Arial" w:eastAsia="Arial" w:hAnsi="Arial"/>
                <w:b/>
                <w:bCs/>
                <w:color w:val="FFFFFF"/>
                <w:sz w:val="20"/>
                <w:szCs w:val="20"/>
              </w:rPr>
              <w:t xml:space="preserve">Attack Family</w:t>
            </w:r>
          </w:p>
        </w:tc>
      </w:tr>
      <w:tr>
        <w:tc>
          <w:tcPr>
            <w:tcW w:type="dxa" w:w="2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Baseline (goal-only)</w:t>
            </w:r>
          </w:p>
        </w:tc>
      </w:tr>
      <w:tr>
        <w:tc>
          <w:tcPr>
            <w:tcW w:type="dxa" w:w="2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advbench_prefill</w:t>
            </w:r>
          </w:p>
        </w:tc>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Forced-prefix / baseline</w:t>
            </w:r>
          </w:p>
        </w:tc>
      </w:tr>
      <w:tr>
        <w:tc>
          <w:tcPr>
            <w:tcW w:type="dxa" w:w="2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safemtdata_multiturn</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Multi-turn conversation attack</w:t>
            </w:r>
          </w:p>
        </w:tc>
      </w:tr>
      <w:tr>
        <w:tc>
          <w:tcPr>
            <w:tcW w:type="dxa" w:w="2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cipherchat_cipher</w:t>
            </w:r>
          </w:p>
        </w:tc>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Cipher-based encoding attack</w:t>
            </w:r>
          </w:p>
        </w:tc>
      </w:tr>
      <w:tr>
        <w:tc>
          <w:tcPr>
            <w:tcW w:type="dxa" w:w="2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artprompt_orthographic</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Orthographic / ASCII art attack</w:t>
            </w:r>
          </w:p>
        </w:tc>
      </w:tr>
      <w:tr>
        <w:tc>
          <w:tcPr>
            <w:tcW w:type="dxa" w:w="2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msj_contextwindow</w:t>
            </w:r>
          </w:p>
        </w:tc>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2F5F8"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Context-window (many-shot) attack</w:t>
            </w:r>
          </w:p>
        </w:tc>
      </w:tr>
      <w:tr>
        <w:tc>
          <w:tcPr>
            <w:tcW w:type="dxa" w:w="2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jailbreakbench_general</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14.3 %</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General policy-category benchmark</w:t>
            </w:r>
          </w:p>
        </w:tc>
      </w:tr>
      <w:tr>
        <w:tc>
          <w:tcPr>
            <w:tcW w:type="dxa" w:w="2600"/>
            <w:tcBorders>
              <w:top w:val="single" w:color="BFCFDF" w:sz="1"/>
              <w:left w:val="single" w:color="BFCFDF" w:sz="1"/>
              <w:bottom w:val="single" w:color="BFCFDF" w:sz="1"/>
              <w:right w:val="single" w:color="BFCFDF" w:sz="1"/>
            </w:tcBorders>
            <w:shd w:fill="EEF4FB"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TOTAL</w:t>
            </w:r>
          </w:p>
        </w:tc>
        <w:tc>
          <w:tcPr>
            <w:tcW w:type="dxa" w:w="1600"/>
            <w:tcBorders>
              <w:top w:val="single" w:color="BFCFDF" w:sz="1"/>
              <w:left w:val="single" w:color="BFCFDF" w:sz="1"/>
              <w:bottom w:val="single" w:color="BFCFDF" w:sz="1"/>
              <w:right w:val="single" w:color="BFCFDF" w:sz="1"/>
            </w:tcBorders>
            <w:shd w:fill="EEF4FB"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700</w:t>
            </w:r>
          </w:p>
        </w:tc>
        <w:tc>
          <w:tcPr>
            <w:tcW w:type="dxa" w:w="1600"/>
            <w:tcBorders>
              <w:top w:val="single" w:color="BFCFDF" w:sz="1"/>
              <w:left w:val="single" w:color="BFCFDF" w:sz="1"/>
              <w:bottom w:val="single" w:color="BFCFDF" w:sz="1"/>
              <w:right w:val="single" w:color="BFCFDF" w:sz="1"/>
            </w:tcBorders>
            <w:shd w:fill="EEF4FB"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100 %</w:t>
            </w:r>
          </w:p>
        </w:tc>
        <w:tc>
          <w:tcPr>
            <w:tcW w:type="dxa" w:w="3560"/>
            <w:tcBorders>
              <w:top w:val="single" w:color="BFCFDF" w:sz="1"/>
              <w:left w:val="single" w:color="BFCFDF" w:sz="1"/>
              <w:bottom w:val="single" w:color="BFCFDF" w:sz="1"/>
              <w:right w:val="single" w:color="BFCFDF" w:sz="1"/>
            </w:tcBorders>
            <w:shd w:fill="EEF4FB" w:val="clear"/>
            <w:tcMar>
              <w:top w:type="dxa" w:w="100"/>
              <w:left w:type="dxa" w:w="140"/>
              <w:bottom w:type="dxa" w:w="100"/>
              <w:right w:type="dxa" w:w="140"/>
            </w:tcMar>
            <w:vAlign w:val="center"/>
          </w:tcPr>
          <w:p>
            <w:pPr>
              <w:spacing w:before="40" w:after="40"/>
            </w:pPr>
            <w:r>
              <w:rPr>
                <w:rFonts w:ascii="Arial" w:cs="Arial" w:eastAsia="Arial" w:hAnsi="Arial"/>
                <w:color w:val="212121"/>
                <w:sz w:val="20"/>
                <w:szCs w:val="20"/>
              </w:rPr>
              <w:t xml:space="preserve">—</w:t>
            </w:r>
          </w:p>
        </w:tc>
      </w:tr>
    </w:tbl>
    <w:p>
      <w:pPr>
        <w:spacing w:before="0" w:after="100"/>
      </w:pPr>
    </w:p>
    <w:p>
      <w:pPr>
        <w:spacing w:before="40" w:after="80"/>
        <w:jc w:val="left"/>
      </w:pPr>
      <w:r>
        <w:rPr>
          <w:rFonts w:ascii="Arial" w:cs="Arial" w:eastAsia="Arial" w:hAnsi="Arial"/>
          <w:i/>
          <w:iCs/>
          <w:color w:val="555555"/>
          <w:sz w:val="22"/>
          <w:szCs w:val="22"/>
        </w:rPr>
        <w:t xml:space="preserve">Table 3: Split summary. Seed 67 used throughout for reproducibility.</w:t>
      </w:r>
    </w:p>
    <w:p>
      <w:pPr>
        <w:spacing w:before="0" w:after="120"/>
      </w:pPr>
    </w:p>
    <w:p>
      <w:pPr>
        <w:pStyle w:val="Heading1"/>
        <w:spacing w:before="320" w:after="120"/>
      </w:pPr>
      <w:r>
        <w:rPr>
          <w:rFonts w:ascii="Arial" w:cs="Arial" w:eastAsia="Arial" w:hAnsi="Arial"/>
          <w:b/>
          <w:bCs/>
          <w:color w:val="1B3A5C"/>
          <w:sz w:val="32"/>
          <w:szCs w:val="32"/>
        </w:rPr>
        <w:t xml:space="preserve">6.  Reproducibility</w:t>
      </w:r>
    </w:p>
    <w:p>
      <w:pPr>
        <w:pBdr>
          <w:bottom w:val="single" w:color="2E6DA4" w:sz="6" w:space="1"/>
        </w:pBdr>
        <w:spacing w:before="0" w:after="160"/>
      </w:pPr>
    </w:p>
    <w:p>
      <w:pPr>
        <w:spacing w:before="40" w:after="80"/>
        <w:jc w:val="left"/>
      </w:pPr>
      <w:r>
        <w:rPr>
          <w:rFonts w:ascii="Arial" w:cs="Arial" w:eastAsia="Arial" w:hAnsi="Arial"/>
          <w:b/>
          <w:bCs/>
          <w:color w:val="212121"/>
          <w:sz w:val="22"/>
          <w:szCs w:val="22"/>
        </w:rPr>
        <w:t xml:space="preserve">Random seed: </w:t>
      </w:r>
      <w:r>
        <w:rPr>
          <w:rFonts w:ascii="Arial" w:cs="Arial" w:eastAsia="Arial" w:hAnsi="Arial"/>
          <w:color w:val="212121"/>
          <w:sz w:val="22"/>
          <w:szCs w:val="22"/>
        </w:rPr>
        <w:t xml:space="preserve">67 (set via random.seed(67) in Python's standard library random module). All sub-samples are drawn with random.sample (without replacement within each source).</w:t>
      </w:r>
    </w:p>
    <w:p>
      <w:pPr>
        <w:spacing w:before="40" w:after="80"/>
        <w:jc w:val="left"/>
      </w:pPr>
      <w:r>
        <w:rPr>
          <w:rFonts w:ascii="Arial" w:cs="Arial" w:eastAsia="Arial" w:hAnsi="Arial"/>
          <w:b/>
          <w:bCs/>
          <w:color w:val="212121"/>
          <w:sz w:val="22"/>
          <w:szCs w:val="22"/>
        </w:rPr>
        <w:t xml:space="preserve">Fallback behaviour: </w:t>
      </w:r>
      <w:r>
        <w:rPr>
          <w:rFonts w:ascii="Arial" w:cs="Arial" w:eastAsia="Arial" w:hAnsi="Arial"/>
          <w:color w:val="212121"/>
          <w:sz w:val="22"/>
          <w:szCs w:val="22"/>
        </w:rPr>
        <w:t xml:space="preserve">When a primary data source (GitHub raw URL or HuggingFace dataset) is unavailable at runtime, the script falls back to applying the relevant attack transformation to 100 sampled AdvBench goals. Compiled files include a metadata.datasets field indicating actual entry counts, enabling researchers to detect fallback activation.</w:t>
      </w:r>
    </w:p>
    <w:p>
      <w:pPr>
        <w:spacing w:before="40" w:after="80"/>
        <w:jc w:val="left"/>
      </w:pPr>
      <w:r>
        <w:rPr>
          <w:rFonts w:ascii="Arial" w:cs="Arial" w:eastAsia="Arial" w:hAnsi="Arial"/>
          <w:b/>
          <w:bCs/>
          <w:color w:val="212121"/>
          <w:sz w:val="22"/>
          <w:szCs w:val="22"/>
        </w:rPr>
        <w:t xml:space="preserve">Determinism: </w:t>
      </w:r>
      <w:r>
        <w:rPr>
          <w:rFonts w:ascii="Arial" w:cs="Arial" w:eastAsia="Arial" w:hAnsi="Arial"/>
          <w:color w:val="212121"/>
          <w:sz w:val="22"/>
          <w:szCs w:val="22"/>
        </w:rPr>
        <w:t xml:space="preserve">Given the same seed and source availability, the compiled files are byte-for-byte identical across runs.</w:t>
      </w:r>
    </w:p>
    <w:p>
      <w:pPr>
        <w:spacing w:before="40" w:after="80"/>
        <w:jc w:val="left"/>
      </w:pPr>
      <w:r>
        <w:rPr>
          <w:rFonts w:ascii="Arial" w:cs="Arial" w:eastAsia="Arial" w:hAnsi="Arial"/>
          <w:b/>
          <w:bCs/>
          <w:color w:val="212121"/>
          <w:sz w:val="22"/>
          <w:szCs w:val="22"/>
        </w:rPr>
        <w:t xml:space="preserve">Environment: </w:t>
      </w:r>
      <w:r>
        <w:rPr>
          <w:rFonts w:ascii="Arial" w:cs="Arial" w:eastAsia="Arial" w:hAnsi="Arial"/>
          <w:color w:val="212121"/>
          <w:sz w:val="22"/>
          <w:szCs w:val="22"/>
        </w:rPr>
        <w:t xml:space="preserve">Python ≥ 3.10. Dependencies: requests, csv, json (stdlib); datasets (HuggingFace). Install: pip install datasets.</w:t>
      </w:r>
    </w:p>
    <w:p>
      <w:pPr>
        <w:spacing w:before="0" w:after="120"/>
      </w:pPr>
    </w:p>
    <w:p>
      <w:pPr>
        <w:pStyle w:val="Heading1"/>
        <w:spacing w:before="320" w:after="120"/>
      </w:pPr>
      <w:r>
        <w:rPr>
          <w:rFonts w:ascii="Arial" w:cs="Arial" w:eastAsia="Arial" w:hAnsi="Arial"/>
          <w:b/>
          <w:bCs/>
          <w:color w:val="1B3A5C"/>
          <w:sz w:val="32"/>
          <w:szCs w:val="32"/>
        </w:rPr>
        <w:t xml:space="preserve">7.  References</w:t>
      </w:r>
    </w:p>
    <w:p>
      <w:pPr>
        <w:pBdr>
          <w:bottom w:val="single" w:color="2E6DA4" w:sz="6" w:space="1"/>
        </w:pBdr>
        <w:spacing w:before="0" w:after="160"/>
      </w:pPr>
    </w:p>
    <w:p>
      <w:pPr>
        <w:spacing w:before="60" w:after="100"/>
        <w:ind w:left="480" w:hanging="480"/>
      </w:pPr>
      <w:r>
        <w:rPr>
          <w:rFonts w:ascii="Arial" w:cs="Arial" w:eastAsia="Arial" w:hAnsi="Arial"/>
          <w:b/>
          <w:bCs/>
          <w:color w:val="1B3A5C"/>
          <w:sz w:val="20"/>
          <w:szCs w:val="20"/>
        </w:rPr>
        <w:t xml:space="preserve">[1]  </w:t>
      </w:r>
      <w:r>
        <w:rPr>
          <w:rFonts w:ascii="Arial" w:cs="Arial" w:eastAsia="Arial" w:hAnsi="Arial"/>
          <w:color w:val="212121"/>
          <w:sz w:val="20"/>
          <w:szCs w:val="20"/>
        </w:rPr>
        <w:t xml:space="preserve">Zou, A., Wang, Z., Kolter, J. Z., &amp; Fredrikson, M. (2023). Universal and Transferable Adversarial Attacks on Aligned Language Models. arXiv:2307.15043.</w:t>
      </w:r>
    </w:p>
    <w:p>
      <w:pPr>
        <w:spacing w:before="60" w:after="100"/>
        <w:ind w:left="480" w:hanging="480"/>
      </w:pPr>
      <w:r>
        <w:rPr>
          <w:rFonts w:ascii="Arial" w:cs="Arial" w:eastAsia="Arial" w:hAnsi="Arial"/>
          <w:b/>
          <w:bCs/>
          <w:color w:val="1B3A5C"/>
          <w:sz w:val="20"/>
          <w:szCs w:val="20"/>
        </w:rPr>
        <w:t xml:space="preserve">[2]  </w:t>
      </w:r>
      <w:r>
        <w:rPr>
          <w:rFonts w:ascii="Arial" w:cs="Arial" w:eastAsia="Arial" w:hAnsi="Arial"/>
          <w:color w:val="212121"/>
          <w:sz w:val="20"/>
          <w:szCs w:val="20"/>
        </w:rPr>
        <w:t xml:space="preserve">Ren, Q., Li, H., Liu, D., Xie, Z., Lu, X., Qiao, Y., Sha, L., Yan, J., Ma, L., &amp; Shao, J. (2024). Derail Yourself: Multi-turn LLM Jailbreak Attack through Self-discovered Clues. arXiv:2410.10700.</w:t>
      </w:r>
    </w:p>
    <w:p>
      <w:pPr>
        <w:spacing w:before="60" w:after="100"/>
        <w:ind w:left="480" w:hanging="480"/>
      </w:pPr>
      <w:r>
        <w:rPr>
          <w:rFonts w:ascii="Arial" w:cs="Arial" w:eastAsia="Arial" w:hAnsi="Arial"/>
          <w:b/>
          <w:bCs/>
          <w:color w:val="1B3A5C"/>
          <w:sz w:val="20"/>
          <w:szCs w:val="20"/>
        </w:rPr>
        <w:t xml:space="preserve">[3]  </w:t>
      </w:r>
      <w:r>
        <w:rPr>
          <w:rFonts w:ascii="Arial" w:cs="Arial" w:eastAsia="Arial" w:hAnsi="Arial"/>
          <w:color w:val="212121"/>
          <w:sz w:val="20"/>
          <w:szCs w:val="20"/>
        </w:rPr>
        <w:t xml:space="preserve">Yuan, Y., Jiao, W., Wang, W., Huang, J.-T., He, P., Shi, S., &amp; Tu, Z. (2024). GPT-4 Is Too Smart To Be Safe: Stealthy Chat with LLMs via Cipher. ICLR 2024. arXiv:2308.06463.</w:t>
      </w:r>
    </w:p>
    <w:p>
      <w:pPr>
        <w:spacing w:before="60" w:after="100"/>
        <w:ind w:left="480" w:hanging="480"/>
      </w:pPr>
      <w:r>
        <w:rPr>
          <w:rFonts w:ascii="Arial" w:cs="Arial" w:eastAsia="Arial" w:hAnsi="Arial"/>
          <w:b/>
          <w:bCs/>
          <w:color w:val="1B3A5C"/>
          <w:sz w:val="20"/>
          <w:szCs w:val="20"/>
        </w:rPr>
        <w:t xml:space="preserve">[4]  </w:t>
      </w:r>
      <w:r>
        <w:rPr>
          <w:rFonts w:ascii="Arial" w:cs="Arial" w:eastAsia="Arial" w:hAnsi="Arial"/>
          <w:color w:val="212121"/>
          <w:sz w:val="20"/>
          <w:szCs w:val="20"/>
        </w:rPr>
        <w:t xml:space="preserve">Jiang, F., Xu, Z., Niu, L., Xiang, Z., Raghunathan, A., &amp; Chen, T. (2024). ArtPrompt: ASCII Art-based Jailbreak Attacks against Aligned LLMs. ACL 2024. arXiv:2402.11753.</w:t>
      </w:r>
    </w:p>
    <w:p>
      <w:pPr>
        <w:spacing w:before="60" w:after="100"/>
        <w:ind w:left="480" w:hanging="480"/>
      </w:pPr>
      <w:r>
        <w:rPr>
          <w:rFonts w:ascii="Arial" w:cs="Arial" w:eastAsia="Arial" w:hAnsi="Arial"/>
          <w:b/>
          <w:bCs/>
          <w:color w:val="1B3A5C"/>
          <w:sz w:val="20"/>
          <w:szCs w:val="20"/>
        </w:rPr>
        <w:t xml:space="preserve">[5]  </w:t>
      </w:r>
      <w:r>
        <w:rPr>
          <w:rFonts w:ascii="Arial" w:cs="Arial" w:eastAsia="Arial" w:hAnsi="Arial"/>
          <w:color w:val="212121"/>
          <w:sz w:val="20"/>
          <w:szCs w:val="20"/>
        </w:rPr>
        <w:t xml:space="preserve">Anil, C., Grosse, R., Kaur, J., Bhattacharya, A., Eisenstein, J., et al. (2024). Many-Shot Jailbreaking. NeurIPS 2024. Anthropic Research.</w:t>
      </w:r>
    </w:p>
    <w:p>
      <w:pPr>
        <w:spacing w:before="60" w:after="100"/>
        <w:ind w:left="480" w:hanging="480"/>
      </w:pPr>
      <w:r>
        <w:rPr>
          <w:rFonts w:ascii="Arial" w:cs="Arial" w:eastAsia="Arial" w:hAnsi="Arial"/>
          <w:b/>
          <w:bCs/>
          <w:color w:val="1B3A5C"/>
          <w:sz w:val="20"/>
          <w:szCs w:val="20"/>
        </w:rPr>
        <w:t xml:space="preserve">[6]  </w:t>
      </w:r>
      <w:r>
        <w:rPr>
          <w:rFonts w:ascii="Arial" w:cs="Arial" w:eastAsia="Arial" w:hAnsi="Arial"/>
          <w:color w:val="212121"/>
          <w:sz w:val="20"/>
          <w:szCs w:val="20"/>
        </w:rPr>
        <w:t xml:space="preserve">Chao, P., Debenedetti, E., Robey, A., Andriushchenko, M., Croce, F., Sehwag, V., Dobriban, E., Flammarion, N., Pappas, G. J., Tramèr, F., Hassani, H., &amp; Wong, E. (2024). JailbreakBench: An Open Robustness Benchmark for Jailbreaking Language Models. NeurIPS 2024 Datasets &amp; Benchmarks Track. arXiv:2404.01318.</w:t>
      </w:r>
    </w:p>
    <w:p>
      <w:pPr>
        <w:spacing w:before="0" w:after="1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spacing w:before="120" w:after="0"/>
    </w:pPr>
    <w:r>
      <w:rPr>
        <w:rFonts w:ascii="Arial" w:cs="Arial" w:eastAsia="Arial" w:hAnsi="Arial"/>
        <w:i/>
        <w:iCs/>
        <w:color w:val="555555"/>
        <w:sz w:val="18"/>
        <w:szCs w:val="18"/>
      </w:rPr>
      <w:t xml:space="preserve">For authorised LLM safety research use only</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026"/>
      </w:tabs>
      <w:spacing w:before="0" w:after="120"/>
    </w:pPr>
    <w:r>
      <w:rPr>
        <w:rFonts w:ascii="Arial" w:cs="Arial" w:eastAsia="Arial" w:hAnsi="Arial"/>
        <w:color w:val="555555"/>
        <w:sz w:val="18"/>
        <w:szCs w:val="18"/>
      </w:rPr>
      <w:t xml:space="preserve">Dataset Card — Adversarial Prompt Benchmark Compilation</w:t>
    </w:r>
    <w:r>
      <w:rPr>
        <w:rFonts w:ascii="Arial" w:cs="Arial" w:eastAsia="Arial" w:hAnsi="Arial"/>
        <w:sz w:val="18"/>
        <w:szCs w:val="18"/>
      </w:rPr>
      <w:t xml:space="preserve">	</w:t>
    </w:r>
    <w:r>
      <w:rPr>
        <w:rFonts w:ascii="Arial" w:cs="Arial" w:eastAsia="Arial" w:hAnsi="Arial"/>
        <w:color w:val="2E6DA4"/>
        <w:sz w:val="18"/>
        <w:szCs w:val="18"/>
      </w:rPr>
      <w:t xml:space="preserve">LLM Safety Research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2026-03-08T15:45:57.467Z</dcterms:created>
  <dcterms:modified xsi:type="dcterms:W3CDTF">2026-03-08T15:45:57.468Z</dcterms:modified>
</cp:coreProperties>
</file>

<file path=docProps/custom.xml><?xml version="1.0" encoding="utf-8"?>
<Properties xmlns="http://schemas.openxmlformats.org/officeDocument/2006/custom-properties" xmlns:vt="http://schemas.openxmlformats.org/officeDocument/2006/docPropsVTypes"/>
</file>