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23C9" w:rsidRDefault="00000000">
      <w:pPr>
        <w:tabs>
          <w:tab w:val="center" w:pos="1710"/>
          <w:tab w:val="right" w:pos="9090"/>
        </w:tabs>
        <w:spacing w:after="39" w:line="259" w:lineRule="auto"/>
        <w:ind w:left="0" w:right="0" w:firstLine="0"/>
        <w:jc w:val="left"/>
      </w:pPr>
      <w:r>
        <w:rPr>
          <w:rFonts w:ascii="Calibri" w:eastAsia="Calibri" w:hAnsi="Calibri" w:cs="Calibri"/>
          <w:sz w:val="22"/>
        </w:rPr>
        <w:tab/>
      </w:r>
      <w:r>
        <w:rPr>
          <w:b/>
          <w:sz w:val="26"/>
        </w:rPr>
        <w:t xml:space="preserve">ỦY BAN NHÂN DÂN </w:t>
      </w:r>
      <w:r>
        <w:rPr>
          <w:b/>
          <w:sz w:val="26"/>
        </w:rPr>
        <w:tab/>
        <w:t xml:space="preserve">CỘNG HOÀ XÃ HỘI CHỦ NGHĨA VIỆT NAM </w:t>
      </w:r>
    </w:p>
    <w:p w:rsidR="00AE23C9" w:rsidRDefault="00000000">
      <w:pPr>
        <w:pStyle w:val="Heading1"/>
        <w:tabs>
          <w:tab w:val="center" w:pos="1695"/>
          <w:tab w:val="center" w:pos="6247"/>
        </w:tabs>
        <w:ind w:left="0" w:firstLine="0"/>
      </w:pPr>
      <w:r>
        <w:rPr>
          <w:rFonts w:ascii="Calibri" w:eastAsia="Calibri" w:hAnsi="Calibri" w:cs="Calibri"/>
          <w:b w:val="0"/>
          <w:sz w:val="22"/>
        </w:rPr>
        <w:tab/>
      </w:r>
      <w:r>
        <w:rPr>
          <w:sz w:val="26"/>
        </w:rPr>
        <w:t xml:space="preserve">THÀNH PHỐ HÀ NỘI </w:t>
      </w:r>
      <w:r>
        <w:rPr>
          <w:sz w:val="26"/>
        </w:rPr>
        <w:tab/>
      </w:r>
      <w:r>
        <w:t xml:space="preserve">Độc lập - Tự do - Hạnh phúc </w:t>
      </w:r>
    </w:p>
    <w:p w:rsidR="00AE23C9" w:rsidRDefault="00000000">
      <w:pPr>
        <w:tabs>
          <w:tab w:val="center" w:pos="1672"/>
          <w:tab w:val="center" w:pos="6272"/>
        </w:tabs>
        <w:spacing w:after="358" w:line="259" w:lineRule="auto"/>
        <w:ind w:left="0" w:righ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755650" cy="9525"/>
                <wp:effectExtent l="0" t="0" r="0" b="0"/>
                <wp:docPr id="9344" name="Group 9344"/>
                <wp:cNvGraphicFramePr/>
                <a:graphic xmlns:a="http://schemas.openxmlformats.org/drawingml/2006/main">
                  <a:graphicData uri="http://schemas.microsoft.com/office/word/2010/wordprocessingGroup">
                    <wpg:wgp>
                      <wpg:cNvGrpSpPr/>
                      <wpg:grpSpPr>
                        <a:xfrm>
                          <a:off x="0" y="0"/>
                          <a:ext cx="755650" cy="9525"/>
                          <a:chOff x="0" y="0"/>
                          <a:chExt cx="755650" cy="9525"/>
                        </a:xfrm>
                      </wpg:grpSpPr>
                      <wps:wsp>
                        <wps:cNvPr id="470" name="Shape 470"/>
                        <wps:cNvSpPr/>
                        <wps:spPr>
                          <a:xfrm>
                            <a:off x="0" y="0"/>
                            <a:ext cx="755650" cy="0"/>
                          </a:xfrm>
                          <a:custGeom>
                            <a:avLst/>
                            <a:gdLst/>
                            <a:ahLst/>
                            <a:cxnLst/>
                            <a:rect l="0" t="0" r="0" b="0"/>
                            <a:pathLst>
                              <a:path w="755650">
                                <a:moveTo>
                                  <a:pt x="0" y="0"/>
                                </a:moveTo>
                                <a:lnTo>
                                  <a:pt x="7556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44" style="width:59.5pt;height:0.75pt;mso-position-horizontal-relative:char;mso-position-vertical-relative:line" coordsize="7556,95">
                <v:shape id="Shape 470" style="position:absolute;width:7556;height:0;left:0;top:0;" coordsize="755650,0" path="m0,0l755650,0">
                  <v:stroke weight="0.75pt" endcap="flat" joinstyle="round" on="true" color="#000000"/>
                  <v:fill on="false" color="#000000" opacity="0"/>
                </v:shape>
              </v:group>
            </w:pict>
          </mc:Fallback>
        </mc:AlternateContent>
      </w:r>
      <w:r>
        <w:rPr>
          <w:sz w:val="2"/>
        </w:rPr>
        <w:t xml:space="preserve"> </w:t>
      </w:r>
      <w:r>
        <w:rPr>
          <w:sz w:val="2"/>
        </w:rPr>
        <w:tab/>
      </w:r>
      <w:r>
        <w:rPr>
          <w:rFonts w:ascii="Calibri" w:eastAsia="Calibri" w:hAnsi="Calibri" w:cs="Calibri"/>
          <w:noProof/>
          <w:sz w:val="22"/>
        </w:rPr>
        <mc:AlternateContent>
          <mc:Choice Requires="wpg">
            <w:drawing>
              <wp:inline distT="0" distB="0" distL="0" distR="0">
                <wp:extent cx="2199640" cy="9525"/>
                <wp:effectExtent l="0" t="0" r="0" b="0"/>
                <wp:docPr id="9345" name="Group 9345"/>
                <wp:cNvGraphicFramePr/>
                <a:graphic xmlns:a="http://schemas.openxmlformats.org/drawingml/2006/main">
                  <a:graphicData uri="http://schemas.microsoft.com/office/word/2010/wordprocessingGroup">
                    <wpg:wgp>
                      <wpg:cNvGrpSpPr/>
                      <wpg:grpSpPr>
                        <a:xfrm>
                          <a:off x="0" y="0"/>
                          <a:ext cx="2199640" cy="9525"/>
                          <a:chOff x="0" y="0"/>
                          <a:chExt cx="2199640" cy="9525"/>
                        </a:xfrm>
                      </wpg:grpSpPr>
                      <wps:wsp>
                        <wps:cNvPr id="471" name="Shape 471"/>
                        <wps:cNvSpPr/>
                        <wps:spPr>
                          <a:xfrm>
                            <a:off x="0" y="0"/>
                            <a:ext cx="2199640" cy="0"/>
                          </a:xfrm>
                          <a:custGeom>
                            <a:avLst/>
                            <a:gdLst/>
                            <a:ahLst/>
                            <a:cxnLst/>
                            <a:rect l="0" t="0" r="0" b="0"/>
                            <a:pathLst>
                              <a:path w="2199640">
                                <a:moveTo>
                                  <a:pt x="0" y="0"/>
                                </a:moveTo>
                                <a:lnTo>
                                  <a:pt x="219964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45" style="width:173.2pt;height:0.75pt;mso-position-horizontal-relative:char;mso-position-vertical-relative:line" coordsize="21996,95">
                <v:shape id="Shape 471" style="position:absolute;width:21996;height:0;left:0;top:0;" coordsize="2199640,0" path="m0,0l2199640,0">
                  <v:stroke weight="0.75pt" endcap="flat" joinstyle="round" on="true" color="#000000"/>
                  <v:fill on="false" color="#000000" opacity="0"/>
                </v:shape>
              </v:group>
            </w:pict>
          </mc:Fallback>
        </mc:AlternateContent>
      </w:r>
      <w:r>
        <w:rPr>
          <w:sz w:val="2"/>
        </w:rPr>
        <w:t xml:space="preserve"> </w:t>
      </w:r>
    </w:p>
    <w:p w:rsidR="00AE23C9" w:rsidRDefault="00000000">
      <w:pPr>
        <w:tabs>
          <w:tab w:val="center" w:pos="568"/>
          <w:tab w:val="center" w:pos="2342"/>
          <w:tab w:val="center" w:pos="4957"/>
          <w:tab w:val="center" w:pos="6449"/>
          <w:tab w:val="center" w:pos="7742"/>
        </w:tabs>
        <w:spacing w:after="363" w:line="265" w:lineRule="auto"/>
        <w:ind w:left="0" w:right="0" w:firstLine="0"/>
        <w:jc w:val="left"/>
      </w:pPr>
      <w:r>
        <w:rPr>
          <w:rFonts w:ascii="Calibri" w:eastAsia="Calibri" w:hAnsi="Calibri" w:cs="Calibri"/>
          <w:sz w:val="22"/>
        </w:rPr>
        <w:tab/>
      </w:r>
      <w:r>
        <w:t xml:space="preserve">Số: </w:t>
      </w:r>
      <w:r>
        <w:tab/>
        <w:t xml:space="preserve">/QĐ-UBND </w:t>
      </w:r>
      <w:r>
        <w:tab/>
      </w:r>
      <w:r>
        <w:rPr>
          <w:i/>
        </w:rPr>
        <w:t xml:space="preserve">Hà Nội, ngày </w:t>
      </w:r>
      <w:r>
        <w:rPr>
          <w:i/>
        </w:rPr>
        <w:tab/>
        <w:t xml:space="preserve">tháng </w:t>
      </w:r>
      <w:r>
        <w:rPr>
          <w:i/>
        </w:rPr>
        <w:tab/>
        <w:t xml:space="preserve">năm 2026 </w:t>
      </w:r>
    </w:p>
    <w:p w:rsidR="00AE23C9" w:rsidRDefault="00000000">
      <w:pPr>
        <w:spacing w:after="86" w:line="259" w:lineRule="auto"/>
        <w:ind w:left="10" w:right="7"/>
        <w:jc w:val="center"/>
      </w:pPr>
      <w:r>
        <w:rPr>
          <w:b/>
        </w:rPr>
        <w:t xml:space="preserve">QUYẾT ĐỊNH </w:t>
      </w:r>
    </w:p>
    <w:p w:rsidR="00AE23C9" w:rsidRDefault="00000000">
      <w:pPr>
        <w:spacing w:after="3" w:line="264" w:lineRule="auto"/>
        <w:ind w:left="242" w:right="0"/>
        <w:jc w:val="left"/>
      </w:pPr>
      <w:r>
        <w:rPr>
          <w:b/>
        </w:rPr>
        <w:t xml:space="preserve">Về việc cho Công ty TNHH bê tông đúc sẵn và cơ khí Bình Dương thuê 71.674m² đất tại xã Đông Anh để thực hiện dự án Nhà máy xử lý, tái chế chất thải rắn xây dựng. </w:t>
      </w:r>
    </w:p>
    <w:p w:rsidR="00AE23C9" w:rsidRDefault="00000000">
      <w:pPr>
        <w:spacing w:after="0" w:line="259" w:lineRule="auto"/>
        <w:ind w:left="0" w:right="0" w:firstLine="0"/>
        <w:jc w:val="left"/>
      </w:pPr>
      <w:r>
        <w:rPr>
          <w:b/>
          <w:sz w:val="4"/>
        </w:rPr>
        <w:t xml:space="preserve"> </w:t>
      </w:r>
    </w:p>
    <w:p w:rsidR="00AE23C9" w:rsidRDefault="00000000">
      <w:pPr>
        <w:spacing w:after="228" w:line="259" w:lineRule="auto"/>
        <w:ind w:left="2570" w:right="0" w:firstLine="0"/>
        <w:jc w:val="left"/>
      </w:pPr>
      <w:r>
        <w:rPr>
          <w:rFonts w:ascii="Calibri" w:eastAsia="Calibri" w:hAnsi="Calibri" w:cs="Calibri"/>
          <w:noProof/>
          <w:sz w:val="22"/>
        </w:rPr>
        <mc:AlternateContent>
          <mc:Choice Requires="wpg">
            <w:drawing>
              <wp:inline distT="0" distB="0" distL="0" distR="0">
                <wp:extent cx="2492375" cy="9525"/>
                <wp:effectExtent l="0" t="0" r="0" b="0"/>
                <wp:docPr id="9346" name="Group 9346"/>
                <wp:cNvGraphicFramePr/>
                <a:graphic xmlns:a="http://schemas.openxmlformats.org/drawingml/2006/main">
                  <a:graphicData uri="http://schemas.microsoft.com/office/word/2010/wordprocessingGroup">
                    <wpg:wgp>
                      <wpg:cNvGrpSpPr/>
                      <wpg:grpSpPr>
                        <a:xfrm>
                          <a:off x="0" y="0"/>
                          <a:ext cx="2492375" cy="9525"/>
                          <a:chOff x="0" y="0"/>
                          <a:chExt cx="2492375" cy="9525"/>
                        </a:xfrm>
                      </wpg:grpSpPr>
                      <wps:wsp>
                        <wps:cNvPr id="472" name="Shape 472"/>
                        <wps:cNvSpPr/>
                        <wps:spPr>
                          <a:xfrm>
                            <a:off x="0" y="0"/>
                            <a:ext cx="2492375" cy="9525"/>
                          </a:xfrm>
                          <a:custGeom>
                            <a:avLst/>
                            <a:gdLst/>
                            <a:ahLst/>
                            <a:cxnLst/>
                            <a:rect l="0" t="0" r="0" b="0"/>
                            <a:pathLst>
                              <a:path w="2492375" h="9525">
                                <a:moveTo>
                                  <a:pt x="0" y="0"/>
                                </a:moveTo>
                                <a:lnTo>
                                  <a:pt x="2492375" y="952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46" style="width:196.25pt;height:0.75pt;mso-position-horizontal-relative:char;mso-position-vertical-relative:line" coordsize="24923,95">
                <v:shape id="Shape 472" style="position:absolute;width:24923;height:95;left:0;top:0;" coordsize="2492375,9525" path="m0,0l2492375,9525">
                  <v:stroke weight="0.75pt" endcap="flat" joinstyle="round" on="true" color="#000000"/>
                  <v:fill on="false" color="#000000" opacity="0"/>
                </v:shape>
              </v:group>
            </w:pict>
          </mc:Fallback>
        </mc:AlternateContent>
      </w:r>
    </w:p>
    <w:p w:rsidR="00AE23C9" w:rsidRDefault="00000000">
      <w:pPr>
        <w:pStyle w:val="Heading1"/>
        <w:spacing w:after="97"/>
        <w:ind w:left="1440"/>
      </w:pPr>
      <w:r>
        <w:t xml:space="preserve">CHỦ TỊCH ỦY BAN NHÂN DÂN THÀNH PHỐ HÀ NỘI </w:t>
      </w:r>
    </w:p>
    <w:p w:rsidR="00AE23C9" w:rsidRDefault="00000000">
      <w:pPr>
        <w:spacing w:after="0" w:line="265" w:lineRule="auto"/>
        <w:ind w:left="579" w:right="0"/>
      </w:pPr>
      <w:r>
        <w:rPr>
          <w:i/>
        </w:rPr>
        <w:t xml:space="preserve">Căn cứ Luật Tổ chức chính quyền địa phương ngày 16/6/2025; </w:t>
      </w:r>
    </w:p>
    <w:p w:rsidR="00AE23C9" w:rsidRDefault="00000000">
      <w:pPr>
        <w:spacing w:after="0" w:line="265" w:lineRule="auto"/>
        <w:ind w:left="-13" w:right="0" w:firstLine="566"/>
      </w:pPr>
      <w:r>
        <w:rPr>
          <w:i/>
        </w:rPr>
        <w:t xml:space="preserve">Căn cứ Luật Đất đai ngày 18/01/2024 và các Nghị định của Chính phủ hướng dẫn thi hành Luật Đất đai; </w:t>
      </w:r>
    </w:p>
    <w:p w:rsidR="00AE23C9" w:rsidRDefault="00000000">
      <w:pPr>
        <w:spacing w:after="0" w:line="259" w:lineRule="auto"/>
        <w:ind w:left="0" w:right="12" w:firstLine="0"/>
        <w:jc w:val="right"/>
      </w:pPr>
      <w:r>
        <w:rPr>
          <w:i/>
        </w:rPr>
        <w:t xml:space="preserve">Căn cứ Luật sửa đổi, bổ sung một số điều của Luật Đất đai ngày 18/01/2024, </w:t>
      </w:r>
    </w:p>
    <w:p w:rsidR="00AE23C9" w:rsidRDefault="00000000">
      <w:pPr>
        <w:spacing w:after="0" w:line="265" w:lineRule="auto"/>
        <w:ind w:left="-3" w:right="0"/>
      </w:pPr>
      <w:r>
        <w:rPr>
          <w:i/>
        </w:rPr>
        <w:t xml:space="preserve">Luật Nhà ở ngày 27/11/2023, Luật Kinh doanh bất động sản ngày 28/11/2023, </w:t>
      </w:r>
    </w:p>
    <w:p w:rsidR="00AE23C9" w:rsidRDefault="00000000">
      <w:pPr>
        <w:spacing w:after="0" w:line="265" w:lineRule="auto"/>
        <w:ind w:left="-3" w:right="0"/>
      </w:pPr>
      <w:r>
        <w:rPr>
          <w:i/>
        </w:rPr>
        <w:t xml:space="preserve">Luật Các tổ chức tín dụng ngày 18/01/2024; </w:t>
      </w:r>
    </w:p>
    <w:p w:rsidR="00AE23C9" w:rsidRDefault="00000000">
      <w:pPr>
        <w:spacing w:after="0" w:line="265" w:lineRule="auto"/>
        <w:ind w:left="-13" w:right="0" w:firstLine="449"/>
      </w:pPr>
      <w:r>
        <w:rPr>
          <w:i/>
        </w:rPr>
        <w:t xml:space="preserve">  Căn cứ Nghị quyết số 66.3/2025/NQ-CP ngày 15/9/2025 của Chính phủ Tháo gỡ, xử lý vướng mắc để triển khai các dự án trong thời gian Quy hoạch sử dụng đất quốc gia thời kỳ 2021 - 2030, tầm nhìn đến năm 2050 chưa được phê duyệt điều chỉnh; </w:t>
      </w:r>
    </w:p>
    <w:p w:rsidR="00AE23C9" w:rsidRDefault="00000000">
      <w:pPr>
        <w:spacing w:after="0" w:line="265" w:lineRule="auto"/>
        <w:ind w:left="-13" w:right="0" w:firstLine="449"/>
      </w:pPr>
      <w:r>
        <w:rPr>
          <w:i/>
        </w:rPr>
        <w:t xml:space="preserve">  Căn cứ Nghị quyết số 254/2025/QH15 ngày 11/12/2025 của Quốc hội quy định một số cơ chế, chính sách tháo gỡ khó khăn, vướng mắc trong tổ chức thi hành Luật Đất đai; Nghị định số 49/2026/NĐ-CP ngày 31/01/2026 của Chính phủ quy định chi tiết và hướng dẫn một số điều của Nghị quyết số 254/2025/QH15 ngày 11/12/2025 của Quốc hội; </w:t>
      </w:r>
    </w:p>
    <w:p w:rsidR="00AE23C9" w:rsidRDefault="00000000">
      <w:pPr>
        <w:spacing w:after="38" w:line="265" w:lineRule="auto"/>
        <w:ind w:left="-13" w:right="0" w:firstLine="566"/>
      </w:pPr>
      <w:r>
        <w:rPr>
          <w:i/>
        </w:rPr>
        <w:t xml:space="preserve">Căn cứ Quyết định số 33/2026/QĐ-UBND ngày 25/3/2026 của UBND Thành phố về việc phân cấp thực hiện một số nhiệm vụ trong lĩnh vực đất đai trên địa bàn Thành phố; </w:t>
      </w:r>
    </w:p>
    <w:p w:rsidR="00AE23C9" w:rsidRDefault="00000000">
      <w:pPr>
        <w:spacing w:after="149" w:line="265" w:lineRule="auto"/>
        <w:ind w:left="-13" w:right="0" w:firstLine="622"/>
      </w:pPr>
      <w:r>
        <w:rPr>
          <w:i/>
        </w:rPr>
        <w:t>Xét đề nghị của Sở Nông nghiệp và Môi trường tại Tờ trình số …</w:t>
      </w:r>
      <w:r>
        <w:rPr>
          <w:i/>
          <w:sz w:val="26"/>
        </w:rPr>
        <w:t>66</w:t>
      </w:r>
      <w:r>
        <w:rPr>
          <w:i/>
        </w:rPr>
        <w:t>…</w:t>
      </w:r>
      <w:r>
        <w:rPr>
          <w:i/>
          <w:sz w:val="26"/>
        </w:rPr>
        <w:t xml:space="preserve">0 </w:t>
      </w:r>
      <w:r>
        <w:rPr>
          <w:i/>
        </w:rPr>
        <w:t>/TTrSNNMT ngày …</w:t>
      </w:r>
      <w:r>
        <w:rPr>
          <w:i/>
          <w:sz w:val="26"/>
        </w:rPr>
        <w:t>22</w:t>
      </w:r>
      <w:r>
        <w:rPr>
          <w:i/>
        </w:rPr>
        <w:t>.. tháng …</w:t>
      </w:r>
      <w:r>
        <w:rPr>
          <w:i/>
          <w:sz w:val="26"/>
        </w:rPr>
        <w:t xml:space="preserve">7 </w:t>
      </w:r>
      <w:r>
        <w:rPr>
          <w:i/>
        </w:rPr>
        <w:t xml:space="preserve">… năm 2026. </w:t>
      </w:r>
    </w:p>
    <w:p w:rsidR="00AE23C9" w:rsidRDefault="00000000">
      <w:pPr>
        <w:spacing w:after="86" w:line="259" w:lineRule="auto"/>
        <w:ind w:left="10" w:right="8"/>
        <w:jc w:val="center"/>
      </w:pPr>
      <w:r>
        <w:rPr>
          <w:b/>
        </w:rPr>
        <w:t xml:space="preserve">QUYẾT ĐỊNH: </w:t>
      </w:r>
    </w:p>
    <w:p w:rsidR="00AE23C9" w:rsidRDefault="00000000">
      <w:pPr>
        <w:ind w:left="-13" w:right="0" w:firstLine="566"/>
      </w:pPr>
      <w:r>
        <w:rPr>
          <w:b/>
        </w:rPr>
        <w:t>Điều 1</w:t>
      </w:r>
      <w:r>
        <w:t xml:space="preserve">. Cho Công ty TNHH bê tông đúc sẵn và cơ khí Bình Dương thuê 71.674m² đất tại xã Đông Anh để thực hiện dự án Nhà máy xử lý, tái chế chất thải rắn xây dựng theo Quyết định chủ trương đầu tư số 3983/QĐ-UBND ngày 03/8/2018 của UBND Thành phố. </w:t>
      </w:r>
    </w:p>
    <w:p w:rsidR="00AE23C9" w:rsidRDefault="00000000">
      <w:pPr>
        <w:numPr>
          <w:ilvl w:val="0"/>
          <w:numId w:val="1"/>
        </w:numPr>
        <w:ind w:right="0" w:firstLine="566"/>
      </w:pPr>
      <w:r>
        <w:lastRenderedPageBreak/>
        <w:t xml:space="preserve">Vị trí, ranh giới, diện tích khu đất xác định tại Bản vẽ tổng mặt bằng sử dụng đất tỷ lệ 1/500 do Công ty TNHH kiến trúc và xây dựng ACE ONE lập năm 2026, được Phòng Kinh tế xã Đông Anh xác nhận phù hợp với Văn bản số 1773/UBND-KT ngày 25/5/2026 của UBND xã Đông Anh. </w:t>
      </w:r>
    </w:p>
    <w:p w:rsidR="00AE23C9" w:rsidRDefault="00000000">
      <w:pPr>
        <w:numPr>
          <w:ilvl w:val="0"/>
          <w:numId w:val="1"/>
        </w:numPr>
        <w:ind w:right="0" w:firstLine="566"/>
      </w:pPr>
      <w:r>
        <w:t xml:space="preserve">Trong tổng diện tích 71.674m² đất có: </w:t>
      </w:r>
    </w:p>
    <w:p w:rsidR="00AE23C9" w:rsidRDefault="00000000">
      <w:pPr>
        <w:numPr>
          <w:ilvl w:val="0"/>
          <w:numId w:val="2"/>
        </w:numPr>
        <w:ind w:right="0" w:firstLine="566"/>
      </w:pPr>
      <w:r>
        <w:t xml:space="preserve">69.180m² đất thực hiện dự án xây dựng nhà máy xử lý, tái chế chất thải rắn xây dựng: </w:t>
      </w:r>
    </w:p>
    <w:p w:rsidR="00AE23C9" w:rsidRDefault="00000000">
      <w:pPr>
        <w:ind w:left="579" w:right="0"/>
      </w:pPr>
      <w:r>
        <w:t xml:space="preserve">+ Mục đích sử dụng đất: Đất công trình xử lý chất thải; </w:t>
      </w:r>
    </w:p>
    <w:p w:rsidR="00AE23C9" w:rsidRDefault="00000000">
      <w:pPr>
        <w:ind w:left="-13" w:right="0" w:firstLine="566"/>
      </w:pPr>
      <w:r>
        <w:t xml:space="preserve">+ Hình thức thuê đất: Nhà nước cho thuê đất trả tiền thuê đất hằng năm và thuộc đối tượng được miễn tiền thuê đất 11 năm sau thời gian được miễn tiền thuê đất của thời gian xây dựng cơ bản (Nhà đầu tư phải làm thủ tục để được miễn tiền thuê đất theo quy định). </w:t>
      </w:r>
    </w:p>
    <w:p w:rsidR="00AE23C9" w:rsidRDefault="00000000">
      <w:pPr>
        <w:ind w:left="-13" w:right="0" w:firstLine="566"/>
      </w:pPr>
      <w:r>
        <w:t xml:space="preserve">+ Thời hạn sử dụng đất: Kể từ ngày Chủ tịch UBND Thành phố ký quyết định này đến hết ngày 03/8/2068. </w:t>
      </w:r>
    </w:p>
    <w:p w:rsidR="00AE23C9" w:rsidRDefault="00000000">
      <w:pPr>
        <w:ind w:left="-13" w:right="0" w:firstLine="566"/>
      </w:pPr>
      <w:r>
        <w:t xml:space="preserve">Giá đất tính tiền thuê đất phải nộp theo Bảng giá đất được UBND Thành phố phê duyệt và các quy định pháp luật hiện hành. </w:t>
      </w:r>
    </w:p>
    <w:p w:rsidR="00AE23C9" w:rsidRDefault="00000000">
      <w:pPr>
        <w:numPr>
          <w:ilvl w:val="0"/>
          <w:numId w:val="2"/>
        </w:numPr>
        <w:ind w:right="0" w:firstLine="566"/>
      </w:pPr>
      <w:r>
        <w:t xml:space="preserve">2.494m² đất để làm đường vào sử dụng, đấu nối với Quốc lộ 3. </w:t>
      </w:r>
    </w:p>
    <w:p w:rsidR="00AE23C9" w:rsidRDefault="00000000">
      <w:pPr>
        <w:ind w:left="-13" w:right="0" w:firstLine="566"/>
      </w:pPr>
      <w:r>
        <w:t xml:space="preserve">+ Mục đích sử dụng đất: Đất sử dụng vào mục đích công cộng không nhằm mục đích kinh doanh; </w:t>
      </w:r>
    </w:p>
    <w:p w:rsidR="00AE23C9" w:rsidRDefault="00000000">
      <w:pPr>
        <w:ind w:left="579" w:right="0"/>
      </w:pPr>
      <w:r>
        <w:t xml:space="preserve">+ Hình thức giao đất: Nhà nước giao đất không thu tiền sử dụng đất. </w:t>
      </w:r>
    </w:p>
    <w:p w:rsidR="00AE23C9" w:rsidRDefault="00000000">
      <w:pPr>
        <w:ind w:left="-13" w:right="0" w:firstLine="566"/>
      </w:pPr>
      <w:r>
        <w:t xml:space="preserve">+ Thời hạn sử dụng đất: Công ty TNHH bê tông đúc sẵn và cơ khí Bình Dương được sử dụng đất để đầu tư xây dựng công trình theo tiến độ dự án được duyệt và có trách nhiệm đầu tư xây dựng đồng bộ theo chủ trương đầu tư dự án và quy hoạch xây dựng được duyệt, sau khi xây dựng xong công trình thì bàn giao cho cơ quan chuyên ngành hoặc chính quyền địa phương quản lý theo quy định. </w:t>
      </w:r>
    </w:p>
    <w:p w:rsidR="00AE23C9" w:rsidRDefault="00000000">
      <w:pPr>
        <w:ind w:left="-13" w:right="0" w:firstLine="566"/>
      </w:pPr>
      <w:r>
        <w:t>3.</w:t>
      </w:r>
      <w:r>
        <w:rPr>
          <w:rFonts w:ascii="Arial" w:eastAsia="Arial" w:hAnsi="Arial" w:cs="Arial"/>
        </w:rPr>
        <w:t xml:space="preserve"> </w:t>
      </w:r>
      <w:r>
        <w:t xml:space="preserve">Phương thức giao đất, cho thuê đất: Nhà nước giao đất, cho thuê đất không đấu giá quyền sử dụng đất, không đấu thầu lựa chọn nhà đầu tư thực hiện dự án có sử dụng đất theo quy định tại điểm b khoản 4 Điều 4 Nghị quyết số 254/2025/QH15 ngày 11/12/2025 của Quốc hội. </w:t>
      </w:r>
      <w:r>
        <w:rPr>
          <w:b/>
        </w:rPr>
        <w:t xml:space="preserve">Điều 2. </w:t>
      </w:r>
      <w:r>
        <w:t xml:space="preserve">Tổ chức thực hiện: </w:t>
      </w:r>
    </w:p>
    <w:p w:rsidR="00AE23C9" w:rsidRDefault="00000000">
      <w:pPr>
        <w:ind w:left="579" w:right="0"/>
      </w:pPr>
      <w:r>
        <w:t>1.</w:t>
      </w:r>
      <w:r>
        <w:rPr>
          <w:rFonts w:ascii="Arial" w:eastAsia="Arial" w:hAnsi="Arial" w:cs="Arial"/>
        </w:rPr>
        <w:t xml:space="preserve"> </w:t>
      </w:r>
      <w:r>
        <w:t xml:space="preserve">Công ty TNHH bê tông đúc sẵn và cơ khí Bình Dương có trách nhiệm: </w:t>
      </w:r>
    </w:p>
    <w:p w:rsidR="00AE23C9" w:rsidRDefault="00000000">
      <w:pPr>
        <w:numPr>
          <w:ilvl w:val="0"/>
          <w:numId w:val="3"/>
        </w:numPr>
        <w:ind w:right="0" w:firstLine="566"/>
      </w:pPr>
      <w:r>
        <w:t xml:space="preserve">Liên hệ với Sở Nông nghiệp và Môi trường để xác định giá đất để tính tiền thuê đất; hướng dẫn thủ tục để được miễn tiền thuê đất một số năm; chuyển thông tin địa chính thửa đất để cơ quan Thuế xác định khoản tiền theo quy định của pháp luật để Nhà nước bổ sung diện tích 2.598,3m² đất trồng lúa bị mất hoặc tăng hiệu quả sử dụng đất trồng lúa theo quy định; làm thủ tục về Hợp đồng thuê đất theo quy định. </w:t>
      </w:r>
    </w:p>
    <w:p w:rsidR="00AE23C9" w:rsidRDefault="00000000">
      <w:pPr>
        <w:numPr>
          <w:ilvl w:val="0"/>
          <w:numId w:val="3"/>
        </w:numPr>
        <w:ind w:right="0" w:firstLine="566"/>
      </w:pPr>
      <w:r>
        <w:t xml:space="preserve">Liên hệ với Sở Tài chính để được thực hiện nghĩa vụ bảo đảm thực hiện </w:t>
      </w:r>
    </w:p>
    <w:p w:rsidR="00AE23C9" w:rsidRDefault="00000000">
      <w:pPr>
        <w:ind w:left="-3" w:right="0"/>
      </w:pPr>
      <w:r>
        <w:t xml:space="preserve">dự án (theo ý kiến của Sở Tài chính tại Văn bản số 9937/STC-HTĐT ngày </w:t>
      </w:r>
    </w:p>
    <w:p w:rsidR="00AE23C9" w:rsidRDefault="00000000">
      <w:pPr>
        <w:ind w:left="-3" w:right="0"/>
      </w:pPr>
      <w:r>
        <w:lastRenderedPageBreak/>
        <w:t xml:space="preserve">19/6/2026); </w:t>
      </w:r>
    </w:p>
    <w:p w:rsidR="00AE23C9" w:rsidRDefault="00000000">
      <w:pPr>
        <w:numPr>
          <w:ilvl w:val="0"/>
          <w:numId w:val="3"/>
        </w:numPr>
        <w:ind w:right="0" w:firstLine="566"/>
      </w:pPr>
      <w:r>
        <w:t xml:space="preserve">Liên hệ với Thuế Thành phố để được hướng dẫn nộp tiền thuê đất (nếu </w:t>
      </w:r>
    </w:p>
    <w:p w:rsidR="00AE23C9" w:rsidRDefault="00000000">
      <w:pPr>
        <w:ind w:left="-3" w:right="0"/>
      </w:pPr>
      <w:r>
        <w:t xml:space="preserve">có); xác định và hướng dẫn nộp tiền để nhà nước bổ sung diện tích 2.598,3m² đất trồng lúa bị mất hoặc tăng hiệu quả sử dụng đất trồng lúa theo quy định trong phạm vi thực hiện Dự án; các khoản phí, lệ phí và nghĩa vụ tài chính khác phải nộp (nếu có) theo quy định; </w:t>
      </w:r>
    </w:p>
    <w:p w:rsidR="00AE23C9" w:rsidRDefault="00000000">
      <w:pPr>
        <w:numPr>
          <w:ilvl w:val="0"/>
          <w:numId w:val="3"/>
        </w:numPr>
        <w:ind w:right="0" w:firstLine="566"/>
      </w:pPr>
      <w:r>
        <w:t xml:space="preserve">Sau khi hoàn thành các nội dung trên, liên hệ với Sở Nông nghiệp và Môi </w:t>
      </w:r>
    </w:p>
    <w:p w:rsidR="00AE23C9" w:rsidRDefault="00000000">
      <w:pPr>
        <w:ind w:left="-3" w:right="0"/>
      </w:pPr>
      <w:r>
        <w:t xml:space="preserve">trường để xác định mốc giới và bàn giao đất trên thực địa theo quy định. </w:t>
      </w:r>
    </w:p>
    <w:p w:rsidR="00AE23C9" w:rsidRDefault="00000000">
      <w:pPr>
        <w:ind w:left="579" w:right="0"/>
      </w:pPr>
      <w:r>
        <w:t xml:space="preserve">đ) Liên hệ với Sở Xây dựng để được hướng dẫn thủ tục cấp Giấy phép xây </w:t>
      </w:r>
    </w:p>
    <w:p w:rsidR="00AE23C9" w:rsidRDefault="00000000">
      <w:pPr>
        <w:ind w:left="-3" w:right="0"/>
      </w:pPr>
      <w:r>
        <w:t xml:space="preserve">dựng (nếu có) và thực hiện xây dựng theo quy định; </w:t>
      </w:r>
    </w:p>
    <w:p w:rsidR="00AE23C9" w:rsidRDefault="00000000">
      <w:pPr>
        <w:numPr>
          <w:ilvl w:val="0"/>
          <w:numId w:val="3"/>
        </w:numPr>
        <w:ind w:right="0" w:firstLine="566"/>
      </w:pPr>
      <w:r>
        <w:t xml:space="preserve">Liên hệ với Sở Nông nghiệp và Môi trường để được hướng dẫn thực hiện thủ tục cấp Giấy chứng nhận quyền sử dụng đất, quyền sở hữu tài sản gắn liền với đất cho Chủ đầu tư theo quy định; trao Giấy chứng nhận quyền sử dụng đất, quyền sở hữu tài sản gắn liền với đất cho người sử dụng đất đã hoàn thành nghĩa vụ tài chính theo quy định; </w:t>
      </w:r>
    </w:p>
    <w:p w:rsidR="00AE23C9" w:rsidRDefault="00000000">
      <w:pPr>
        <w:numPr>
          <w:ilvl w:val="0"/>
          <w:numId w:val="4"/>
        </w:numPr>
        <w:ind w:right="0" w:firstLine="566"/>
      </w:pPr>
      <w:r>
        <w:t xml:space="preserve">Liên hệ với Văn phòng đăng ký đất đai Hà Nội, UBND xã Đông Anh để </w:t>
      </w:r>
    </w:p>
    <w:p w:rsidR="00AE23C9" w:rsidRDefault="00000000">
      <w:pPr>
        <w:ind w:left="-3" w:right="0"/>
      </w:pPr>
      <w:r>
        <w:t xml:space="preserve">chỉnh lý hồ sơ địa chính, cơ sở dữ liệu đất đai theo quy định; </w:t>
      </w:r>
    </w:p>
    <w:p w:rsidR="00AE23C9" w:rsidRDefault="00000000">
      <w:pPr>
        <w:numPr>
          <w:ilvl w:val="0"/>
          <w:numId w:val="4"/>
        </w:numPr>
        <w:ind w:right="0" w:firstLine="566"/>
      </w:pPr>
      <w:r>
        <w:t xml:space="preserve">Sử dụng diện tích đất được giao trong phạm vi mốc giới, ranh giới và đúng mục đích, nội dung; thực hiện dự án đầu tư theo quy định của pháp luật về đất đai, đầu tư, quy hoạch, xây dựng, môi trường, phòng cháy chữa cháy…; </w:t>
      </w:r>
    </w:p>
    <w:p w:rsidR="00AE23C9" w:rsidRDefault="00000000">
      <w:pPr>
        <w:numPr>
          <w:ilvl w:val="0"/>
          <w:numId w:val="4"/>
        </w:numPr>
        <w:ind w:right="0" w:firstLine="566"/>
      </w:pPr>
      <w:r>
        <w:t xml:space="preserve">Đất được Nhà nước giao, cho thuê, cho phép chuyển mục đích sử dụng để </w:t>
      </w:r>
    </w:p>
    <w:p w:rsidR="00AE23C9" w:rsidRDefault="00000000">
      <w:pPr>
        <w:ind w:left="-3" w:right="0"/>
      </w:pPr>
      <w:r>
        <w:t xml:space="preserve">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 </w:t>
      </w:r>
    </w:p>
    <w:p w:rsidR="00AE23C9" w:rsidRDefault="00000000">
      <w:pPr>
        <w:ind w:left="579" w:right="0"/>
      </w:pPr>
      <w:r>
        <w:t>2.</w:t>
      </w:r>
      <w:r>
        <w:rPr>
          <w:rFonts w:ascii="Arial" w:eastAsia="Arial" w:hAnsi="Arial" w:cs="Arial"/>
        </w:rPr>
        <w:t xml:space="preserve"> </w:t>
      </w:r>
      <w:r>
        <w:t xml:space="preserve">Sở Nông nghiệp và Môi trường có trách nhiệm: </w:t>
      </w:r>
    </w:p>
    <w:p w:rsidR="00AE23C9" w:rsidRDefault="00000000">
      <w:pPr>
        <w:numPr>
          <w:ilvl w:val="0"/>
          <w:numId w:val="5"/>
        </w:numPr>
        <w:ind w:right="0" w:hanging="295"/>
      </w:pPr>
      <w:r>
        <w:t xml:space="preserve">Xác định giá đất để tính tiền thuê đất (nếu có); hướng dẫn thủ tục để được </w:t>
      </w:r>
    </w:p>
    <w:p w:rsidR="00AE23C9" w:rsidRDefault="00000000">
      <w:pPr>
        <w:ind w:left="-3" w:right="0"/>
      </w:pPr>
      <w:r>
        <w:t xml:space="preserve">miễn tiền thuê đất một số năm; chuyển thông tin địa chính thửa đất để cơ quan Thuế xác định số tiền để Nhà nước bổ sung diện tích 2.598,3m² đất trồng lúa bị mất hoặc tăng hiệu quả sử dụng đất trồng lúa theo quy định; ký Hợp đồng thuê đất theo quy định; </w:t>
      </w:r>
    </w:p>
    <w:p w:rsidR="00AE23C9" w:rsidRDefault="00000000">
      <w:pPr>
        <w:numPr>
          <w:ilvl w:val="0"/>
          <w:numId w:val="5"/>
        </w:numPr>
        <w:ind w:right="0" w:hanging="295"/>
      </w:pPr>
      <w:r>
        <w:t xml:space="preserve">Xác định mốc giới và bàn giao đất trên thực địa theo quy định; hướng dẫn </w:t>
      </w:r>
    </w:p>
    <w:p w:rsidR="00AE23C9" w:rsidRDefault="00000000">
      <w:pPr>
        <w:ind w:left="-3" w:right="0"/>
      </w:pPr>
      <w:r>
        <w:t xml:space="preserve">thực hiện thủ tục cấp Giấy chứng nhận quyền sử dụng đất, quyền sở hữu tài sản gắn liền với đất cho Chủ đầu tư theo quy định. </w:t>
      </w:r>
    </w:p>
    <w:p w:rsidR="00AE23C9" w:rsidRDefault="00000000">
      <w:pPr>
        <w:numPr>
          <w:ilvl w:val="0"/>
          <w:numId w:val="6"/>
        </w:numPr>
        <w:ind w:right="0" w:firstLine="566"/>
      </w:pPr>
      <w:r>
        <w:t xml:space="preserve">Sở Xây dựng có trách nhiệm hướng dẫn thực hiện cấp Giấy phép xây dựng (nếu có) theo quy định, giám sát đơn vị thực hiện xây dựng công trình đúng theo quy hoạch được chấp thuận và giấy phép xây dựng được cấp (nếu có); hướng dẫn Chủ đầu tư thủ tục nghiệm thu hoàn thành sau khi xây dựng công trình để làm cơ sở cho việc cấp Giấy chứng nhận quyền sử dụng đất, quyền sở hữu tài sản gắn liền với đất và quản lý, sử dụng, vận hành công trình sau khi xây dựng theo đúng quy định của Nhà nước và quy định của UBND Thành phố. </w:t>
      </w:r>
    </w:p>
    <w:p w:rsidR="00AE23C9" w:rsidRDefault="00000000">
      <w:pPr>
        <w:numPr>
          <w:ilvl w:val="0"/>
          <w:numId w:val="6"/>
        </w:numPr>
        <w:ind w:right="0" w:firstLine="566"/>
      </w:pPr>
      <w:r>
        <w:t xml:space="preserve">Thuế thành phố Hà Nội có trách nhiệm: Hướng dẫn nộp tiền thuê đất (nếu có); xác định và hướng dẫn nộp tiền để nhà nước bổ sung diện tích 2.598,3m² đất trồng lúa bị mất hoặc tăng hiệu quả sử dụng đất trồng lúa theo quy định trong phạm vi thực hiện Dự án; các khoản phí, lệ phí và nghĩa vụ tài chính khác phải nộp (nếu có) theo quy định. </w:t>
      </w:r>
    </w:p>
    <w:p w:rsidR="00AE23C9" w:rsidRDefault="00000000">
      <w:pPr>
        <w:numPr>
          <w:ilvl w:val="0"/>
          <w:numId w:val="6"/>
        </w:numPr>
        <w:ind w:right="0" w:firstLine="566"/>
      </w:pPr>
      <w:r>
        <w:t xml:space="preserve">Sở Tài chính có trách nhiệm hướng dẫn Nhà đầu tư thực hiện nghĩa vụ bảo đảm thực hiện dự án theo quy định. </w:t>
      </w:r>
    </w:p>
    <w:p w:rsidR="00AE23C9" w:rsidRDefault="00000000">
      <w:pPr>
        <w:numPr>
          <w:ilvl w:val="0"/>
          <w:numId w:val="6"/>
        </w:numPr>
        <w:ind w:right="0" w:firstLine="566"/>
      </w:pPr>
      <w:r>
        <w:t xml:space="preserve">Văn phòng Đăng ký đất đai Hà Nội chỉnh lý hồ sơ địa chính, cơ sở dữ liệu đất đai theo quy định. </w:t>
      </w:r>
    </w:p>
    <w:p w:rsidR="00AE23C9" w:rsidRDefault="00000000">
      <w:pPr>
        <w:numPr>
          <w:ilvl w:val="0"/>
          <w:numId w:val="6"/>
        </w:numPr>
        <w:ind w:right="0" w:firstLine="566"/>
      </w:pPr>
      <w:r>
        <w:t xml:space="preserve">UBND xã Đông Anh có trách nhiệm giám sát, kiểm tra việc quản lý, sử dụng diện tích đất được giao, cho thuê trong phạm vi ranh giới, mốc giới, đúng mục đích theo quy định của pháp luật. </w:t>
      </w:r>
    </w:p>
    <w:p w:rsidR="00AE23C9" w:rsidRDefault="00000000">
      <w:pPr>
        <w:ind w:left="579" w:right="0"/>
      </w:pPr>
      <w:r>
        <w:rPr>
          <w:b/>
        </w:rPr>
        <w:t xml:space="preserve">Điều 3. </w:t>
      </w:r>
      <w:r>
        <w:t xml:space="preserve">Quyết định này có hiệu lực kể từ ngày ký. </w:t>
      </w:r>
    </w:p>
    <w:p w:rsidR="00AE23C9" w:rsidRDefault="00000000">
      <w:pPr>
        <w:ind w:left="-13" w:right="0" w:firstLine="566"/>
      </w:pPr>
      <w:r>
        <w:t xml:space="preserve">Chánh Văn phòng UBND Thành phố; Giám đốc Sở: Nông nghiệp và Môi trường, Tài chính, Quy hoạch - Kiến trúc, Xây dựng; Trưởng Thuế thành phố Hà </w:t>
      </w:r>
    </w:p>
    <w:p w:rsidR="00AE23C9" w:rsidRDefault="00000000">
      <w:pPr>
        <w:ind w:left="-3" w:right="0"/>
      </w:pPr>
      <w:r>
        <w:t xml:space="preserve">Nội; Giám đốc Trung tâm Truyền thông, Dữ liệu và Công nghệ số thành phố Hà Nội; Giám đốc Văn phòng Đăng ký đất đai Hà Nội; Chủ tịch UBND xã Đông Anh, Giám đốc Công ty TNHH bê tông đúc sẵn và cơ khí Bình Dương và các tổ chức, cá nhân có liên quan chịu trách nhiệm thi hành Quyết định này. </w:t>
      </w:r>
    </w:p>
    <w:p w:rsidR="00AE23C9" w:rsidRDefault="00000000">
      <w:pPr>
        <w:spacing w:after="187"/>
        <w:ind w:left="-13" w:right="0" w:firstLine="566"/>
      </w:pPr>
      <w:r>
        <w:t xml:space="preserve">Văn phòng Ủy ban nhân dân Thành phố chịu trách nhiệm đăng tải Quyết định này trên Cổng thông tin điện tử của Thành phố./. </w:t>
      </w:r>
    </w:p>
    <w:p w:rsidR="00AE23C9" w:rsidRDefault="00000000">
      <w:pPr>
        <w:spacing w:after="0" w:line="259" w:lineRule="auto"/>
        <w:ind w:left="-5" w:right="0"/>
        <w:jc w:val="left"/>
      </w:pPr>
      <w:r>
        <w:rPr>
          <w:sz w:val="17"/>
          <w:vertAlign w:val="superscript"/>
        </w:rPr>
        <w:t xml:space="preserve"> </w:t>
      </w:r>
      <w:r>
        <w:rPr>
          <w:b/>
          <w:i/>
          <w:sz w:val="24"/>
        </w:rPr>
        <w:t>Nơi nhận:</w:t>
      </w:r>
      <w:r>
        <w:rPr>
          <w:b/>
          <w:i/>
          <w:sz w:val="37"/>
          <w:vertAlign w:val="superscript"/>
        </w:rPr>
        <w:t xml:space="preserve"> </w:t>
      </w:r>
      <w:r>
        <w:rPr>
          <w:b/>
          <w:sz w:val="27"/>
        </w:rPr>
        <w:t xml:space="preserve">KT. CHỦ TỊCH </w:t>
      </w:r>
    </w:p>
    <w:p w:rsidR="00AE23C9" w:rsidRDefault="00000000">
      <w:pPr>
        <w:numPr>
          <w:ilvl w:val="0"/>
          <w:numId w:val="7"/>
        </w:numPr>
        <w:spacing w:after="0" w:line="259" w:lineRule="auto"/>
        <w:ind w:left="228" w:right="4285" w:hanging="125"/>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791413</wp:posOffset>
                </wp:positionH>
                <wp:positionV relativeFrom="paragraph">
                  <wp:posOffset>-214360</wp:posOffset>
                </wp:positionV>
                <wp:extent cx="840054" cy="467360"/>
                <wp:effectExtent l="0" t="0" r="0" b="0"/>
                <wp:wrapNone/>
                <wp:docPr id="9218" name="Group 9218"/>
                <wp:cNvGraphicFramePr/>
                <a:graphic xmlns:a="http://schemas.openxmlformats.org/drawingml/2006/main">
                  <a:graphicData uri="http://schemas.microsoft.com/office/word/2010/wordprocessingGroup">
                    <wpg:wgp>
                      <wpg:cNvGrpSpPr/>
                      <wpg:grpSpPr>
                        <a:xfrm>
                          <a:off x="0" y="0"/>
                          <a:ext cx="840054" cy="467360"/>
                          <a:chOff x="0" y="0"/>
                          <a:chExt cx="840054" cy="467360"/>
                        </a:xfrm>
                      </wpg:grpSpPr>
                      <pic:pic xmlns:pic="http://schemas.openxmlformats.org/drawingml/2006/picture">
                        <pic:nvPicPr>
                          <pic:cNvPr id="1715" name="Picture 1715"/>
                          <pic:cNvPicPr/>
                        </pic:nvPicPr>
                        <pic:blipFill>
                          <a:blip r:embed="rId7"/>
                          <a:stretch>
                            <a:fillRect/>
                          </a:stretch>
                        </pic:blipFill>
                        <pic:spPr>
                          <a:xfrm>
                            <a:off x="0" y="0"/>
                            <a:ext cx="348996" cy="348996"/>
                          </a:xfrm>
                          <a:prstGeom prst="rect">
                            <a:avLst/>
                          </a:prstGeom>
                        </pic:spPr>
                      </pic:pic>
                      <pic:pic xmlns:pic="http://schemas.openxmlformats.org/drawingml/2006/picture">
                        <pic:nvPicPr>
                          <pic:cNvPr id="1717" name="Picture 1717"/>
                          <pic:cNvPicPr/>
                        </pic:nvPicPr>
                        <pic:blipFill>
                          <a:blip r:embed="rId8"/>
                          <a:stretch>
                            <a:fillRect/>
                          </a:stretch>
                        </pic:blipFill>
                        <pic:spPr>
                          <a:xfrm>
                            <a:off x="440055" y="139700"/>
                            <a:ext cx="399999" cy="327660"/>
                          </a:xfrm>
                          <a:prstGeom prst="rect">
                            <a:avLst/>
                          </a:prstGeom>
                        </pic:spPr>
                      </pic:pic>
                    </wpg:wgp>
                  </a:graphicData>
                </a:graphic>
              </wp:anchor>
            </w:drawing>
          </mc:Choice>
          <mc:Fallback xmlns:a="http://schemas.openxmlformats.org/drawingml/2006/main">
            <w:pict>
              <v:group id="Group 9218" style="width:66.146pt;height:36.8pt;position:absolute;z-index:-2147483645;mso-position-horizontal-relative:text;mso-position-horizontal:absolute;margin-left:62.316pt;mso-position-vertical-relative:text;margin-top:-16.8788pt;" coordsize="8400,4673">
                <v:shape id="Picture 1715" style="position:absolute;width:3489;height:3489;left:0;top:0;" filled="f">
                  <v:imagedata r:id="rId9"/>
                </v:shape>
                <v:shape id="Picture 1717" style="position:absolute;width:3999;height:3276;left:4400;top:1397;" filled="f">
                  <v:imagedata r:id="rId10"/>
                </v:shape>
              </v:group>
            </w:pict>
          </mc:Fallback>
        </mc:AlternateContent>
      </w:r>
      <w:r>
        <w:rPr>
          <w:noProof/>
        </w:rPr>
        <w:drawing>
          <wp:anchor distT="0" distB="0" distL="114300" distR="114300" simplePos="0" relativeHeight="251659264" behindDoc="0" locked="0" layoutInCell="1" allowOverlap="0">
            <wp:simplePos x="0" y="0"/>
            <wp:positionH relativeFrom="column">
              <wp:posOffset>4813503</wp:posOffset>
            </wp:positionH>
            <wp:positionV relativeFrom="paragraph">
              <wp:posOffset>144160</wp:posOffset>
            </wp:positionV>
            <wp:extent cx="303631" cy="132715"/>
            <wp:effectExtent l="0" t="0" r="0" b="0"/>
            <wp:wrapNone/>
            <wp:docPr id="1871" name="Picture 1871"/>
            <wp:cNvGraphicFramePr/>
            <a:graphic xmlns:a="http://schemas.openxmlformats.org/drawingml/2006/main">
              <a:graphicData uri="http://schemas.openxmlformats.org/drawingml/2006/picture">
                <pic:pic xmlns:pic="http://schemas.openxmlformats.org/drawingml/2006/picture">
                  <pic:nvPicPr>
                    <pic:cNvPr id="1871" name="Picture 1871"/>
                    <pic:cNvPicPr/>
                  </pic:nvPicPr>
                  <pic:blipFill>
                    <a:blip r:embed="rId11"/>
                    <a:stretch>
                      <a:fillRect/>
                    </a:stretch>
                  </pic:blipFill>
                  <pic:spPr>
                    <a:xfrm>
                      <a:off x="0" y="0"/>
                      <a:ext cx="303631" cy="132715"/>
                    </a:xfrm>
                    <a:prstGeom prst="rect">
                      <a:avLst/>
                    </a:prstGeom>
                  </pic:spPr>
                </pic:pic>
              </a:graphicData>
            </a:graphic>
          </wp:anchor>
        </w:drawing>
      </w:r>
      <w:r>
        <w:rPr>
          <w:sz w:val="22"/>
        </w:rPr>
        <w:t xml:space="preserve">Như Điều 3; </w:t>
      </w:r>
      <w:r>
        <w:rPr>
          <w:sz w:val="22"/>
        </w:rPr>
        <w:tab/>
      </w:r>
      <w:r>
        <w:rPr>
          <w:b/>
          <w:sz w:val="27"/>
        </w:rPr>
        <w:t xml:space="preserve">PHÓ CHỦ TỊCH </w:t>
      </w:r>
    </w:p>
    <w:p w:rsidR="00AE23C9" w:rsidRDefault="00000000">
      <w:pPr>
        <w:numPr>
          <w:ilvl w:val="0"/>
          <w:numId w:val="7"/>
        </w:numPr>
        <w:spacing w:after="133" w:line="259" w:lineRule="auto"/>
        <w:ind w:left="228" w:right="4285" w:hanging="125"/>
        <w:jc w:val="left"/>
      </w:pPr>
      <w:r>
        <w:rPr>
          <w:sz w:val="22"/>
        </w:rPr>
        <w:t xml:space="preserve">Chủ tịch UBND Thành phố </w:t>
      </w:r>
      <w:r>
        <w:rPr>
          <w:i/>
          <w:sz w:val="22"/>
        </w:rPr>
        <w:t xml:space="preserve">(để b/c); </w:t>
      </w:r>
    </w:p>
    <w:p w:rsidR="00AE23C9" w:rsidRDefault="00000000">
      <w:pPr>
        <w:numPr>
          <w:ilvl w:val="0"/>
          <w:numId w:val="7"/>
        </w:numPr>
        <w:spacing w:after="0" w:line="259" w:lineRule="auto"/>
        <w:ind w:left="228" w:right="4285" w:hanging="125"/>
        <w:jc w:val="left"/>
      </w:pPr>
      <w:r>
        <w:rPr>
          <w:sz w:val="22"/>
        </w:rPr>
        <w:t xml:space="preserve">Các PCT UBNDTP: Nguyễn Xuân Lưu;  </w:t>
      </w:r>
      <w:r>
        <w:rPr>
          <w:sz w:val="22"/>
        </w:rPr>
        <w:tab/>
      </w:r>
      <w:r>
        <w:rPr>
          <w:sz w:val="27"/>
        </w:rPr>
        <w:t xml:space="preserve"> </w:t>
      </w:r>
    </w:p>
    <w:p w:rsidR="00AE23C9" w:rsidRDefault="00000000">
      <w:pPr>
        <w:spacing w:after="0" w:line="259" w:lineRule="auto"/>
        <w:ind w:left="103" w:right="4285" w:firstLine="122"/>
        <w:jc w:val="left"/>
      </w:pPr>
      <w:r>
        <w:rPr>
          <w:sz w:val="22"/>
        </w:rPr>
        <w:t xml:space="preserve">                                  Bùi Duy Cường; </w:t>
      </w:r>
      <w:r>
        <w:rPr>
          <w:sz w:val="27"/>
        </w:rPr>
        <w:t xml:space="preserve"> </w:t>
      </w:r>
      <w:r>
        <w:rPr>
          <w:sz w:val="22"/>
        </w:rPr>
        <w:t>-</w:t>
      </w:r>
      <w:r>
        <w:rPr>
          <w:rFonts w:ascii="Arial" w:eastAsia="Arial" w:hAnsi="Arial" w:cs="Arial"/>
          <w:sz w:val="22"/>
        </w:rPr>
        <w:t xml:space="preserve"> </w:t>
      </w:r>
      <w:r>
        <w:rPr>
          <w:sz w:val="22"/>
        </w:rPr>
        <w:t xml:space="preserve">VP UBND TP: PCVP, TH, ĐT, NNMT; </w:t>
      </w:r>
      <w:r>
        <w:rPr>
          <w:sz w:val="27"/>
        </w:rPr>
        <w:t xml:space="preserve"> </w:t>
      </w:r>
    </w:p>
    <w:p w:rsidR="00AE23C9" w:rsidRDefault="00000000">
      <w:pPr>
        <w:numPr>
          <w:ilvl w:val="0"/>
          <w:numId w:val="7"/>
        </w:numPr>
        <w:spacing w:after="379" w:line="259" w:lineRule="auto"/>
        <w:ind w:left="228" w:right="4285" w:hanging="125"/>
        <w:jc w:val="left"/>
      </w:pPr>
      <w:r>
        <w:rPr>
          <w:sz w:val="22"/>
        </w:rPr>
        <w:t xml:space="preserve">Lưu: VT. </w:t>
      </w:r>
    </w:p>
    <w:p w:rsidR="00AE23C9" w:rsidRDefault="00000000">
      <w:pPr>
        <w:spacing w:after="0" w:line="259" w:lineRule="auto"/>
        <w:ind w:left="67" w:right="7378" w:firstLine="0"/>
        <w:jc w:val="left"/>
      </w:pPr>
      <w:r>
        <w:rPr>
          <w:sz w:val="22"/>
        </w:rPr>
        <w:t xml:space="preserve"> </w:t>
      </w:r>
      <w:r>
        <w:rPr>
          <w:sz w:val="16"/>
        </w:rPr>
        <w:t xml:space="preserve">H26.103-260701-0010 </w:t>
      </w:r>
      <w:r>
        <w:rPr>
          <w:sz w:val="27"/>
        </w:rPr>
        <w:t xml:space="preserve"> </w:t>
      </w:r>
    </w:p>
    <w:p w:rsidR="00AE23C9" w:rsidRDefault="00000000">
      <w:pPr>
        <w:spacing w:after="0" w:line="259" w:lineRule="auto"/>
        <w:ind w:left="1557" w:right="0" w:firstLine="0"/>
        <w:jc w:val="left"/>
      </w:pPr>
      <w:r>
        <w:rPr>
          <w:noProof/>
        </w:rPr>
        <w:drawing>
          <wp:inline distT="0" distB="0" distL="0" distR="0">
            <wp:extent cx="98274" cy="105053"/>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12"/>
                    <a:stretch>
                      <a:fillRect/>
                    </a:stretch>
                  </pic:blipFill>
                  <pic:spPr>
                    <a:xfrm>
                      <a:off x="0" y="0"/>
                      <a:ext cx="98274" cy="105053"/>
                    </a:xfrm>
                    <a:prstGeom prst="rect">
                      <a:avLst/>
                    </a:prstGeom>
                  </pic:spPr>
                </pic:pic>
              </a:graphicData>
            </a:graphic>
          </wp:inline>
        </w:drawing>
      </w:r>
    </w:p>
    <w:p w:rsidR="00AE23C9" w:rsidRDefault="00000000">
      <w:pPr>
        <w:spacing w:after="0" w:line="259" w:lineRule="auto"/>
        <w:ind w:left="1567" w:right="0"/>
        <w:jc w:val="left"/>
      </w:pPr>
      <w:r>
        <w:rPr>
          <w:b/>
          <w:sz w:val="27"/>
        </w:rPr>
        <w:t xml:space="preserve">  Nguyễn Xuân Lưu </w:t>
      </w:r>
    </w:p>
    <w:p w:rsidR="00AE23C9" w:rsidRDefault="00000000">
      <w:pPr>
        <w:spacing w:after="0" w:line="259" w:lineRule="auto"/>
        <w:ind w:left="0" w:right="0" w:firstLine="0"/>
        <w:jc w:val="left"/>
      </w:pPr>
      <w:r>
        <w:rPr>
          <w:sz w:val="22"/>
        </w:rPr>
        <w:t xml:space="preserve"> </w:t>
      </w:r>
    </w:p>
    <w:sectPr w:rsidR="00AE23C9">
      <w:headerReference w:type="even" r:id="rId13"/>
      <w:headerReference w:type="default" r:id="rId14"/>
      <w:headerReference w:type="first" r:id="rId15"/>
      <w:pgSz w:w="11911" w:h="16850"/>
      <w:pgMar w:top="1033" w:right="1122" w:bottom="1362" w:left="17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4200" w:rsidRDefault="006F4200">
      <w:pPr>
        <w:spacing w:after="0" w:line="240" w:lineRule="auto"/>
      </w:pPr>
      <w:r>
        <w:separator/>
      </w:r>
    </w:p>
  </w:endnote>
  <w:endnote w:type="continuationSeparator" w:id="0">
    <w:p w:rsidR="006F4200" w:rsidRDefault="006F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4200" w:rsidRDefault="006F4200">
      <w:pPr>
        <w:spacing w:after="0" w:line="240" w:lineRule="auto"/>
      </w:pPr>
      <w:r>
        <w:separator/>
      </w:r>
    </w:p>
  </w:footnote>
  <w:footnote w:type="continuationSeparator" w:id="0">
    <w:p w:rsidR="006F4200" w:rsidRDefault="006F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3C9" w:rsidRDefault="00000000">
    <w:pPr>
      <w:spacing w:after="0" w:line="259" w:lineRule="auto"/>
      <w:ind w:left="0" w:right="0" w:firstLine="0"/>
      <w:jc w:val="left"/>
    </w:pPr>
    <w:r>
      <w:rPr>
        <w:sz w:val="20"/>
      </w:rPr>
      <w:t xml:space="preserve"> </w:t>
    </w:r>
  </w:p>
  <w:p w:rsidR="00AE23C9" w:rsidRDefault="00000000">
    <w:pPr>
      <w:spacing w:after="0" w:line="259" w:lineRule="auto"/>
      <w:ind w:left="0" w:right="12"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3C9" w:rsidRDefault="00000000">
    <w:pPr>
      <w:spacing w:after="0" w:line="259" w:lineRule="auto"/>
      <w:ind w:left="0" w:right="0" w:firstLine="0"/>
      <w:jc w:val="left"/>
    </w:pPr>
    <w:r>
      <w:rPr>
        <w:sz w:val="20"/>
      </w:rPr>
      <w:t xml:space="preserve"> </w:t>
    </w:r>
  </w:p>
  <w:p w:rsidR="00AE23C9" w:rsidRDefault="00000000">
    <w:pPr>
      <w:spacing w:after="0" w:line="259" w:lineRule="auto"/>
      <w:ind w:left="0" w:right="12"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23C9" w:rsidRDefault="00AE23C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B7C"/>
    <w:multiLevelType w:val="hybridMultilevel"/>
    <w:tmpl w:val="8EBE7372"/>
    <w:lvl w:ilvl="0" w:tplc="7E5C2B08">
      <w:start w:val="1"/>
      <w:numFmt w:val="lowerLetter"/>
      <w:lvlText w:val="%1)"/>
      <w:lvlJc w:val="left"/>
      <w:pPr>
        <w:ind w:left="5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9B6F14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9A729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BA440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4470E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78D46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C2D68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706DB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FA751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C25824"/>
    <w:multiLevelType w:val="hybridMultilevel"/>
    <w:tmpl w:val="6CC40346"/>
    <w:lvl w:ilvl="0" w:tplc="E3A003D8">
      <w:start w:val="1"/>
      <w:numFmt w:val="decimal"/>
      <w:lvlText w:val="%1."/>
      <w:lvlJc w:val="left"/>
      <w:pPr>
        <w:ind w:left="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E6D7F6">
      <w:start w:val="1"/>
      <w:numFmt w:val="lowerLetter"/>
      <w:lvlText w:val="%2"/>
      <w:lvlJc w:val="left"/>
      <w:pPr>
        <w:ind w:left="16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007688">
      <w:start w:val="1"/>
      <w:numFmt w:val="lowerRoman"/>
      <w:lvlText w:val="%3"/>
      <w:lvlJc w:val="left"/>
      <w:pPr>
        <w:ind w:left="23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6C4D5E">
      <w:start w:val="1"/>
      <w:numFmt w:val="decimal"/>
      <w:lvlText w:val="%4"/>
      <w:lvlJc w:val="left"/>
      <w:pPr>
        <w:ind w:left="3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07E9D2C">
      <w:start w:val="1"/>
      <w:numFmt w:val="lowerLetter"/>
      <w:lvlText w:val="%5"/>
      <w:lvlJc w:val="left"/>
      <w:pPr>
        <w:ind w:left="38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4AC7CC">
      <w:start w:val="1"/>
      <w:numFmt w:val="lowerRoman"/>
      <w:lvlText w:val="%6"/>
      <w:lvlJc w:val="left"/>
      <w:pPr>
        <w:ind w:left="45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2A4054">
      <w:start w:val="1"/>
      <w:numFmt w:val="decimal"/>
      <w:lvlText w:val="%7"/>
      <w:lvlJc w:val="left"/>
      <w:pPr>
        <w:ind w:left="52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C8DD6A">
      <w:start w:val="1"/>
      <w:numFmt w:val="lowerLetter"/>
      <w:lvlText w:val="%8"/>
      <w:lvlJc w:val="left"/>
      <w:pPr>
        <w:ind w:left="59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B662BC">
      <w:start w:val="1"/>
      <w:numFmt w:val="lowerRoman"/>
      <w:lvlText w:val="%9"/>
      <w:lvlJc w:val="left"/>
      <w:pPr>
        <w:ind w:left="66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30B1930"/>
    <w:multiLevelType w:val="hybridMultilevel"/>
    <w:tmpl w:val="11FC42BE"/>
    <w:lvl w:ilvl="0" w:tplc="F514C44A">
      <w:start w:val="1"/>
      <w:numFmt w:val="bullet"/>
      <w:lvlText w:val="-"/>
      <w:lvlJc w:val="left"/>
      <w:pPr>
        <w:ind w:left="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0C7628">
      <w:start w:val="1"/>
      <w:numFmt w:val="bullet"/>
      <w:lvlText w:val="o"/>
      <w:lvlJc w:val="left"/>
      <w:pPr>
        <w:ind w:left="1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B2DF40">
      <w:start w:val="1"/>
      <w:numFmt w:val="bullet"/>
      <w:lvlText w:val="▪"/>
      <w:lvlJc w:val="left"/>
      <w:pPr>
        <w:ind w:left="2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6A53AA">
      <w:start w:val="1"/>
      <w:numFmt w:val="bullet"/>
      <w:lvlText w:val="•"/>
      <w:lvlJc w:val="left"/>
      <w:pPr>
        <w:ind w:left="3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22B30C">
      <w:start w:val="1"/>
      <w:numFmt w:val="bullet"/>
      <w:lvlText w:val="o"/>
      <w:lvlJc w:val="left"/>
      <w:pPr>
        <w:ind w:left="3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0EA80C">
      <w:start w:val="1"/>
      <w:numFmt w:val="bullet"/>
      <w:lvlText w:val="▪"/>
      <w:lvlJc w:val="left"/>
      <w:pPr>
        <w:ind w:left="4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00D90C">
      <w:start w:val="1"/>
      <w:numFmt w:val="bullet"/>
      <w:lvlText w:val="•"/>
      <w:lvlJc w:val="left"/>
      <w:pPr>
        <w:ind w:left="5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0C3B26">
      <w:start w:val="1"/>
      <w:numFmt w:val="bullet"/>
      <w:lvlText w:val="o"/>
      <w:lvlJc w:val="left"/>
      <w:pPr>
        <w:ind w:left="5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8E3F5A">
      <w:start w:val="1"/>
      <w:numFmt w:val="bullet"/>
      <w:lvlText w:val="▪"/>
      <w:lvlJc w:val="left"/>
      <w:pPr>
        <w:ind w:left="6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F3F3C15"/>
    <w:multiLevelType w:val="hybridMultilevel"/>
    <w:tmpl w:val="720CA370"/>
    <w:lvl w:ilvl="0" w:tplc="95DA586E">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D8305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7E118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82DAD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DCCCD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0EBB6A">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0209F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0AE2A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5CBD3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42D10EC0"/>
    <w:multiLevelType w:val="hybridMultilevel"/>
    <w:tmpl w:val="050AC05C"/>
    <w:lvl w:ilvl="0" w:tplc="425C57BE">
      <w:start w:val="1"/>
      <w:numFmt w:val="bullet"/>
      <w:lvlText w:val="-"/>
      <w:lvlJc w:val="left"/>
      <w:pPr>
        <w:ind w:left="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C48906">
      <w:start w:val="1"/>
      <w:numFmt w:val="bullet"/>
      <w:lvlText w:val="o"/>
      <w:lvlJc w:val="left"/>
      <w:pPr>
        <w:ind w:left="1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E21824">
      <w:start w:val="1"/>
      <w:numFmt w:val="bullet"/>
      <w:lvlText w:val="▪"/>
      <w:lvlJc w:val="left"/>
      <w:pPr>
        <w:ind w:left="1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92985E">
      <w:start w:val="1"/>
      <w:numFmt w:val="bullet"/>
      <w:lvlText w:val="•"/>
      <w:lvlJc w:val="left"/>
      <w:pPr>
        <w:ind w:left="2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D822C4">
      <w:start w:val="1"/>
      <w:numFmt w:val="bullet"/>
      <w:lvlText w:val="o"/>
      <w:lvlJc w:val="left"/>
      <w:pPr>
        <w:ind w:left="3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22369E">
      <w:start w:val="1"/>
      <w:numFmt w:val="bullet"/>
      <w:lvlText w:val="▪"/>
      <w:lvlJc w:val="left"/>
      <w:pPr>
        <w:ind w:left="4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606BF0">
      <w:start w:val="1"/>
      <w:numFmt w:val="bullet"/>
      <w:lvlText w:val="•"/>
      <w:lvlJc w:val="left"/>
      <w:pPr>
        <w:ind w:left="4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8CBABE">
      <w:start w:val="1"/>
      <w:numFmt w:val="bullet"/>
      <w:lvlText w:val="o"/>
      <w:lvlJc w:val="left"/>
      <w:pPr>
        <w:ind w:left="5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4ED7A4">
      <w:start w:val="1"/>
      <w:numFmt w:val="bullet"/>
      <w:lvlText w:val="▪"/>
      <w:lvlJc w:val="left"/>
      <w:pPr>
        <w:ind w:left="6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6DE6979"/>
    <w:multiLevelType w:val="hybridMultilevel"/>
    <w:tmpl w:val="3C7A6374"/>
    <w:lvl w:ilvl="0" w:tplc="CCD6BB28">
      <w:start w:val="7"/>
      <w:numFmt w:val="lowerLetter"/>
      <w:lvlText w:val="%1)"/>
      <w:lvlJc w:val="left"/>
      <w:pPr>
        <w:ind w:left="5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BE343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CE634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740F6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D4A5F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88EAFC">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A0958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54341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92244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68B2C16"/>
    <w:multiLevelType w:val="hybridMultilevel"/>
    <w:tmpl w:val="F5BCB29E"/>
    <w:lvl w:ilvl="0" w:tplc="0908FA14">
      <w:start w:val="1"/>
      <w:numFmt w:val="lowerLetter"/>
      <w:lvlText w:val="%1)"/>
      <w:lvlJc w:val="left"/>
      <w:pPr>
        <w:ind w:left="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D2449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4CE54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78D46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1E83D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667BB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F494C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11E055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C690C2">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40175012">
    <w:abstractNumId w:val="1"/>
  </w:num>
  <w:num w:numId="2" w16cid:durableId="2042431881">
    <w:abstractNumId w:val="2"/>
  </w:num>
  <w:num w:numId="3" w16cid:durableId="1610625403">
    <w:abstractNumId w:val="0"/>
  </w:num>
  <w:num w:numId="4" w16cid:durableId="1082800728">
    <w:abstractNumId w:val="5"/>
  </w:num>
  <w:num w:numId="5" w16cid:durableId="867988577">
    <w:abstractNumId w:val="6"/>
  </w:num>
  <w:num w:numId="6" w16cid:durableId="240264006">
    <w:abstractNumId w:val="3"/>
  </w:num>
  <w:num w:numId="7" w16cid:durableId="1349481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3C9"/>
    <w:rsid w:val="00200CF8"/>
    <w:rsid w:val="006F4200"/>
    <w:rsid w:val="008550DB"/>
    <w:rsid w:val="00AE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3D2970-8145-41A9-8CD4-DC4FA83E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2" w:right="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4" w:lineRule="auto"/>
      <w:ind w:left="42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Moi Truong</dc:creator>
  <cp:keywords/>
  <cp:lastModifiedBy>CHU ANH KIÊN</cp:lastModifiedBy>
  <cp:revision>2</cp:revision>
  <dcterms:created xsi:type="dcterms:W3CDTF">2026-08-03T04:46:00Z</dcterms:created>
  <dcterms:modified xsi:type="dcterms:W3CDTF">2026-08-03T04:46:00Z</dcterms:modified>
</cp:coreProperties>
</file>