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C1F1A" w:val="clear"/>
          </w:tcPr>
          <w:p>
            <w:pPr>
              <w:spacing w:before="4009"/>
            </w:pPr>
          </w:p>
          <w:p>
            <w:pPr>
              <w:pBdr>
                <w:bottom w:val="single" w:color="3DDBB5" w:sz="6" w:space="8"/>
              </w:pBdr>
              <w:spacing w:after="500"/>
              <w:ind w:left="1200" w:right="800"/>
            </w:pPr>
            <w:r>
              <w:rPr>
                <w:rFonts w:ascii="Calibri"/>
                <w:color w:val="3DDBB5"/>
                <w:spacing w:val="40"/>
                <w:sz w:val="18"/>
                <w:szCs w:val="18"/>
              </w:rPr>
              <w:t xml:space="preserve">COMPETITIVE INTELLIGENCE REPORT</w:t>
            </w:r>
          </w:p>
          <w:p>
            <w:pPr>
              <w:spacing w:after="100" w:line="828" w:lineRule="atLeast"/>
              <w:ind w:left="1200"/>
            </w:pPr>
            <w:r>
              <w:rPr>
                <w:rFonts w:ascii="Arial"/>
                <w:b/>
                <w:bCs/>
                <w:color w:val="FFFFFF"/>
                <w:sz w:val="72"/>
                <w:szCs w:val="72"/>
              </w:rPr>
              <w:t xml:space="preserve">Solar Ireland —</w:t>
            </w:r>
          </w:p>
          <w:p>
            <w:pPr>
              <w:spacing w:after="100" w:line="828" w:lineRule="atLeast"/>
              <w:ind w:left="1200"/>
            </w:pPr>
            <w:r>
              <w:rPr>
                <w:rFonts w:ascii="Arial"/>
                <w:b/>
                <w:bCs/>
                <w:color w:val="FFFFFF"/>
                <w:sz w:val="72"/>
                <w:szCs w:val="72"/>
              </w:rPr>
              <w:t xml:space="preserve">Competitive Audit &amp;</w:t>
            </w:r>
          </w:p>
          <w:p>
            <w:pPr>
              <w:spacing w:after="300" w:line="828" w:lineRule="atLeast"/>
              <w:ind w:left="1200"/>
            </w:pPr>
            <w:r>
              <w:rPr>
                <w:rFonts w:ascii="Arial"/>
                <w:b/>
                <w:bCs/>
                <w:color w:val="FFFFFF"/>
                <w:sz w:val="72"/>
                <w:szCs w:val="72"/>
              </w:rPr>
              <w:t xml:space="preserve">Market Positioning</w:t>
            </w:r>
          </w:p>
          <w:p>
            <w:pPr>
              <w:spacing w:after="800"/>
              <w:ind w:left="1200"/>
            </w:pPr>
            <w:r>
              <w:rPr>
                <w:rFonts w:ascii="Arial"/>
                <w:color w:val="B0B8C0"/>
                <w:sz w:val="24"/>
                <w:szCs w:val="24"/>
              </w:rPr>
              <w:t xml:space="preserve">Irish Solar PV Market Analysis 2026</w:t>
            </w:r>
          </w:p>
          <w:p>
            <w:pPr>
              <w:pBdr>
                <w:left w:val="single" w:color="3DDBB5" w:sz="8" w:space="12"/>
              </w:pBdr>
              <w:spacing w:after="80"/>
              <w:ind w:left="1400"/>
            </w:pPr>
            <w:r>
              <w:rPr>
                <w:rFonts w:ascii="Arial"/>
                <w:color w:val="90989F"/>
                <w:sz w:val="24"/>
                <w:szCs w:val="24"/>
              </w:rPr>
              <w:t xml:space="preserve">Prepared for Solar Ireland Ltd.</w:t>
            </w:r>
          </w:p>
          <w:p>
            <w:pPr>
              <w:pBdr>
                <w:left w:val="single" w:color="3DDBB5" w:sz="8" w:space="12"/>
              </w:pBdr>
              <w:spacing w:after="80"/>
              <w:ind w:left="1400"/>
            </w:pPr>
            <w:r>
              <w:rPr>
                <w:rFonts w:ascii="Arial"/>
                <w:color w:val="90989F"/>
                <w:sz w:val="24"/>
                <w:szCs w:val="24"/>
              </w:rPr>
              <w:t xml:space="preserve">Confidential — Internal Use Only</w:t>
            </w:r>
          </w:p>
          <w:p>
            <w:pPr>
              <w:spacing w:before="4009"/>
            </w:pPr>
          </w:p>
          <w:p>
            <w:pPr>
              <w:pBdr>
                <w:top w:val="single" w:color="3DDBB5" w:sz="2" w:space="8"/>
              </w:pBdr>
              <w:spacing w:before="200"/>
              <w:ind w:left="1200" w:right="800"/>
            </w:pPr>
            <w:r>
              <w:rPr>
                <w:rFonts w:ascii="Arial"/>
                <w:color w:val="687078"/>
                <w:sz w:val="16"/>
                <w:szCs w:val="16"/>
              </w:rPr>
              <w:t xml:space="preserve">April 2026</w:t>
            </w:r>
            <w:r>
              <w:t xml:space="preserve">                                                        </w:t>
            </w:r>
            <w:r>
              <w:rPr>
                <w:rFonts w:ascii="Arial"/>
                <w:color w:val="687078"/>
                <w:sz w:val="16"/>
                <w:szCs w:val="16"/>
              </w:rPr>
              <w:t xml:space="preserve">solarireland.ie</w:t>
            </w:r>
          </w:p>
        </w:tc>
      </w:tr>
    </w:tbl>
    <w:p>
      <w:pPr>
        <w:sectPr>
          <w:pgSz w:w="11906" w:h="16838" w:orient="portrait"/>
          <w:pgMar w:top="0" w:right="0" w:bottom="0" w:left="0" w:header="708" w:footer="708" w:gutter="0"/>
          <w:pgNumType/>
          <w:docGrid w:linePitch="360"/>
        </w:sectPr>
      </w:pPr>
    </w:p>
    <w:p>
      <w:pPr>
        <w:spacing w:after="360" w:before="480"/>
        <w:jc w:val="center"/>
      </w:pPr>
      <w:r>
        <w:rPr>
          <w:rFonts w:ascii="Times New Roman"/>
          <w:b/>
          <w:bCs/>
          <w:color w:val="0C3B2E"/>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Irish Solar Market Overview 2026</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2.1 SEAI Grant Scheme</w:t>
            </w:r>
            <w:r>
              <w:tab/>
            </w:r>
            <w:r>
              <w:fldChar w:fldCharType="begin"/>
            </w:r>
            <w:r>
              <w:instrText xml:space="preserve"> PAGEREF _Toc100002 \h </w:instrText>
            </w:r>
            <w:r>
              <w:fldChar w:fldCharType="separate"/>
            </w:r>
            <w:r>
              <w:t>3</w:t>
            </w:r>
            <w:r>
              <w:fldChar w:fldCharType="end"/>
            </w:r>
          </w:hyperlink>
        </w:p>
        <w:p>
          <w:pPr>
            <w:pStyle w:val="11"/>
            <w:ind w:left="360"/>
            <w:tabs>
              <w:tab w:val="right" w:leader="dot" w:pos="9026"/>
            </w:tabs>
            <w:spacing w:before="120" w:after="60"/>
          </w:pPr>
          <w:hyperlink w:anchor="_Toc100003" w:history="1">
            <w:r>
              <w:rPr>
                <w:rStyle w:val="Hyperlink"/>
              </w:rPr>
              <w:t>2.2 Clean Export Guarantee (CEG)</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2.3 Key Market Drivers</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3. Competitive Landscape — Top 15 Installers</w:t>
            </w:r>
            <w:r>
              <w:tab/>
            </w:r>
            <w:r>
              <w:fldChar w:fldCharType="begin"/>
            </w:r>
            <w:r>
              <w:instrText xml:space="preserve"> PAGEREF _Toc100005 \h </w:instrText>
            </w:r>
            <w:r>
              <w:fldChar w:fldCharType="separate"/>
            </w:r>
            <w:r>
              <w:t>4</w:t>
            </w:r>
            <w:r>
              <w:fldChar w:fldCharType="end"/>
            </w:r>
          </w:hyperlink>
        </w:p>
        <w:p>
          <w:pPr>
            <w:pStyle w:val="9"/>
            <w:tabs>
              <w:tab w:val="right" w:leader="dot" w:pos="9026"/>
            </w:tabs>
            <w:spacing w:before="120" w:after="60"/>
          </w:pPr>
          <w:hyperlink w:anchor="_Toc100006" w:history="1">
            <w:r>
              <w:rPr>
                <w:rStyle w:val="Hyperlink"/>
              </w:rPr>
              <w:t>4. Service Offering Comparison</w:t>
            </w:r>
            <w:r>
              <w:tab/>
            </w:r>
            <w:r>
              <w:fldChar w:fldCharType="begin"/>
            </w:r>
            <w:r>
              <w:instrText xml:space="preserve"> PAGEREF _Toc100006 \h </w:instrText>
            </w:r>
            <w:r>
              <w:fldChar w:fldCharType="separate"/>
            </w:r>
            <w:r>
              <w:t>4</w:t>
            </w:r>
            <w:r>
              <w:fldChar w:fldCharType="end"/>
            </w:r>
          </w:hyperlink>
        </w:p>
        <w:p>
          <w:pPr>
            <w:pStyle w:val="9"/>
            <w:tabs>
              <w:tab w:val="right" w:leader="dot" w:pos="9026"/>
            </w:tabs>
            <w:spacing w:before="120" w:after="60"/>
          </w:pPr>
          <w:hyperlink w:anchor="_Toc100007" w:history="1">
            <w:r>
              <w:rPr>
                <w:rStyle w:val="Hyperlink"/>
              </w:rPr>
              <w:t>5. Pricing Analysis</w:t>
            </w:r>
            <w:r>
              <w:tab/>
            </w:r>
            <w:r>
              <w:fldChar w:fldCharType="begin"/>
            </w:r>
            <w:r>
              <w:instrText xml:space="preserve"> PAGEREF _Toc100007 \h </w:instrText>
            </w:r>
            <w:r>
              <w:fldChar w:fldCharType="separate"/>
            </w:r>
            <w:r>
              <w:t>5</w:t>
            </w:r>
            <w:r>
              <w:fldChar w:fldCharType="end"/>
            </w:r>
          </w:hyperlink>
        </w:p>
        <w:p>
          <w:pPr>
            <w:pStyle w:val="9"/>
            <w:tabs>
              <w:tab w:val="right" w:leader="dot" w:pos="9026"/>
            </w:tabs>
            <w:spacing w:before="120" w:after="60"/>
          </w:pPr>
          <w:hyperlink w:anchor="_Toc100008" w:history="1">
            <w:r>
              <w:rPr>
                <w:rStyle w:val="Hyperlink"/>
              </w:rPr>
              <w:t>6. Digital Presence &amp; Website Comparison</w:t>
            </w:r>
            <w:r>
              <w:tab/>
            </w:r>
            <w:r>
              <w:fldChar w:fldCharType="begin"/>
            </w:r>
            <w:r>
              <w:instrText xml:space="preserve"> PAGEREF _Toc100008 \h </w:instrText>
            </w:r>
            <w:r>
              <w:fldChar w:fldCharType="separate"/>
            </w:r>
            <w:r>
              <w:t>6</w:t>
            </w:r>
            <w:r>
              <w:fldChar w:fldCharType="end"/>
            </w:r>
          </w:hyperlink>
        </w:p>
        <w:p>
          <w:pPr>
            <w:pStyle w:val="9"/>
            <w:tabs>
              <w:tab w:val="right" w:leader="dot" w:pos="9026"/>
            </w:tabs>
            <w:spacing w:before="120" w:after="60"/>
          </w:pPr>
          <w:hyperlink w:anchor="_Toc100009" w:history="1">
            <w:r>
              <w:rPr>
                <w:rStyle w:val="Hyperlink"/>
              </w:rPr>
              <w:t>7. Customer Experience Comparison</w:t>
            </w:r>
            <w:r>
              <w:tab/>
            </w:r>
            <w:r>
              <w:fldChar w:fldCharType="begin"/>
            </w:r>
            <w:r>
              <w:instrText xml:space="preserve"> PAGEREF _Toc100009 \h </w:instrText>
            </w:r>
            <w:r>
              <w:fldChar w:fldCharType="separate"/>
            </w:r>
            <w:r>
              <w:t>6</w:t>
            </w:r>
            <w:r>
              <w:fldChar w:fldCharType="end"/>
            </w:r>
          </w:hyperlink>
        </w:p>
        <w:p>
          <w:pPr>
            <w:pStyle w:val="9"/>
            <w:tabs>
              <w:tab w:val="right" w:leader="dot" w:pos="9026"/>
            </w:tabs>
            <w:spacing w:before="120" w:after="60"/>
          </w:pPr>
          <w:hyperlink w:anchor="_Toc100010" w:history="1">
            <w:r>
              <w:rPr>
                <w:rStyle w:val="Hyperlink"/>
              </w:rPr>
              <w:t>8. Solar Ireland SWOT Analysis</w:t>
            </w:r>
            <w:r>
              <w:tab/>
            </w:r>
            <w:r>
              <w:fldChar w:fldCharType="begin"/>
            </w:r>
            <w:r>
              <w:instrText xml:space="preserve"> PAGEREF _Toc100010 \h </w:instrText>
            </w:r>
            <w:r>
              <w:fldChar w:fldCharType="separate"/>
            </w:r>
            <w:r>
              <w:t>7</w:t>
            </w:r>
            <w:r>
              <w:fldChar w:fldCharType="end"/>
            </w:r>
          </w:hyperlink>
        </w:p>
        <w:p>
          <w:pPr>
            <w:pStyle w:val="11"/>
            <w:ind w:left="360"/>
            <w:tabs>
              <w:tab w:val="right" w:leader="dot" w:pos="9026"/>
            </w:tabs>
            <w:spacing w:before="120" w:after="60"/>
          </w:pPr>
          <w:hyperlink w:anchor="_Toc100011" w:history="1">
            <w:r>
              <w:rPr>
                <w:rStyle w:val="Hyperlink"/>
              </w:rPr>
              <w:t>8.1 Strengths</w:t>
            </w:r>
            <w:r>
              <w:tab/>
            </w:r>
            <w:r>
              <w:fldChar w:fldCharType="begin"/>
            </w:r>
            <w:r>
              <w:instrText xml:space="preserve"> PAGEREF _Toc100011 \h </w:instrText>
            </w:r>
            <w:r>
              <w:fldChar w:fldCharType="separate"/>
            </w:r>
            <w:r>
              <w:t>7</w:t>
            </w:r>
            <w:r>
              <w:fldChar w:fldCharType="end"/>
            </w:r>
          </w:hyperlink>
        </w:p>
        <w:p>
          <w:pPr>
            <w:pStyle w:val="11"/>
            <w:ind w:left="360"/>
            <w:tabs>
              <w:tab w:val="right" w:leader="dot" w:pos="9026"/>
            </w:tabs>
            <w:spacing w:before="120" w:after="60"/>
          </w:pPr>
          <w:hyperlink w:anchor="_Toc100012" w:history="1">
            <w:r>
              <w:rPr>
                <w:rStyle w:val="Hyperlink"/>
              </w:rPr>
              <w:t>8.2 Weaknesses</w:t>
            </w:r>
            <w:r>
              <w:tab/>
            </w:r>
            <w:r>
              <w:fldChar w:fldCharType="begin"/>
            </w:r>
            <w:r>
              <w:instrText xml:space="preserve"> PAGEREF _Toc100012 \h </w:instrText>
            </w:r>
            <w:r>
              <w:fldChar w:fldCharType="separate"/>
            </w:r>
            <w:r>
              <w:t>8</w:t>
            </w:r>
            <w:r>
              <w:fldChar w:fldCharType="end"/>
            </w:r>
          </w:hyperlink>
        </w:p>
        <w:p>
          <w:pPr>
            <w:pStyle w:val="11"/>
            <w:ind w:left="360"/>
            <w:tabs>
              <w:tab w:val="right" w:leader="dot" w:pos="9026"/>
            </w:tabs>
            <w:spacing w:before="120" w:after="60"/>
          </w:pPr>
          <w:hyperlink w:anchor="_Toc100013" w:history="1">
            <w:r>
              <w:rPr>
                <w:rStyle w:val="Hyperlink"/>
              </w:rPr>
              <w:t>8.3 Opportunities</w:t>
            </w:r>
            <w:r>
              <w:tab/>
            </w:r>
            <w:r>
              <w:fldChar w:fldCharType="begin"/>
            </w:r>
            <w:r>
              <w:instrText xml:space="preserve"> PAGEREF _Toc100013 \h </w:instrText>
            </w:r>
            <w:r>
              <w:fldChar w:fldCharType="separate"/>
            </w:r>
            <w:r>
              <w:t>8</w:t>
            </w:r>
            <w:r>
              <w:fldChar w:fldCharType="end"/>
            </w:r>
          </w:hyperlink>
        </w:p>
        <w:p>
          <w:pPr>
            <w:pStyle w:val="11"/>
            <w:ind w:left="360"/>
            <w:tabs>
              <w:tab w:val="right" w:leader="dot" w:pos="9026"/>
            </w:tabs>
            <w:spacing w:before="120" w:after="60"/>
          </w:pPr>
          <w:hyperlink w:anchor="_Toc100014" w:history="1">
            <w:r>
              <w:rPr>
                <w:rStyle w:val="Hyperlink"/>
              </w:rPr>
              <w:t>8.4 Threats</w:t>
            </w:r>
            <w:r>
              <w:tab/>
            </w:r>
            <w:r>
              <w:fldChar w:fldCharType="begin"/>
            </w:r>
            <w:r>
              <w:instrText xml:space="preserve"> PAGEREF _Toc100014 \h </w:instrText>
            </w:r>
            <w:r>
              <w:fldChar w:fldCharType="separate"/>
            </w:r>
            <w:r>
              <w:t>8</w:t>
            </w:r>
            <w:r>
              <w:fldChar w:fldCharType="end"/>
            </w:r>
          </w:hyperlink>
        </w:p>
        <w:p>
          <w:pPr>
            <w:pStyle w:val="9"/>
            <w:tabs>
              <w:tab w:val="right" w:leader="dot" w:pos="9026"/>
            </w:tabs>
            <w:spacing w:before="120" w:after="60"/>
          </w:pPr>
          <w:hyperlink w:anchor="_Toc100015" w:history="1">
            <w:r>
              <w:rPr>
                <w:rStyle w:val="Hyperlink"/>
              </w:rPr>
              <w:t>9. Ranking &amp; Scoring</w:t>
            </w:r>
            <w:r>
              <w:tab/>
            </w:r>
            <w:r>
              <w:fldChar w:fldCharType="begin"/>
            </w:r>
            <w:r>
              <w:instrText xml:space="preserve"> PAGEREF _Toc100015 \h </w:instrText>
            </w:r>
            <w:r>
              <w:fldChar w:fldCharType="separate"/>
            </w:r>
            <w:r>
              <w:t>8</w:t>
            </w:r>
            <w:r>
              <w:fldChar w:fldCharType="end"/>
            </w:r>
          </w:hyperlink>
        </w:p>
        <w:p>
          <w:pPr>
            <w:pStyle w:val="9"/>
            <w:tabs>
              <w:tab w:val="right" w:leader="dot" w:pos="9026"/>
            </w:tabs>
            <w:spacing w:before="120" w:after="60"/>
          </w:pPr>
          <w:hyperlink w:anchor="_Toc100016" w:history="1">
            <w:r>
              <w:rPr>
                <w:rStyle w:val="Hyperlink"/>
              </w:rPr>
              <w:t>10. Strategic Recommendations</w:t>
            </w:r>
            <w:r>
              <w:tab/>
            </w:r>
            <w:r>
              <w:fldChar w:fldCharType="begin"/>
            </w:r>
            <w:r>
              <w:instrText xml:space="preserve"> PAGEREF _Toc100016 \h </w:instrText>
            </w:r>
            <w:r>
              <w:fldChar w:fldCharType="separate"/>
            </w:r>
            <w:r>
              <w:t>9</w:t>
            </w:r>
            <w:r>
              <w:fldChar w:fldCharType="end"/>
            </w:r>
          </w:hyperlink>
        </w:p>
        <w:p>
          <w:pPr>
            <w:pStyle w:val="9"/>
            <w:tabs>
              <w:tab w:val="right" w:leader="dot" w:pos="9026"/>
            </w:tabs>
            <w:spacing w:before="120" w:after="60"/>
          </w:pPr>
          <w:hyperlink w:anchor="_Toc100017" w:history="1">
            <w:r>
              <w:rPr>
                <w:rStyle w:val="Hyperlink"/>
              </w:rPr>
              <w:t>11. Conclusion</w:t>
            </w:r>
            <w:r>
              <w:tab/>
            </w:r>
            <w:r>
              <w:fldChar w:fldCharType="begin"/>
            </w:r>
            <w:r>
              <w:instrText xml:space="preserve"> PAGEREF _Toc100017 \h </w:instrText>
            </w:r>
            <w:r>
              <w:fldChar w:fldCharType="separate"/>
            </w:r>
            <w:r>
              <w:t>12</w:t>
            </w:r>
            <w:r>
              <w:fldChar w:fldCharType="end"/>
            </w:r>
          </w:hyperlink>
        </w:p>
        <w:p>
          <w:r>
            <w:fldChar w:fldCharType="end"/>
          </w:r>
        </w:p>
      </w:sdtContent>
    </w:sdt>
    <w:p>
      <w:r>
        <w:br w:type="page"/>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spacing w:after="160" w:before="360" w:line="312"/>
      </w:pPr>
      <w:bookmarkStart w:id="100000" w:name="_Toc100000"/>
      <w:r>
        <w:rPr>
          <w:rFonts w:ascii="Times New Roman"/>
          <w:b/>
          <w:bCs/>
          <w:color w:val="0C3B2E"/>
          <w:sz w:val="32"/>
          <w:szCs w:val="32"/>
        </w:rPr>
        <w:t xml:space="preserve">1. Executive Summary</w:t>
      </w:r>
      <w:bookmarkEnd w:id="100000"/>
    </w:p>
    <w:p>
      <w:pPr>
        <w:spacing w:after="80" w:line="312"/>
        <w:ind w:firstLine="480"/>
        <w:jc w:val="both"/>
      </w:pPr>
      <w:r>
        <w:rPr>
          <w:rFonts w:ascii="Times New Roman"/>
          <w:color w:val="000000"/>
          <w:sz w:val="24"/>
          <w:szCs w:val="24"/>
        </w:rPr>
        <w:t xml:space="preserve">Solar Ireland has entered the Irish residential solar photovoltaic (PV) market at a pivotal moment. With over 50,000 residential solar installations completed across Ireland as of early 2026, the market is experiencing rapid growth driven by SEAI grant incentives, rising electricity costs, and increasing consumer awareness of renewable energy. This competitive audit examines Solar Ireland’s positioning relative to the top fifteen installers operating in the Republic of Ireland.</w:t>
      </w:r>
    </w:p>
    <w:p>
      <w:pPr>
        <w:spacing w:after="80" w:line="312"/>
        <w:ind w:firstLine="480"/>
        <w:jc w:val="both"/>
      </w:pPr>
      <w:r>
        <w:rPr>
          <w:rFonts w:ascii="Times New Roman"/>
          <w:color w:val="000000"/>
          <w:sz w:val="24"/>
          <w:szCs w:val="24"/>
        </w:rPr>
        <w:t xml:space="preserve">The audit reveals that Solar Ireland possesses several notable competitive advantages that distinguish it from established rivals. Its most significant differentiator is the comprehensive customer portal with an eleven-step installation tracking system, which provides unprecedented transparency throughout the project lifecycle. The AI-powered solar calculator represents another forward-thinking feature that enhances lead generation and customer engagement. Furthermore, the company’s commitment to nationwide coverage across all thirty-two counties positions it to serve customers in underserved regional markets where competition is less intense.</w:t>
      </w:r>
    </w:p>
    <w:p>
      <w:pPr>
        <w:spacing w:after="80" w:line="312"/>
        <w:ind w:firstLine="480"/>
        <w:jc w:val="both"/>
      </w:pPr>
      <w:r>
        <w:rPr>
          <w:rFonts w:ascii="Times New Roman"/>
          <w:color w:val="000000"/>
          <w:sz w:val="24"/>
          <w:szCs w:val="24"/>
        </w:rPr>
        <w:t xml:space="preserve">However, the analysis also identifies critical weaknesses that require immediate attention. As a newer entrant, Solar Ireland lacks the established review base and brand recognition enjoyed by incumbents such as Electric Ireland, Pinergy, and Activ8 Solar Energies. The absence of heat pump services represents a missed opportunity, as several competitors now offer integrated renewable energy solutions that combine solar PV, battery storage, and heat pumps into a single package. Pricing, while competitive at the mid-range, may not capture the value-conscious segment effectively against the aggressive discounting strategies employed by larger operators.</w:t>
      </w:r>
    </w:p>
    <w:p>
      <w:pPr>
        <w:spacing w:after="80" w:line="312"/>
        <w:ind w:firstLine="480"/>
        <w:jc w:val="both"/>
      </w:pPr>
      <w:r>
        <w:rPr>
          <w:rFonts w:ascii="Times New Roman"/>
          <w:color w:val="000000"/>
          <w:sz w:val="24"/>
          <w:szCs w:val="24"/>
        </w:rPr>
        <w:t xml:space="preserve">The Irish solar market is projected to grow by 25–30% annually through 2028, driven by the SEAI grant scheme (currently €1,800 for residential systems), the Clean Export Guarantee tariff, and EU energy efficiency mandates. This growth trajectory presents a substantial window of opportunity for Solar Ireland to establish market share before the landscape consolidates further. Companies that invest in digital infrastructure, build trust through customer reviews, and expand their service catalogue are best positioned to capture a disproportionate share of this expanding market.</w:t>
      </w:r>
    </w:p>
    <w:p>
      <w:pPr>
        <w:spacing w:after="80" w:line="312"/>
        <w:ind w:firstLine="480"/>
        <w:jc w:val="both"/>
      </w:pPr>
      <w:r>
        <w:rPr>
          <w:rFonts w:ascii="Times New Roman"/>
          <w:b/>
          <w:bCs/>
          <w:color w:val="000000"/>
          <w:sz w:val="24"/>
          <w:szCs w:val="24"/>
        </w:rPr>
        <w:t xml:space="preserve">Priority Action Items:</w:t>
      </w:r>
    </w:p>
    <w:p>
      <w:pPr>
        <w:spacing w:after="80" w:line="312"/>
        <w:jc w:val="both"/>
      </w:pPr>
      <w:r>
        <w:rPr>
          <w:rFonts w:ascii="Times New Roman"/>
          <w:color w:val="000000"/>
          <w:sz w:val="24"/>
          <w:szCs w:val="24"/>
        </w:rPr>
        <w:t xml:space="preserve">1. Aggressively build a Google and Trustpilot review base through post-installation follow-up campaigns.</w:t>
      </w:r>
    </w:p>
    <w:p>
      <w:pPr>
        <w:spacing w:after="80" w:line="312"/>
        <w:jc w:val="both"/>
      </w:pPr>
      <w:r>
        <w:rPr>
          <w:rFonts w:ascii="Times New Roman"/>
          <w:color w:val="000000"/>
          <w:sz w:val="24"/>
          <w:szCs w:val="24"/>
        </w:rPr>
        <w:t xml:space="preserve">2. Evaluate the addition of heat pump installation services to capture the integrated renewable market.</w:t>
      </w:r>
    </w:p>
    <w:p>
      <w:pPr>
        <w:spacing w:after="80" w:line="312"/>
        <w:jc w:val="both"/>
      </w:pPr>
      <w:r>
        <w:rPr>
          <w:rFonts w:ascii="Times New Roman"/>
          <w:color w:val="000000"/>
          <w:sz w:val="24"/>
          <w:szCs w:val="24"/>
        </w:rPr>
        <w:t xml:space="preserve">3. Leverage the customer portal as a core unique selling proposition in all marketing materials.</w:t>
      </w:r>
    </w:p>
    <w:p>
      <w:pPr>
        <w:spacing w:after="80" w:line="312"/>
        <w:jc w:val="both"/>
      </w:pPr>
      <w:r>
        <w:rPr>
          <w:rFonts w:ascii="Times New Roman"/>
          <w:color w:val="000000"/>
          <w:sz w:val="24"/>
          <w:szCs w:val="24"/>
        </w:rPr>
        <w:t xml:space="preserve">4. Implement a county-specific content marketing strategy through the blog to drive local SEO traffic.</w:t>
      </w:r>
    </w:p>
    <w:p>
      <w:pPr>
        <w:spacing w:after="80" w:line="312"/>
        <w:jc w:val="both"/>
      </w:pPr>
      <w:r>
        <w:rPr>
          <w:rFonts w:ascii="Times New Roman"/>
          <w:color w:val="000000"/>
          <w:sz w:val="24"/>
          <w:szCs w:val="24"/>
        </w:rPr>
        <w:t xml:space="preserve">5. Establish a finance partnership to offer flexible payment options that reduce the upfront cost barrier.</w:t>
      </w:r>
    </w:p>
    <w:p>
      <w:pPr>
        <w:pStyle w:val="Heading1"/>
        <w:spacing w:after="160" w:before="360" w:line="312"/>
      </w:pPr>
      <w:bookmarkStart w:id="100001" w:name="_Toc100001"/>
      <w:r>
        <w:rPr>
          <w:rFonts w:ascii="Times New Roman"/>
          <w:b/>
          <w:bCs/>
          <w:color w:val="0C3B2E"/>
          <w:sz w:val="32"/>
          <w:szCs w:val="32"/>
        </w:rPr>
        <w:t xml:space="preserve">2. Irish Solar Market Overview 2026</w:t>
      </w:r>
      <w:bookmarkEnd w:id="100001"/>
    </w:p>
    <w:p>
      <w:pPr>
        <w:spacing w:after="80" w:line="312"/>
        <w:ind w:firstLine="480"/>
        <w:jc w:val="both"/>
      </w:pPr>
      <w:r>
        <w:rPr>
          <w:rFonts w:ascii="Times New Roman"/>
          <w:color w:val="000000"/>
          <w:sz w:val="24"/>
          <w:szCs w:val="24"/>
        </w:rPr>
        <w:t xml:space="preserve">The Irish solar PV market has undergone a remarkable transformation over the past five years, evolving from a niche green technology into a mainstream home improvement investment. As of early 2026, the Sustainable Energy Authority of Ireland (SEAI) reports that cumulative residential solar PV installations have surpassed 50,000 units, with approximately 18,000 systems installed in 2025 alone. This growth has been underpinned by a convergence of policy support, economic incentives, and shifting consumer attitudes toward energy independence.</w:t>
      </w:r>
    </w:p>
    <w:p>
      <w:pPr>
        <w:pStyle w:val="Heading2"/>
        <w:spacing w:after="120" w:before="240" w:line="312"/>
      </w:pPr>
      <w:bookmarkStart w:id="100002" w:name="_Toc100002"/>
      <w:r>
        <w:rPr>
          <w:rFonts w:ascii="Times New Roman"/>
          <w:b/>
          <w:bCs/>
          <w:color w:val="0C3B2E"/>
          <w:sz w:val="28"/>
          <w:szCs w:val="28"/>
        </w:rPr>
        <w:t xml:space="preserve">2.1 SEAI Grant Scheme</w:t>
      </w:r>
      <w:bookmarkEnd w:id="100002"/>
    </w:p>
    <w:p>
      <w:pPr>
        <w:spacing w:after="80" w:line="312"/>
        <w:ind w:firstLine="480"/>
        <w:jc w:val="both"/>
      </w:pPr>
      <w:r>
        <w:rPr>
          <w:rFonts w:ascii="Times New Roman"/>
          <w:color w:val="000000"/>
          <w:sz w:val="24"/>
          <w:szCs w:val="24"/>
        </w:rPr>
        <w:t xml:space="preserve">The SEAI residential solar PV grant remains the cornerstone of market growth. Currently set at €1,800 for systems up to 2kWp, with an additional €300 per kWp for larger systems up to a maximum of 4kWp, the grant effectively reduces the cost of a typical residential installation by 15–20%. For battery storage, an additional €600 grant is available when installed alongside a solar PV system. These incentives make the financial case for solar investment compelling, with typical payback periods of five to seven years for a well-designed system. The SEAI has indicated that grant levels will remain stable through 2027, providing a predictable policy environment for both installers and consumers.</w:t>
      </w:r>
    </w:p>
    <w:p>
      <w:pPr>
        <w:pStyle w:val="Heading2"/>
        <w:spacing w:after="120" w:before="240" w:line="312"/>
      </w:pPr>
      <w:bookmarkStart w:id="100003" w:name="_Toc100003"/>
      <w:r>
        <w:rPr>
          <w:rFonts w:ascii="Times New Roman"/>
          <w:b/>
          <w:bCs/>
          <w:color w:val="0C3B2E"/>
          <w:sz w:val="28"/>
          <w:szCs w:val="28"/>
        </w:rPr>
        <w:t xml:space="preserve">2.2 Clean Export Guarantee (CEG)</w:t>
      </w:r>
      <w:bookmarkEnd w:id="100003"/>
    </w:p>
    <w:p>
      <w:pPr>
        <w:spacing w:after="80" w:line="312"/>
        <w:ind w:firstLine="480"/>
        <w:jc w:val="both"/>
      </w:pPr>
      <w:r>
        <w:rPr>
          <w:rFonts w:ascii="Times New Roman"/>
          <w:color w:val="000000"/>
          <w:sz w:val="24"/>
          <w:szCs w:val="24"/>
        </w:rPr>
        <w:t xml:space="preserve">The Clean Export Guarantee (CEG), introduced in 2022, allows residential solar PV system owners to receive payment for excess electricity exported to the national grid. The current CEG rate stands at approximately €0.21 per kWh, which is reviewed and adjusted periodically by the Commission for Regulation of Utilities (CRU). For a typical 6kWp system exporting 1,500–2,000 kWh annually, this translates to an additional €315–€420 in annual income. The CEG significantly improves the return on investment calculation for solar customers and has become a key selling point for installers in their marketing communications.</w:t>
      </w:r>
    </w:p>
    <w:p>
      <w:pPr>
        <w:pStyle w:val="Heading2"/>
        <w:spacing w:after="120" w:before="240" w:line="312"/>
      </w:pPr>
      <w:bookmarkStart w:id="100004" w:name="_Toc100004"/>
      <w:r>
        <w:rPr>
          <w:rFonts w:ascii="Times New Roman"/>
          <w:b/>
          <w:bCs/>
          <w:color w:val="0C3B2E"/>
          <w:sz w:val="28"/>
          <w:szCs w:val="28"/>
        </w:rPr>
        <w:t xml:space="preserve">2.3 Key Market Drivers</w:t>
      </w:r>
      <w:bookmarkEnd w:id="100004"/>
    </w:p>
    <w:p>
      <w:pPr>
        <w:spacing w:after="80" w:line="312"/>
        <w:ind w:firstLine="480"/>
        <w:jc w:val="both"/>
      </w:pPr>
      <w:r>
        <w:rPr>
          <w:rFonts w:ascii="Times New Roman"/>
          <w:color w:val="000000"/>
          <w:sz w:val="24"/>
          <w:szCs w:val="24"/>
        </w:rPr>
        <w:t xml:space="preserve">Rising electricity costs continue to be a primary driver of solar adoption. Irish residential electricity prices, averaging approximately €0.35–€0.40 per kWh in early 2026, remain among the highest in the European Union. This creates a strong economic incentive for households to generate their own electricity, with a well-optimised 6kWp system capable of reducing annual electricity bills by €1,200–€1,800. Climate action targets, including Ireland’s commitment to achieving 80% renewable electricity by 2030, are driving regulatory changes that further incentivise solar adoption. Building Energy Rating (BER) requirements are being progressively tightened, and properties with solar PV installations achieve significantly higher BER ratings, which influences property valuations and rental yields.</w:t>
      </w:r>
    </w:p>
    <w:p>
      <w:pPr>
        <w:spacing w:after="80" w:line="312"/>
        <w:ind w:firstLine="480"/>
        <w:jc w:val="both"/>
      </w:pPr>
      <w:r>
        <w:rPr>
          <w:rFonts w:ascii="Times New Roman"/>
          <w:color w:val="000000"/>
          <w:sz w:val="24"/>
          <w:szCs w:val="24"/>
        </w:rPr>
        <w:t xml:space="preserve">The electric vehicle (EV) market is also creating secondary demand for solar PV. As EV ownership grows, homeowners increasingly view solar panels and battery storage as complementary investments that reduce their total cost of transport energy. SEAI grants for EV chargers, combined with solar-generated electricity, create a compelling integrated energy proposition. The convergence of these drivers suggests that the Irish solar market will continue its strong growth trajectory, with industry analysts projecting annual installation volumes of 25,000–35,000 units by 2028.</w:t>
      </w:r>
    </w:p>
    <w:p>
      <w:pPr>
        <w:pStyle w:val="Heading1"/>
        <w:spacing w:after="160" w:before="360" w:line="312"/>
      </w:pPr>
      <w:bookmarkStart w:id="100005" w:name="_Toc100005"/>
      <w:r>
        <w:rPr>
          <w:rFonts w:ascii="Times New Roman"/>
          <w:b/>
          <w:bCs/>
          <w:color w:val="0C3B2E"/>
          <w:sz w:val="32"/>
          <w:szCs w:val="32"/>
        </w:rPr>
        <w:t xml:space="preserve">3. Competitive Landscape — Top 15 Installers</w:t>
      </w:r>
      <w:bookmarkEnd w:id="100005"/>
    </w:p>
    <w:p>
      <w:pPr>
        <w:spacing w:after="80" w:line="312"/>
        <w:ind w:firstLine="480"/>
        <w:jc w:val="both"/>
      </w:pPr>
      <w:r>
        <w:rPr>
          <w:rFonts w:ascii="Times New Roman"/>
          <w:color w:val="000000"/>
          <w:sz w:val="24"/>
          <w:szCs w:val="24"/>
        </w:rPr>
        <w:t xml:space="preserve">The Irish solar installation market features a mix of large energy companies, established specialist installers, and regional operators. The competitive landscape is characterised by increasing consolidation, as larger players acquire smaller regional firms to expand their geographic coverage and service capabilities. The following table provides a comprehensive comparison of the top fifteen installers, including Solar Ireland, across key competitive dimensions.</w:t>
      </w:r>
    </w:p>
    <w:p>
      <w:pPr>
        <w:spacing w:after="200" w:before="120"/>
        <w:jc w:val="center"/>
      </w:pPr>
      <w:r>
        <w:rPr>
          <w:rFonts w:ascii="Times New Roman"/>
          <w:i/>
          <w:iCs/>
          <w:color w:val="5A7A6A"/>
          <w:sz w:val="21"/>
          <w:szCs w:val="21"/>
        </w:rPr>
        <w:t xml:space="preserve">Table 1: Competitive Landscape — Top 15 Irish Solar Installers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tblGrid>
      <w:tr>
        <w:trPr>
          <w:cantSplit/>
          <w:tblHeader/>
        </w:trPr>
        <w:tc>
          <w:tcPr>
            <w:tcW w:type="pct" w:w="17%"/>
            <w:tcBorders>
              <w:top w:val="single" w:color="2A7A65" w:sz="2"/>
              <w:left w:val="none"/>
              <w:bottom w:val="single" w:color="2A7A65" w:sz="2"/>
              <w:right w:val="none"/>
            </w:tcBorders>
            <w:shd w:fill="2A7A65" w:val="clear"/>
            <w:tcMar>
              <w:top w:type="dxa" w:w="50"/>
              <w:left w:type="dxa" w:w="80"/>
              <w:bottom w:type="dxa" w:w="50"/>
              <w:right w:type="dxa" w:w="80"/>
            </w:tcMar>
          </w:tcPr>
          <w:p>
            <w:r>
              <w:rPr>
                <w:rFonts w:ascii="Calibri"/>
                <w:b/>
                <w:bCs/>
                <w:color w:val="FFFFFF"/>
                <w:sz w:val="18"/>
                <w:szCs w:val="18"/>
              </w:rPr>
              <w:t xml:space="preserve">Company</w:t>
            </w:r>
          </w:p>
        </w:tc>
        <w:tc>
          <w:tcPr>
            <w:tcW w:type="pct" w:w="11%"/>
            <w:tcBorders>
              <w:top w:val="single" w:color="2A7A65" w:sz="2"/>
              <w:left w:val="none"/>
              <w:bottom w:val="single" w:color="2A7A65" w:sz="2"/>
              <w:right w:val="none"/>
            </w:tcBorders>
            <w:shd w:fill="2A7A65" w:val="clear"/>
            <w:tcMar>
              <w:top w:type="dxa" w:w="50"/>
              <w:left w:type="dxa" w:w="80"/>
              <w:bottom w:type="dxa" w:w="50"/>
              <w:right w:type="dxa" w:w="80"/>
            </w:tcMar>
          </w:tcPr>
          <w:p>
            <w:r>
              <w:rPr>
                <w:rFonts w:ascii="Calibri"/>
                <w:b/>
                <w:bCs/>
                <w:color w:val="FFFFFF"/>
                <w:sz w:val="18"/>
                <w:szCs w:val="18"/>
              </w:rPr>
              <w:t xml:space="preserve">Est. / Size</w:t>
            </w:r>
          </w:p>
        </w:tc>
        <w:tc>
          <w:tcPr>
            <w:tcW w:type="pct" w:w="11%"/>
            <w:tcBorders>
              <w:top w:val="single" w:color="2A7A65" w:sz="2"/>
              <w:left w:val="none"/>
              <w:bottom w:val="single" w:color="2A7A65" w:sz="2"/>
              <w:right w:val="none"/>
            </w:tcBorders>
            <w:shd w:fill="2A7A65" w:val="clear"/>
            <w:tcMar>
              <w:top w:type="dxa" w:w="50"/>
              <w:left w:type="dxa" w:w="80"/>
              <w:bottom w:type="dxa" w:w="50"/>
              <w:right w:type="dxa" w:w="80"/>
            </w:tcMar>
          </w:tcPr>
          <w:p>
            <w:r>
              <w:rPr>
                <w:rFonts w:ascii="Calibri"/>
                <w:b/>
                <w:bCs/>
                <w:color w:val="FFFFFF"/>
                <w:sz w:val="18"/>
                <w:szCs w:val="18"/>
              </w:rPr>
              <w:t xml:space="preserve">Counties</w:t>
            </w:r>
          </w:p>
        </w:tc>
        <w:tc>
          <w:tcPr>
            <w:tcW w:type="pct" w:w="16%"/>
            <w:tcBorders>
              <w:top w:val="single" w:color="2A7A65" w:sz="2"/>
              <w:left w:val="none"/>
              <w:bottom w:val="single" w:color="2A7A65" w:sz="2"/>
              <w:right w:val="none"/>
            </w:tcBorders>
            <w:shd w:fill="2A7A65" w:val="clear"/>
            <w:tcMar>
              <w:top w:type="dxa" w:w="50"/>
              <w:left w:type="dxa" w:w="80"/>
              <w:bottom w:type="dxa" w:w="50"/>
              <w:right w:type="dxa" w:w="80"/>
            </w:tcMar>
          </w:tcPr>
          <w:p>
            <w:r>
              <w:rPr>
                <w:rFonts w:ascii="Calibri"/>
                <w:b/>
                <w:bCs/>
                <w:color w:val="FFFFFF"/>
                <w:sz w:val="18"/>
                <w:szCs w:val="18"/>
              </w:rPr>
              <w:t xml:space="preserve">Services</w:t>
            </w:r>
          </w:p>
        </w:tc>
        <w:tc>
          <w:tcPr>
            <w:tcW w:type="pct" w:w="12%"/>
            <w:tcBorders>
              <w:top w:val="single" w:color="2A7A65" w:sz="2"/>
              <w:left w:val="none"/>
              <w:bottom w:val="single" w:color="2A7A65" w:sz="2"/>
              <w:right w:val="none"/>
            </w:tcBorders>
            <w:shd w:fill="2A7A65" w:val="clear"/>
            <w:tcMar>
              <w:top w:type="dxa" w:w="50"/>
              <w:left w:type="dxa" w:w="80"/>
              <w:bottom w:type="dxa" w:w="50"/>
              <w:right w:type="dxa" w:w="80"/>
            </w:tcMar>
          </w:tcPr>
          <w:p>
            <w:r>
              <w:rPr>
                <w:rFonts w:ascii="Calibri"/>
                <w:b/>
                <w:bCs/>
                <w:color w:val="FFFFFF"/>
                <w:sz w:val="18"/>
                <w:szCs w:val="18"/>
              </w:rPr>
              <w:t xml:space="preserve">Pricing (6kWp)</w:t>
            </w:r>
          </w:p>
        </w:tc>
        <w:tc>
          <w:tcPr>
            <w:tcW w:type="pct" w:w="12%"/>
            <w:tcBorders>
              <w:top w:val="single" w:color="2A7A65" w:sz="2"/>
              <w:left w:val="none"/>
              <w:bottom w:val="single" w:color="2A7A65" w:sz="2"/>
              <w:right w:val="none"/>
            </w:tcBorders>
            <w:shd w:fill="2A7A65" w:val="clear"/>
            <w:tcMar>
              <w:top w:type="dxa" w:w="50"/>
              <w:left w:type="dxa" w:w="80"/>
              <w:bottom w:type="dxa" w:w="50"/>
              <w:right w:type="dxa" w:w="80"/>
            </w:tcMar>
          </w:tcPr>
          <w:p>
            <w:r>
              <w:rPr>
                <w:rFonts w:ascii="Calibri"/>
                <w:b/>
                <w:bCs/>
                <w:color w:val="FFFFFF"/>
                <w:sz w:val="18"/>
                <w:szCs w:val="18"/>
              </w:rPr>
              <w:t xml:space="preserve">Google Reviews</w:t>
            </w:r>
          </w:p>
        </w:tc>
        <w:tc>
          <w:tcPr>
            <w:tcW w:type="pct" w:w="21%"/>
            <w:tcBorders>
              <w:top w:val="single" w:color="2A7A65" w:sz="2"/>
              <w:left w:val="none"/>
              <w:bottom w:val="single" w:color="2A7A65" w:sz="2"/>
              <w:right w:val="none"/>
            </w:tcBorders>
            <w:shd w:fill="2A7A65" w:val="clear"/>
            <w:tcMar>
              <w:top w:type="dxa" w:w="50"/>
              <w:left w:type="dxa" w:w="80"/>
              <w:bottom w:type="dxa" w:w="50"/>
              <w:right w:type="dxa" w:w="80"/>
            </w:tcMar>
          </w:tcPr>
          <w:p>
            <w:r>
              <w:rPr>
                <w:rFonts w:ascii="Calibri"/>
                <w:b/>
                <w:bCs/>
                <w:color w:val="FFFFFF"/>
                <w:sz w:val="18"/>
                <w:szCs w:val="18"/>
              </w:rPr>
              <w:t xml:space="preserve">Key Differentiator</w:t>
            </w:r>
          </w:p>
        </w:tc>
      </w:tr>
      <w:tr>
        <w:trPr>
          <w:cantSplit/>
        </w:trPr>
        <w:tc>
          <w:tcPr>
            <w:tcW w:type="pct" w:w="17%"/>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Electric Ireland</w:t>
            </w:r>
          </w:p>
        </w:tc>
        <w:tc>
          <w:tcPr>
            <w:tcW w:type="pct" w:w="11%"/>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2016 / 2,000+</w:t>
            </w:r>
          </w:p>
        </w:tc>
        <w:tc>
          <w:tcPr>
            <w:tcW w:type="pct" w:w="11%"/>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All 26</w:t>
            </w:r>
          </w:p>
        </w:tc>
        <w:tc>
          <w:tcPr>
            <w:tcW w:type="pct" w:w="16%"/>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PV, Battery, EV, BER</w:t>
            </w:r>
          </w:p>
        </w:tc>
        <w:tc>
          <w:tcPr>
            <w:tcW w:type="pct" w:w="12%"/>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€5,500–€7,500</w:t>
            </w:r>
          </w:p>
        </w:tc>
        <w:tc>
          <w:tcPr>
            <w:tcW w:type="pct" w:w="12%"/>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4.2 (2,400+)</w:t>
            </w:r>
          </w:p>
        </w:tc>
        <w:tc>
          <w:tcPr>
            <w:tcW w:type="pct" w:w="21%"/>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ESB brand trust, scale, bundled energy deals</w:t>
            </w:r>
          </w:p>
        </w:tc>
      </w:tr>
      <w:tr>
        <w:trPr>
          <w:cantSplit/>
        </w:trPr>
        <w:tc>
          <w:tcPr>
            <w:tcW w:type="pct" w:w="100%"/>
            <w:gridSpan w:val="7"/>
            <w:tcBorders>
              <w:top w:val="single" w:color="D0D0D0" w:sz="1"/>
              <w:left w:val="none"/>
              <w:bottom w:val="none"/>
              <w:right w:val="none"/>
            </w:tcBorders>
          </w:tcPr>
          <w:p>
            <w:pPr>
              <w:spacing w:after="0" w:before="0"/>
            </w:pPr>
          </w:p>
        </w:tc>
      </w:tr>
      <w:tr>
        <w:trPr>
          <w:cantSplit/>
        </w:trPr>
        <w:tc>
          <w:tcPr>
            <w:tcW w:type="pct" w:w="17%"/>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Pinergy</w:t>
            </w:r>
          </w:p>
        </w:tc>
        <w:tc>
          <w:tcPr>
            <w:tcW w:type="pct" w:w="11%"/>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2012 / 800+</w:t>
            </w:r>
          </w:p>
        </w:tc>
        <w:tc>
          <w:tcPr>
            <w:tcW w:type="pct" w:w="11%"/>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All 26</w:t>
            </w:r>
          </w:p>
        </w:tc>
        <w:tc>
          <w:tcPr>
            <w:tcW w:type="pct" w:w="16%"/>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PV, Battery, EV</w:t>
            </w:r>
          </w:p>
        </w:tc>
        <w:tc>
          <w:tcPr>
            <w:tcW w:type="pct" w:w="12%"/>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€6,000–€8,000</w:t>
            </w:r>
          </w:p>
        </w:tc>
        <w:tc>
          <w:tcPr>
            <w:tcW w:type="pct" w:w="12%"/>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4.4 (1,800+)</w:t>
            </w:r>
          </w:p>
        </w:tc>
        <w:tc>
          <w:tcPr>
            <w:tcW w:type="pct" w:w="21%"/>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Smart meter integration, green energy supplier</w:t>
            </w:r>
          </w:p>
        </w:tc>
      </w:tr>
      <w:tr>
        <w:trPr>
          <w:cantSplit/>
        </w:trPr>
        <w:tc>
          <w:tcPr>
            <w:tcW w:type="pct" w:w="100%"/>
            <w:gridSpan w:val="7"/>
            <w:tcBorders>
              <w:top w:val="single" w:color="D0D0D0" w:sz="1"/>
              <w:left w:val="none"/>
              <w:bottom w:val="none"/>
              <w:right w:val="none"/>
            </w:tcBorders>
          </w:tcPr>
          <w:p>
            <w:pPr>
              <w:spacing w:after="0" w:before="0"/>
            </w:pPr>
          </w:p>
        </w:tc>
      </w:tr>
      <w:tr>
        <w:trPr>
          <w:cantSplit/>
        </w:trPr>
        <w:tc>
          <w:tcPr>
            <w:tcW w:type="pct" w:w="17%"/>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Activ8 Solar Energies</w:t>
            </w:r>
          </w:p>
        </w:tc>
        <w:tc>
          <w:tcPr>
            <w:tcW w:type="pct" w:w="11%"/>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2008 / 500+</w:t>
            </w:r>
          </w:p>
        </w:tc>
        <w:tc>
          <w:tcPr>
            <w:tcW w:type="pct" w:w="11%"/>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25+</w:t>
            </w:r>
          </w:p>
        </w:tc>
        <w:tc>
          <w:tcPr>
            <w:tcW w:type="pct" w:w="16%"/>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PV, Battery, EV, Heat Pump</w:t>
            </w:r>
          </w:p>
        </w:tc>
        <w:tc>
          <w:tcPr>
            <w:tcW w:type="pct" w:w="12%"/>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€5,800–€8,500</w:t>
            </w:r>
          </w:p>
        </w:tc>
        <w:tc>
          <w:tcPr>
            <w:tcW w:type="pct" w:w="12%"/>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4.6 (2,100+)</w:t>
            </w:r>
          </w:p>
        </w:tc>
        <w:tc>
          <w:tcPr>
            <w:tcW w:type="pct" w:w="21%"/>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Longest established, heat pump integration</w:t>
            </w:r>
          </w:p>
        </w:tc>
      </w:tr>
      <w:tr>
        <w:trPr>
          <w:cantSplit/>
        </w:trPr>
        <w:tc>
          <w:tcPr>
            <w:tcW w:type="pct" w:w="100%"/>
            <w:gridSpan w:val="7"/>
            <w:tcBorders>
              <w:top w:val="single" w:color="D0D0D0" w:sz="1"/>
              <w:left w:val="none"/>
              <w:bottom w:val="none"/>
              <w:right w:val="none"/>
            </w:tcBorders>
          </w:tcPr>
          <w:p>
            <w:pPr>
              <w:spacing w:after="0" w:before="0"/>
            </w:pPr>
          </w:p>
        </w:tc>
      </w:tr>
      <w:tr>
        <w:trPr>
          <w:cantSplit/>
        </w:trPr>
        <w:tc>
          <w:tcPr>
            <w:tcW w:type="pct" w:w="17%"/>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Solar Electric</w:t>
            </w:r>
          </w:p>
        </w:tc>
        <w:tc>
          <w:tcPr>
            <w:tcW w:type="pct" w:w="11%"/>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2012 / 300+</w:t>
            </w:r>
          </w:p>
        </w:tc>
        <w:tc>
          <w:tcPr>
            <w:tcW w:type="pct" w:w="11%"/>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All 26</w:t>
            </w:r>
          </w:p>
        </w:tc>
        <w:tc>
          <w:tcPr>
            <w:tcW w:type="pct" w:w="16%"/>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PV, Battery, EV, BER</w:t>
            </w:r>
          </w:p>
        </w:tc>
        <w:tc>
          <w:tcPr>
            <w:tcW w:type="pct" w:w="12%"/>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€5,500–€7,800</w:t>
            </w:r>
          </w:p>
        </w:tc>
        <w:tc>
          <w:tcPr>
            <w:tcW w:type="pct" w:w="12%"/>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4.5 (1,600+)</w:t>
            </w:r>
          </w:p>
        </w:tc>
        <w:tc>
          <w:tcPr>
            <w:tcW w:type="pct" w:w="21%"/>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Product range, competitive pricing</w:t>
            </w:r>
          </w:p>
        </w:tc>
      </w:tr>
      <w:tr>
        <w:trPr>
          <w:cantSplit/>
        </w:trPr>
        <w:tc>
          <w:tcPr>
            <w:tcW w:type="pct" w:w="100%"/>
            <w:gridSpan w:val="7"/>
            <w:tcBorders>
              <w:top w:val="single" w:color="D0D0D0" w:sz="1"/>
              <w:left w:val="none"/>
              <w:bottom w:val="none"/>
              <w:right w:val="none"/>
            </w:tcBorders>
          </w:tcPr>
          <w:p>
            <w:pPr>
              <w:spacing w:after="0" w:before="0"/>
            </w:pPr>
          </w:p>
        </w:tc>
      </w:tr>
      <w:tr>
        <w:trPr>
          <w:cantSplit/>
        </w:trPr>
        <w:tc>
          <w:tcPr>
            <w:tcW w:type="pct" w:w="17%"/>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EcoPlex</w:t>
            </w:r>
          </w:p>
        </w:tc>
        <w:tc>
          <w:tcPr>
            <w:tcW w:type="pct" w:w="11%"/>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2011 / 200+</w:t>
            </w:r>
          </w:p>
        </w:tc>
        <w:tc>
          <w:tcPr>
            <w:tcW w:type="pct" w:w="11%"/>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20+</w:t>
            </w:r>
          </w:p>
        </w:tc>
        <w:tc>
          <w:tcPr>
            <w:tcW w:type="pct" w:w="16%"/>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PV, Battery, EV, Heat Pump</w:t>
            </w:r>
          </w:p>
        </w:tc>
        <w:tc>
          <w:tcPr>
            <w:tcW w:type="pct" w:w="12%"/>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€5,200–€7,500</w:t>
            </w:r>
          </w:p>
        </w:tc>
        <w:tc>
          <w:tcPr>
            <w:tcW w:type="pct" w:w="12%"/>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4.5 (950+)</w:t>
            </w:r>
          </w:p>
        </w:tc>
        <w:tc>
          <w:tcPr>
            <w:tcW w:type="pct" w:w="21%"/>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Sustainability focus, community projects</w:t>
            </w:r>
          </w:p>
        </w:tc>
      </w:tr>
      <w:tr>
        <w:trPr>
          <w:cantSplit/>
        </w:trPr>
        <w:tc>
          <w:tcPr>
            <w:tcW w:type="pct" w:w="100%"/>
            <w:gridSpan w:val="7"/>
            <w:tcBorders>
              <w:top w:val="single" w:color="D0D0D0" w:sz="1"/>
              <w:left w:val="none"/>
              <w:bottom w:val="none"/>
              <w:right w:val="none"/>
            </w:tcBorders>
          </w:tcPr>
          <w:p>
            <w:pPr>
              <w:spacing w:after="0" w:before="0"/>
            </w:pPr>
          </w:p>
        </w:tc>
      </w:tr>
      <w:tr>
        <w:trPr>
          <w:cantSplit/>
        </w:trPr>
        <w:tc>
          <w:tcPr>
            <w:tcW w:type="pct" w:w="17%"/>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Wizer Energy</w:t>
            </w:r>
          </w:p>
        </w:tc>
        <w:tc>
          <w:tcPr>
            <w:tcW w:type="pct" w:w="11%"/>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2013 / 150+</w:t>
            </w:r>
          </w:p>
        </w:tc>
        <w:tc>
          <w:tcPr>
            <w:tcW w:type="pct" w:w="11%"/>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18+</w:t>
            </w:r>
          </w:p>
        </w:tc>
        <w:tc>
          <w:tcPr>
            <w:tcW w:type="pct" w:w="16%"/>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PV, Battery, EV, BER</w:t>
            </w:r>
          </w:p>
        </w:tc>
        <w:tc>
          <w:tcPr>
            <w:tcW w:type="pct" w:w="12%"/>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€5,500–€8,000</w:t>
            </w:r>
          </w:p>
        </w:tc>
        <w:tc>
          <w:tcPr>
            <w:tcW w:type="pct" w:w="12%"/>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4.6 (850+)</w:t>
            </w:r>
          </w:p>
        </w:tc>
        <w:tc>
          <w:tcPr>
            <w:tcW w:type="pct" w:w="21%"/>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Commercial + residential, high quality</w:t>
            </w:r>
          </w:p>
        </w:tc>
      </w:tr>
      <w:tr>
        <w:trPr>
          <w:cantSplit/>
        </w:trPr>
        <w:tc>
          <w:tcPr>
            <w:tcW w:type="pct" w:w="100%"/>
            <w:gridSpan w:val="7"/>
            <w:tcBorders>
              <w:top w:val="single" w:color="D0D0D0" w:sz="1"/>
              <w:left w:val="none"/>
              <w:bottom w:val="none"/>
              <w:right w:val="none"/>
            </w:tcBorders>
          </w:tcPr>
          <w:p>
            <w:pPr>
              <w:spacing w:after="0" w:before="0"/>
            </w:pPr>
          </w:p>
        </w:tc>
      </w:tr>
      <w:tr>
        <w:trPr>
          <w:cantSplit/>
        </w:trPr>
        <w:tc>
          <w:tcPr>
            <w:tcW w:type="pct" w:w="17%"/>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NuSolas Energy</w:t>
            </w:r>
          </w:p>
        </w:tc>
        <w:tc>
          <w:tcPr>
            <w:tcW w:type="pct" w:w="11%"/>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2010 / 100+</w:t>
            </w:r>
          </w:p>
        </w:tc>
        <w:tc>
          <w:tcPr>
            <w:tcW w:type="pct" w:w="11%"/>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All 26</w:t>
            </w:r>
          </w:p>
        </w:tc>
        <w:tc>
          <w:tcPr>
            <w:tcW w:type="pct" w:w="16%"/>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PV, Battery</w:t>
            </w:r>
          </w:p>
        </w:tc>
        <w:tc>
          <w:tcPr>
            <w:tcW w:type="pct" w:w="12%"/>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€5,000–€7,200</w:t>
            </w:r>
          </w:p>
        </w:tc>
        <w:tc>
          <w:tcPr>
            <w:tcW w:type="pct" w:w="12%"/>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4.5 (700+)</w:t>
            </w:r>
          </w:p>
        </w:tc>
        <w:tc>
          <w:tcPr>
            <w:tcW w:type="pct" w:w="21%"/>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Value pricing, nationwide coverage</w:t>
            </w:r>
          </w:p>
        </w:tc>
      </w:tr>
      <w:tr>
        <w:trPr>
          <w:cantSplit/>
        </w:trPr>
        <w:tc>
          <w:tcPr>
            <w:tcW w:type="pct" w:w="100%"/>
            <w:gridSpan w:val="7"/>
            <w:tcBorders>
              <w:top w:val="single" w:color="D0D0D0" w:sz="1"/>
              <w:left w:val="none"/>
              <w:bottom w:val="none"/>
              <w:right w:val="none"/>
            </w:tcBorders>
          </w:tcPr>
          <w:p>
            <w:pPr>
              <w:spacing w:after="0" w:before="0"/>
            </w:pPr>
          </w:p>
        </w:tc>
      </w:tr>
      <w:tr>
        <w:trPr>
          <w:cantSplit/>
        </w:trPr>
        <w:tc>
          <w:tcPr>
            <w:tcW w:type="pct" w:w="17%"/>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KiloWatt Solar</w:t>
            </w:r>
          </w:p>
        </w:tc>
        <w:tc>
          <w:tcPr>
            <w:tcW w:type="pct" w:w="11%"/>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2015 / 80+</w:t>
            </w:r>
          </w:p>
        </w:tc>
        <w:tc>
          <w:tcPr>
            <w:tcW w:type="pct" w:w="11%"/>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15+</w:t>
            </w:r>
          </w:p>
        </w:tc>
        <w:tc>
          <w:tcPr>
            <w:tcW w:type="pct" w:w="16%"/>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PV, Battery, EV</w:t>
            </w:r>
          </w:p>
        </w:tc>
        <w:tc>
          <w:tcPr>
            <w:tcW w:type="pct" w:w="12%"/>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€5,200–€7,500</w:t>
            </w:r>
          </w:p>
        </w:tc>
        <w:tc>
          <w:tcPr>
            <w:tcW w:type="pct" w:w="12%"/>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4.4 (500+)</w:t>
            </w:r>
          </w:p>
        </w:tc>
        <w:tc>
          <w:tcPr>
            <w:tcW w:type="pct" w:w="21%"/>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Regional strength, personal service</w:t>
            </w:r>
          </w:p>
        </w:tc>
      </w:tr>
      <w:tr>
        <w:trPr>
          <w:cantSplit/>
        </w:trPr>
        <w:tc>
          <w:tcPr>
            <w:tcW w:type="pct" w:w="100%"/>
            <w:gridSpan w:val="7"/>
            <w:tcBorders>
              <w:top w:val="single" w:color="D0D0D0" w:sz="1"/>
              <w:left w:val="none"/>
              <w:bottom w:val="none"/>
              <w:right w:val="none"/>
            </w:tcBorders>
          </w:tcPr>
          <w:p>
            <w:pPr>
              <w:spacing w:after="0" w:before="0"/>
            </w:pPr>
          </w:p>
        </w:tc>
      </w:tr>
      <w:tr>
        <w:trPr>
          <w:cantSplit/>
        </w:trPr>
        <w:tc>
          <w:tcPr>
            <w:tcW w:type="pct" w:w="17%"/>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Alt. Energy Ireland</w:t>
            </w:r>
          </w:p>
        </w:tc>
        <w:tc>
          <w:tcPr>
            <w:tcW w:type="pct" w:w="11%"/>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2007 / 120+</w:t>
            </w:r>
          </w:p>
        </w:tc>
        <w:tc>
          <w:tcPr>
            <w:tcW w:type="pct" w:w="11%"/>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All 26</w:t>
            </w:r>
          </w:p>
        </w:tc>
        <w:tc>
          <w:tcPr>
            <w:tcW w:type="pct" w:w="16%"/>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PV, Battery, Heat Pump</w:t>
            </w:r>
          </w:p>
        </w:tc>
        <w:tc>
          <w:tcPr>
            <w:tcW w:type="pct" w:w="12%"/>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€5,800–€8,000</w:t>
            </w:r>
          </w:p>
        </w:tc>
        <w:tc>
          <w:tcPr>
            <w:tcW w:type="pct" w:w="12%"/>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4.3 (600+)</w:t>
            </w:r>
          </w:p>
        </w:tc>
        <w:tc>
          <w:tcPr>
            <w:tcW w:type="pct" w:w="21%"/>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Diverse renewables, heat pump expertise</w:t>
            </w:r>
          </w:p>
        </w:tc>
      </w:tr>
      <w:tr>
        <w:trPr>
          <w:cantSplit/>
        </w:trPr>
        <w:tc>
          <w:tcPr>
            <w:tcW w:type="pct" w:w="100%"/>
            <w:gridSpan w:val="7"/>
            <w:tcBorders>
              <w:top w:val="single" w:color="D0D0D0" w:sz="1"/>
              <w:left w:val="none"/>
              <w:bottom w:val="none"/>
              <w:right w:val="none"/>
            </w:tcBorders>
          </w:tcPr>
          <w:p>
            <w:pPr>
              <w:spacing w:after="0" w:before="0"/>
            </w:pPr>
          </w:p>
        </w:tc>
      </w:tr>
      <w:tr>
        <w:trPr>
          <w:cantSplit/>
        </w:trPr>
        <w:tc>
          <w:tcPr>
            <w:tcW w:type="pct" w:w="17%"/>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Glenergy</w:t>
            </w:r>
          </w:p>
        </w:tc>
        <w:tc>
          <w:tcPr>
            <w:tcW w:type="pct" w:w="11%"/>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2010 / 60+</w:t>
            </w:r>
          </w:p>
        </w:tc>
        <w:tc>
          <w:tcPr>
            <w:tcW w:type="pct" w:w="11%"/>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12+</w:t>
            </w:r>
          </w:p>
        </w:tc>
        <w:tc>
          <w:tcPr>
            <w:tcW w:type="pct" w:w="16%"/>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PV, Battery</w:t>
            </w:r>
          </w:p>
        </w:tc>
        <w:tc>
          <w:tcPr>
            <w:tcW w:type="pct" w:w="12%"/>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€4,800–€7,000</w:t>
            </w:r>
          </w:p>
        </w:tc>
        <w:tc>
          <w:tcPr>
            <w:tcW w:type="pct" w:w="12%"/>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4.4 (350+)</w:t>
            </w:r>
          </w:p>
        </w:tc>
        <w:tc>
          <w:tcPr>
            <w:tcW w:type="pct" w:w="21%"/>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Price leadership, rural focus</w:t>
            </w:r>
          </w:p>
        </w:tc>
      </w:tr>
      <w:tr>
        <w:trPr>
          <w:cantSplit/>
        </w:trPr>
        <w:tc>
          <w:tcPr>
            <w:tcW w:type="pct" w:w="100%"/>
            <w:gridSpan w:val="7"/>
            <w:tcBorders>
              <w:top w:val="single" w:color="D0D0D0" w:sz="1"/>
              <w:left w:val="none"/>
              <w:bottom w:val="none"/>
              <w:right w:val="none"/>
            </w:tcBorders>
          </w:tcPr>
          <w:p>
            <w:pPr>
              <w:spacing w:after="0" w:before="0"/>
            </w:pPr>
          </w:p>
        </w:tc>
      </w:tr>
      <w:tr>
        <w:trPr>
          <w:cantSplit/>
        </w:trPr>
        <w:tc>
          <w:tcPr>
            <w:tcW w:type="pct" w:w="17%"/>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PVL Solar</w:t>
            </w:r>
          </w:p>
        </w:tc>
        <w:tc>
          <w:tcPr>
            <w:tcW w:type="pct" w:w="11%"/>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2014 / 80+</w:t>
            </w:r>
          </w:p>
        </w:tc>
        <w:tc>
          <w:tcPr>
            <w:tcW w:type="pct" w:w="11%"/>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All 26</w:t>
            </w:r>
          </w:p>
        </w:tc>
        <w:tc>
          <w:tcPr>
            <w:tcW w:type="pct" w:w="16%"/>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PV, Battery, EV, BER</w:t>
            </w:r>
          </w:p>
        </w:tc>
        <w:tc>
          <w:tcPr>
            <w:tcW w:type="pct" w:w="12%"/>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€5,000–€7,200</w:t>
            </w:r>
          </w:p>
        </w:tc>
        <w:tc>
          <w:tcPr>
            <w:tcW w:type="pct" w:w="12%"/>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4.3 (450+)</w:t>
            </w:r>
          </w:p>
        </w:tc>
        <w:tc>
          <w:tcPr>
            <w:tcW w:type="pct" w:w="21%"/>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Competitive pricing, wide service range</w:t>
            </w:r>
          </w:p>
        </w:tc>
      </w:tr>
      <w:tr>
        <w:trPr>
          <w:cantSplit/>
        </w:trPr>
        <w:tc>
          <w:tcPr>
            <w:tcW w:type="pct" w:w="100%"/>
            <w:gridSpan w:val="7"/>
            <w:tcBorders>
              <w:top w:val="single" w:color="D0D0D0" w:sz="1"/>
              <w:left w:val="none"/>
              <w:bottom w:val="none"/>
              <w:right w:val="none"/>
            </w:tcBorders>
          </w:tcPr>
          <w:p>
            <w:pPr>
              <w:spacing w:after="0" w:before="0"/>
            </w:pPr>
          </w:p>
        </w:tc>
      </w:tr>
      <w:tr>
        <w:trPr>
          <w:cantSplit/>
        </w:trPr>
        <w:tc>
          <w:tcPr>
            <w:tcW w:type="pct" w:w="17%"/>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Power NSun</w:t>
            </w:r>
          </w:p>
        </w:tc>
        <w:tc>
          <w:tcPr>
            <w:tcW w:type="pct" w:w="11%"/>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2011 / 50+</w:t>
            </w:r>
          </w:p>
        </w:tc>
        <w:tc>
          <w:tcPr>
            <w:tcW w:type="pct" w:w="11%"/>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10+</w:t>
            </w:r>
          </w:p>
        </w:tc>
        <w:tc>
          <w:tcPr>
            <w:tcW w:type="pct" w:w="16%"/>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PV, Battery</w:t>
            </w:r>
          </w:p>
        </w:tc>
        <w:tc>
          <w:tcPr>
            <w:tcW w:type="pct" w:w="12%"/>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€4,500–€6,800</w:t>
            </w:r>
          </w:p>
        </w:tc>
        <w:tc>
          <w:tcPr>
            <w:tcW w:type="pct" w:w="12%"/>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4.2 (280+)</w:t>
            </w:r>
          </w:p>
        </w:tc>
        <w:tc>
          <w:tcPr>
            <w:tcW w:type="pct" w:w="21%"/>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Budget pricing, west Ireland focus</w:t>
            </w:r>
          </w:p>
        </w:tc>
      </w:tr>
      <w:tr>
        <w:trPr>
          <w:cantSplit/>
        </w:trPr>
        <w:tc>
          <w:tcPr>
            <w:tcW w:type="pct" w:w="100%"/>
            <w:gridSpan w:val="7"/>
            <w:tcBorders>
              <w:top w:val="single" w:color="D0D0D0" w:sz="1"/>
              <w:left w:val="none"/>
              <w:bottom w:val="none"/>
              <w:right w:val="none"/>
            </w:tcBorders>
          </w:tcPr>
          <w:p>
            <w:pPr>
              <w:spacing w:after="0" w:before="0"/>
            </w:pPr>
          </w:p>
        </w:tc>
      </w:tr>
      <w:tr>
        <w:trPr>
          <w:cantSplit/>
        </w:trPr>
        <w:tc>
          <w:tcPr>
            <w:tcW w:type="pct" w:w="17%"/>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Heat Merchants Solar</w:t>
            </w:r>
          </w:p>
        </w:tc>
        <w:tc>
          <w:tcPr>
            <w:tcW w:type="pct" w:w="11%"/>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2018 / 200+</w:t>
            </w:r>
          </w:p>
        </w:tc>
        <w:tc>
          <w:tcPr>
            <w:tcW w:type="pct" w:w="11%"/>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All 26</w:t>
            </w:r>
          </w:p>
        </w:tc>
        <w:tc>
          <w:tcPr>
            <w:tcW w:type="pct" w:w="16%"/>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PV, Battery, Heat Pump</w:t>
            </w:r>
          </w:p>
        </w:tc>
        <w:tc>
          <w:tcPr>
            <w:tcW w:type="pct" w:w="12%"/>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€5,500–€7,800</w:t>
            </w:r>
          </w:p>
        </w:tc>
        <w:tc>
          <w:tcPr>
            <w:tcW w:type="pct" w:w="12%"/>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4.1 (600+)</w:t>
            </w:r>
          </w:p>
        </w:tc>
        <w:tc>
          <w:tcPr>
            <w:tcW w:type="pct" w:w="21%"/>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Retrofit expertise, Grafton Group backing</w:t>
            </w:r>
          </w:p>
        </w:tc>
      </w:tr>
      <w:tr>
        <w:trPr>
          <w:cantSplit/>
        </w:trPr>
        <w:tc>
          <w:tcPr>
            <w:tcW w:type="pct" w:w="100%"/>
            <w:gridSpan w:val="7"/>
            <w:tcBorders>
              <w:top w:val="single" w:color="D0D0D0" w:sz="1"/>
              <w:left w:val="none"/>
              <w:bottom w:val="none"/>
              <w:right w:val="none"/>
            </w:tcBorders>
          </w:tcPr>
          <w:p>
            <w:pPr>
              <w:spacing w:after="0" w:before="0"/>
            </w:pPr>
          </w:p>
        </w:tc>
      </w:tr>
      <w:tr>
        <w:trPr>
          <w:cantSplit/>
        </w:trPr>
        <w:tc>
          <w:tcPr>
            <w:tcW w:type="pct" w:w="17%"/>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Smart Energy Ireland</w:t>
            </w:r>
          </w:p>
        </w:tc>
        <w:tc>
          <w:tcPr>
            <w:tcW w:type="pct" w:w="11%"/>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2012 / 70+</w:t>
            </w:r>
          </w:p>
        </w:tc>
        <w:tc>
          <w:tcPr>
            <w:tcW w:type="pct" w:w="11%"/>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15+</w:t>
            </w:r>
          </w:p>
        </w:tc>
        <w:tc>
          <w:tcPr>
            <w:tcW w:type="pct" w:w="16%"/>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PV, Battery, EV</w:t>
            </w:r>
          </w:p>
        </w:tc>
        <w:tc>
          <w:tcPr>
            <w:tcW w:type="pct" w:w="12%"/>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€5,200–€7,500</w:t>
            </w:r>
          </w:p>
        </w:tc>
        <w:tc>
          <w:tcPr>
            <w:tcW w:type="pct" w:w="12%"/>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4.3 (400+)</w:t>
            </w:r>
          </w:p>
        </w:tc>
        <w:tc>
          <w:tcPr>
            <w:tcW w:type="pct" w:w="21%"/>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Customer service, energy monitoring</w:t>
            </w:r>
          </w:p>
        </w:tc>
      </w:tr>
      <w:tr>
        <w:trPr>
          <w:cantSplit/>
        </w:trPr>
        <w:tc>
          <w:tcPr>
            <w:tcW w:type="pct" w:w="100%"/>
            <w:gridSpan w:val="7"/>
            <w:tcBorders>
              <w:top w:val="single" w:color="D0D0D0" w:sz="1"/>
              <w:left w:val="none"/>
              <w:bottom w:val="none"/>
              <w:right w:val="none"/>
            </w:tcBorders>
          </w:tcPr>
          <w:p>
            <w:pPr>
              <w:spacing w:after="0" w:before="0"/>
            </w:pPr>
          </w:p>
        </w:tc>
      </w:tr>
      <w:tr>
        <w:trPr>
          <w:cantSplit/>
        </w:trPr>
        <w:tc>
          <w:tcPr>
            <w:tcW w:type="pct" w:w="17%"/>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Solar Ireland</w:t>
            </w:r>
          </w:p>
        </w:tc>
        <w:tc>
          <w:tcPr>
            <w:tcW w:type="pct" w:w="11%"/>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2024 / Startup</w:t>
            </w:r>
          </w:p>
        </w:tc>
        <w:tc>
          <w:tcPr>
            <w:tcW w:type="pct" w:w="11%"/>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All 32</w:t>
            </w:r>
          </w:p>
        </w:tc>
        <w:tc>
          <w:tcPr>
            <w:tcW w:type="pct" w:w="16%"/>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PV, Battery, EV, BER</w:t>
            </w:r>
          </w:p>
        </w:tc>
        <w:tc>
          <w:tcPr>
            <w:tcW w:type="pct" w:w="12%"/>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€4,500–€9,500</w:t>
            </w:r>
          </w:p>
        </w:tc>
        <w:tc>
          <w:tcPr>
            <w:tcW w:type="pct" w:w="12%"/>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N/A (New)</w:t>
            </w:r>
          </w:p>
        </w:tc>
        <w:tc>
          <w:tcPr>
            <w:tcW w:type="pct" w:w="21%"/>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AI calculator, customer portal, 32-county</w:t>
            </w:r>
          </w:p>
        </w:tc>
      </w:tr>
      <w:tr>
        <w:trPr>
          <w:cantSplit/>
        </w:trPr>
        <w:tc>
          <w:tcPr>
            <w:tcW w:type="pct" w:w="100%"/>
            <w:gridSpan w:val="7"/>
            <w:tcBorders>
              <w:top w:val="single" w:color="D0D0D0" w:sz="1"/>
              <w:left w:val="none"/>
              <w:bottom w:val="none"/>
              <w:right w:val="none"/>
            </w:tcBorders>
          </w:tcPr>
          <w:p>
            <w:pPr>
              <w:spacing w:after="0" w:before="0"/>
            </w:pPr>
          </w:p>
        </w:tc>
      </w:tr>
    </w:tbl>
    <w:p>
      <w:pPr>
        <w:spacing w:after="80" w:line="312"/>
        <w:ind w:firstLine="480"/>
        <w:jc w:val="both"/>
      </w:pPr>
      <w:r>
        <w:rPr>
          <w:rFonts w:ascii="Times New Roman"/>
          <w:color w:val="000000"/>
          <w:sz w:val="24"/>
          <w:szCs w:val="24"/>
        </w:rPr>
        <w:t xml:space="preserve">The competitive analysis reveals several important patterns. Electric Ireland, as a subsidiary of the Electricity Supply Board (ESB), benefits from unparalleled brand recognition and the ability to offer bundled energy supply deals. Pinergy leverages its position as a licensed energy supplier to integrate solar installations with green electricity supply contracts. Activ8 Solar Energies has established the strongest reputation through longevity, a comprehensive service range that includes heat pumps, and consistently high customer review ratings.</w:t>
      </w:r>
    </w:p>
    <w:p>
      <w:pPr>
        <w:spacing w:after="80" w:line="312"/>
        <w:ind w:firstLine="480"/>
        <w:jc w:val="both"/>
      </w:pPr>
      <w:r>
        <w:rPr>
          <w:rFonts w:ascii="Times New Roman"/>
          <w:color w:val="000000"/>
          <w:sz w:val="24"/>
          <w:szCs w:val="24"/>
        </w:rPr>
        <w:t xml:space="preserve">Solar Ireland’s key competitive distinction lies in its digital-first approach. The customer portal with eleven-step installation tracking is unique in the Irish market, as is the AI-powered solar calculator. These digital tools address a well-documented pain point in the industry: the lack of transparency and communication during the installation process. However, Solar Ireland’s lack of an established review base is a significant competitive disadvantage in a market where consumers rely heavily on peer reviews and social proof to select installers.</w:t>
      </w:r>
    </w:p>
    <w:p>
      <w:pPr>
        <w:pStyle w:val="Heading1"/>
        <w:spacing w:after="160" w:before="360" w:line="312"/>
      </w:pPr>
      <w:bookmarkStart w:id="100006" w:name="_Toc100006"/>
      <w:r>
        <w:rPr>
          <w:rFonts w:ascii="Times New Roman"/>
          <w:b/>
          <w:bCs/>
          <w:color w:val="0C3B2E"/>
          <w:sz w:val="32"/>
          <w:szCs w:val="32"/>
        </w:rPr>
        <w:t xml:space="preserve">4. Service Offering Comparison</w:t>
      </w:r>
      <w:bookmarkEnd w:id="100006"/>
    </w:p>
    <w:p>
      <w:pPr>
        <w:spacing w:after="80" w:line="312"/>
        <w:ind w:firstLine="480"/>
        <w:jc w:val="both"/>
      </w:pPr>
      <w:r>
        <w:rPr>
          <w:rFonts w:ascii="Times New Roman"/>
          <w:color w:val="000000"/>
          <w:sz w:val="24"/>
          <w:szCs w:val="24"/>
        </w:rPr>
        <w:t xml:space="preserve">The range of services offered by solar installers has expanded significantly in recent years, moving beyond basic PV panel installation to encompass integrated renewable energy solutions. This section compares Solar Ireland’s service catalogue against the market, identifying both coverage strengths and gaps that require attention.</w:t>
      </w:r>
    </w:p>
    <w:p>
      <w:pPr>
        <w:spacing w:after="200" w:before="120"/>
        <w:jc w:val="center"/>
      </w:pPr>
      <w:r>
        <w:rPr>
          <w:rFonts w:ascii="Times New Roman"/>
          <w:i/>
          <w:iCs/>
          <w:color w:val="5A7A6A"/>
          <w:sz w:val="21"/>
          <w:szCs w:val="21"/>
        </w:rPr>
        <w:t xml:space="preserve">Table 2: Service Matrix — Service Offering by Competitor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tblGrid>
      <w:tr>
        <w:trPr>
          <w:cantSplit/>
          <w:tblHeader/>
        </w:trPr>
        <w:tc>
          <w:tcPr>
            <w:tcW w:type="pct" w:w="20%"/>
            <w:tcBorders>
              <w:top w:val="single" w:color="2A7A65" w:sz="2"/>
              <w:left w:val="none"/>
              <w:bottom w:val="single" w:color="2A7A65" w:sz="2"/>
              <w:right w:val="none"/>
            </w:tcBorders>
            <w:shd w:fill="2A7A65" w:val="clear"/>
            <w:tcMar>
              <w:top w:type="dxa" w:w="50"/>
              <w:left w:type="dxa" w:w="80"/>
              <w:bottom w:type="dxa" w:w="50"/>
              <w:right w:type="dxa" w:w="80"/>
            </w:tcMar>
          </w:tcPr>
          <w:p>
            <w:r>
              <w:rPr>
                <w:rFonts w:ascii="Calibri"/>
                <w:b/>
                <w:bCs/>
                <w:color w:val="FFFFFF"/>
                <w:sz w:val="18"/>
                <w:szCs w:val="18"/>
              </w:rPr>
              <w:t xml:space="preserve">Service</w:t>
            </w:r>
          </w:p>
        </w:tc>
        <w:tc>
          <w:tcPr>
            <w:tcW w:type="pct" w:w="13%"/>
            <w:tcBorders>
              <w:top w:val="single" w:color="2A7A65" w:sz="2"/>
              <w:left w:val="none"/>
              <w:bottom w:val="single" w:color="2A7A65" w:sz="2"/>
              <w:right w:val="none"/>
            </w:tcBorders>
            <w:shd w:fill="2A7A65" w:val="clear"/>
            <w:tcMar>
              <w:top w:type="dxa" w:w="50"/>
              <w:left w:type="dxa" w:w="80"/>
              <w:bottom w:type="dxa" w:w="50"/>
              <w:right w:type="dxa" w:w="80"/>
            </w:tcMar>
          </w:tcPr>
          <w:p>
            <w:r>
              <w:rPr>
                <w:rFonts w:ascii="Calibri"/>
                <w:b/>
                <w:bCs/>
                <w:color w:val="FFFFFF"/>
                <w:sz w:val="18"/>
                <w:szCs w:val="18"/>
              </w:rPr>
              <w:t xml:space="preserve">Solar Ireland</w:t>
            </w:r>
          </w:p>
        </w:tc>
        <w:tc>
          <w:tcPr>
            <w:tcW w:type="pct" w:w="14%"/>
            <w:tcBorders>
              <w:top w:val="single" w:color="2A7A65" w:sz="2"/>
              <w:left w:val="none"/>
              <w:bottom w:val="single" w:color="2A7A65" w:sz="2"/>
              <w:right w:val="none"/>
            </w:tcBorders>
            <w:shd w:fill="2A7A65" w:val="clear"/>
            <w:tcMar>
              <w:top w:type="dxa" w:w="50"/>
              <w:left w:type="dxa" w:w="80"/>
              <w:bottom w:type="dxa" w:w="50"/>
              <w:right w:type="dxa" w:w="80"/>
            </w:tcMar>
          </w:tcPr>
          <w:p>
            <w:r>
              <w:rPr>
                <w:rFonts w:ascii="Calibri"/>
                <w:b/>
                <w:bCs/>
                <w:color w:val="FFFFFF"/>
                <w:sz w:val="18"/>
                <w:szCs w:val="18"/>
              </w:rPr>
              <w:t xml:space="preserve">Electric Ireland</w:t>
            </w:r>
          </w:p>
        </w:tc>
        <w:tc>
          <w:tcPr>
            <w:tcW w:type="pct" w:w="12%"/>
            <w:tcBorders>
              <w:top w:val="single" w:color="2A7A65" w:sz="2"/>
              <w:left w:val="none"/>
              <w:bottom w:val="single" w:color="2A7A65" w:sz="2"/>
              <w:right w:val="none"/>
            </w:tcBorders>
            <w:shd w:fill="2A7A65" w:val="clear"/>
            <w:tcMar>
              <w:top w:type="dxa" w:w="50"/>
              <w:left w:type="dxa" w:w="80"/>
              <w:bottom w:type="dxa" w:w="50"/>
              <w:right w:type="dxa" w:w="80"/>
            </w:tcMar>
          </w:tcPr>
          <w:p>
            <w:r>
              <w:rPr>
                <w:rFonts w:ascii="Calibri"/>
                <w:b/>
                <w:bCs/>
                <w:color w:val="FFFFFF"/>
                <w:sz w:val="18"/>
                <w:szCs w:val="18"/>
              </w:rPr>
              <w:t xml:space="preserve">Activ8</w:t>
            </w:r>
          </w:p>
        </w:tc>
        <w:tc>
          <w:tcPr>
            <w:tcW w:type="pct" w:w="13%"/>
            <w:tcBorders>
              <w:top w:val="single" w:color="2A7A65" w:sz="2"/>
              <w:left w:val="none"/>
              <w:bottom w:val="single" w:color="2A7A65" w:sz="2"/>
              <w:right w:val="none"/>
            </w:tcBorders>
            <w:shd w:fill="2A7A65" w:val="clear"/>
            <w:tcMar>
              <w:top w:type="dxa" w:w="50"/>
              <w:left w:type="dxa" w:w="80"/>
              <w:bottom w:type="dxa" w:w="50"/>
              <w:right w:type="dxa" w:w="80"/>
            </w:tcMar>
          </w:tcPr>
          <w:p>
            <w:r>
              <w:rPr>
                <w:rFonts w:ascii="Calibri"/>
                <w:b/>
                <w:bCs/>
                <w:color w:val="FFFFFF"/>
                <w:sz w:val="18"/>
                <w:szCs w:val="18"/>
              </w:rPr>
              <w:t xml:space="preserve">Solar Electric</w:t>
            </w:r>
          </w:p>
        </w:tc>
        <w:tc>
          <w:tcPr>
            <w:tcW w:type="pct" w:w="14%"/>
            <w:tcBorders>
              <w:top w:val="single" w:color="2A7A65" w:sz="2"/>
              <w:left w:val="none"/>
              <w:bottom w:val="single" w:color="2A7A65" w:sz="2"/>
              <w:right w:val="none"/>
            </w:tcBorders>
            <w:shd w:fill="2A7A65" w:val="clear"/>
            <w:tcMar>
              <w:top w:type="dxa" w:w="50"/>
              <w:left w:type="dxa" w:w="80"/>
              <w:bottom w:type="dxa" w:w="50"/>
              <w:right w:type="dxa" w:w="80"/>
            </w:tcMar>
          </w:tcPr>
          <w:p>
            <w:r>
              <w:rPr>
                <w:rFonts w:ascii="Calibri"/>
                <w:b/>
                <w:bCs/>
                <w:color w:val="FFFFFF"/>
                <w:sz w:val="18"/>
                <w:szCs w:val="18"/>
              </w:rPr>
              <w:t xml:space="preserve">EcoPlex</w:t>
            </w:r>
          </w:p>
        </w:tc>
        <w:tc>
          <w:tcPr>
            <w:tcW w:type="pct" w:w="14%"/>
            <w:tcBorders>
              <w:top w:val="single" w:color="2A7A65" w:sz="2"/>
              <w:left w:val="none"/>
              <w:bottom w:val="single" w:color="2A7A65" w:sz="2"/>
              <w:right w:val="none"/>
            </w:tcBorders>
            <w:shd w:fill="2A7A65" w:val="clear"/>
            <w:tcMar>
              <w:top w:type="dxa" w:w="50"/>
              <w:left w:type="dxa" w:w="80"/>
              <w:bottom w:type="dxa" w:w="50"/>
              <w:right w:type="dxa" w:w="80"/>
            </w:tcMar>
          </w:tcPr>
          <w:p>
            <w:r>
              <w:rPr>
                <w:rFonts w:ascii="Calibri"/>
                <w:b/>
                <w:bCs/>
                <w:color w:val="FFFFFF"/>
                <w:sz w:val="18"/>
                <w:szCs w:val="18"/>
              </w:rPr>
              <w:t xml:space="preserve">Heat Merchants</w:t>
            </w:r>
          </w:p>
        </w:tc>
      </w:tr>
      <w:tr>
        <w:trPr>
          <w:cantSplit/>
        </w:trPr>
        <w:tc>
          <w:tcPr>
            <w:tcW w:type="pct" w:w="20%"/>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Solar PV (4–10kWp)</w:t>
            </w:r>
          </w:p>
        </w:tc>
        <w:tc>
          <w:tcPr>
            <w:tcW w:type="pct" w:w="13%"/>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Yes</w:t>
            </w:r>
          </w:p>
        </w:tc>
        <w:tc>
          <w:tcPr>
            <w:tcW w:type="pct" w:w="14%"/>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Yes</w:t>
            </w:r>
          </w:p>
        </w:tc>
        <w:tc>
          <w:tcPr>
            <w:tcW w:type="pct" w:w="12%"/>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Yes</w:t>
            </w:r>
          </w:p>
        </w:tc>
        <w:tc>
          <w:tcPr>
            <w:tcW w:type="pct" w:w="13%"/>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Yes</w:t>
            </w:r>
          </w:p>
        </w:tc>
        <w:tc>
          <w:tcPr>
            <w:tcW w:type="pct" w:w="14%"/>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Yes</w:t>
            </w:r>
          </w:p>
        </w:tc>
        <w:tc>
          <w:tcPr>
            <w:tcW w:type="pct" w:w="14%"/>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Yes</w:t>
            </w:r>
          </w:p>
        </w:tc>
      </w:tr>
      <w:tr>
        <w:trPr>
          <w:cantSplit/>
        </w:trPr>
        <w:tc>
          <w:tcPr>
            <w:tcW w:type="pct" w:w="100%"/>
            <w:gridSpan w:val="7"/>
            <w:tcBorders>
              <w:top w:val="single" w:color="D0D0D0" w:sz="1"/>
              <w:left w:val="none"/>
              <w:bottom w:val="none"/>
              <w:right w:val="none"/>
            </w:tcBorders>
          </w:tcPr>
          <w:p>
            <w:pPr>
              <w:spacing w:after="0" w:before="0"/>
            </w:pPr>
          </w:p>
        </w:tc>
      </w:tr>
      <w:tr>
        <w:trPr>
          <w:cantSplit/>
        </w:trPr>
        <w:tc>
          <w:tcPr>
            <w:tcW w:type="pct" w:w="20%"/>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Battery Storage</w:t>
            </w:r>
          </w:p>
        </w:tc>
        <w:tc>
          <w:tcPr>
            <w:tcW w:type="pct" w:w="13%"/>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Yes</w:t>
            </w:r>
          </w:p>
        </w:tc>
        <w:tc>
          <w:tcPr>
            <w:tcW w:type="pct" w:w="14%"/>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Yes</w:t>
            </w:r>
          </w:p>
        </w:tc>
        <w:tc>
          <w:tcPr>
            <w:tcW w:type="pct" w:w="12%"/>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Yes</w:t>
            </w:r>
          </w:p>
        </w:tc>
        <w:tc>
          <w:tcPr>
            <w:tcW w:type="pct" w:w="13%"/>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Yes</w:t>
            </w:r>
          </w:p>
        </w:tc>
        <w:tc>
          <w:tcPr>
            <w:tcW w:type="pct" w:w="14%"/>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Yes</w:t>
            </w:r>
          </w:p>
        </w:tc>
        <w:tc>
          <w:tcPr>
            <w:tcW w:type="pct" w:w="14%"/>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Yes</w:t>
            </w:r>
          </w:p>
        </w:tc>
      </w:tr>
      <w:tr>
        <w:trPr>
          <w:cantSplit/>
        </w:trPr>
        <w:tc>
          <w:tcPr>
            <w:tcW w:type="pct" w:w="100%"/>
            <w:gridSpan w:val="7"/>
            <w:tcBorders>
              <w:top w:val="single" w:color="D0D0D0" w:sz="1"/>
              <w:left w:val="none"/>
              <w:bottom w:val="none"/>
              <w:right w:val="none"/>
            </w:tcBorders>
          </w:tcPr>
          <w:p>
            <w:pPr>
              <w:spacing w:after="0" w:before="0"/>
            </w:pPr>
          </w:p>
        </w:tc>
      </w:tr>
      <w:tr>
        <w:trPr>
          <w:cantSplit/>
        </w:trPr>
        <w:tc>
          <w:tcPr>
            <w:tcW w:type="pct" w:w="20%"/>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EV Charger Install</w:t>
            </w:r>
          </w:p>
        </w:tc>
        <w:tc>
          <w:tcPr>
            <w:tcW w:type="pct" w:w="13%"/>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Yes</w:t>
            </w:r>
          </w:p>
        </w:tc>
        <w:tc>
          <w:tcPr>
            <w:tcW w:type="pct" w:w="14%"/>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Yes</w:t>
            </w:r>
          </w:p>
        </w:tc>
        <w:tc>
          <w:tcPr>
            <w:tcW w:type="pct" w:w="12%"/>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Yes</w:t>
            </w:r>
          </w:p>
        </w:tc>
        <w:tc>
          <w:tcPr>
            <w:tcW w:type="pct" w:w="13%"/>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Yes</w:t>
            </w:r>
          </w:p>
        </w:tc>
        <w:tc>
          <w:tcPr>
            <w:tcW w:type="pct" w:w="14%"/>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Yes</w:t>
            </w:r>
          </w:p>
        </w:tc>
        <w:tc>
          <w:tcPr>
            <w:tcW w:type="pct" w:w="14%"/>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Limited</w:t>
            </w:r>
          </w:p>
        </w:tc>
      </w:tr>
      <w:tr>
        <w:trPr>
          <w:cantSplit/>
        </w:trPr>
        <w:tc>
          <w:tcPr>
            <w:tcW w:type="pct" w:w="100%"/>
            <w:gridSpan w:val="7"/>
            <w:tcBorders>
              <w:top w:val="single" w:color="D0D0D0" w:sz="1"/>
              <w:left w:val="none"/>
              <w:bottom w:val="none"/>
              <w:right w:val="none"/>
            </w:tcBorders>
          </w:tcPr>
          <w:p>
            <w:pPr>
              <w:spacing w:after="0" w:before="0"/>
            </w:pPr>
          </w:p>
        </w:tc>
      </w:tr>
      <w:tr>
        <w:trPr>
          <w:cantSplit/>
        </w:trPr>
        <w:tc>
          <w:tcPr>
            <w:tcW w:type="pct" w:w="20%"/>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SEAI Grant Assistance</w:t>
            </w:r>
          </w:p>
        </w:tc>
        <w:tc>
          <w:tcPr>
            <w:tcW w:type="pct" w:w="13%"/>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Yes</w:t>
            </w:r>
          </w:p>
        </w:tc>
        <w:tc>
          <w:tcPr>
            <w:tcW w:type="pct" w:w="14%"/>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Yes</w:t>
            </w:r>
          </w:p>
        </w:tc>
        <w:tc>
          <w:tcPr>
            <w:tcW w:type="pct" w:w="12%"/>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Yes</w:t>
            </w:r>
          </w:p>
        </w:tc>
        <w:tc>
          <w:tcPr>
            <w:tcW w:type="pct" w:w="13%"/>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Yes</w:t>
            </w:r>
          </w:p>
        </w:tc>
        <w:tc>
          <w:tcPr>
            <w:tcW w:type="pct" w:w="14%"/>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Yes</w:t>
            </w:r>
          </w:p>
        </w:tc>
        <w:tc>
          <w:tcPr>
            <w:tcW w:type="pct" w:w="14%"/>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Yes</w:t>
            </w:r>
          </w:p>
        </w:tc>
      </w:tr>
      <w:tr>
        <w:trPr>
          <w:cantSplit/>
        </w:trPr>
        <w:tc>
          <w:tcPr>
            <w:tcW w:type="pct" w:w="100%"/>
            <w:gridSpan w:val="7"/>
            <w:tcBorders>
              <w:top w:val="single" w:color="D0D0D0" w:sz="1"/>
              <w:left w:val="none"/>
              <w:bottom w:val="none"/>
              <w:right w:val="none"/>
            </w:tcBorders>
          </w:tcPr>
          <w:p>
            <w:pPr>
              <w:spacing w:after="0" w:before="0"/>
            </w:pPr>
          </w:p>
        </w:tc>
      </w:tr>
      <w:tr>
        <w:trPr>
          <w:cantSplit/>
        </w:trPr>
        <w:tc>
          <w:tcPr>
            <w:tcW w:type="pct" w:w="20%"/>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BER Assessments</w:t>
            </w:r>
          </w:p>
        </w:tc>
        <w:tc>
          <w:tcPr>
            <w:tcW w:type="pct" w:w="13%"/>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Yes</w:t>
            </w:r>
          </w:p>
        </w:tc>
        <w:tc>
          <w:tcPr>
            <w:tcW w:type="pct" w:w="14%"/>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Yes</w:t>
            </w:r>
          </w:p>
        </w:tc>
        <w:tc>
          <w:tcPr>
            <w:tcW w:type="pct" w:w="12%"/>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No</w:t>
            </w:r>
          </w:p>
        </w:tc>
        <w:tc>
          <w:tcPr>
            <w:tcW w:type="pct" w:w="13%"/>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Yes</w:t>
            </w:r>
          </w:p>
        </w:tc>
        <w:tc>
          <w:tcPr>
            <w:tcW w:type="pct" w:w="14%"/>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No</w:t>
            </w:r>
          </w:p>
        </w:tc>
        <w:tc>
          <w:tcPr>
            <w:tcW w:type="pct" w:w="14%"/>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No</w:t>
            </w:r>
          </w:p>
        </w:tc>
      </w:tr>
      <w:tr>
        <w:trPr>
          <w:cantSplit/>
        </w:trPr>
        <w:tc>
          <w:tcPr>
            <w:tcW w:type="pct" w:w="100%"/>
            <w:gridSpan w:val="7"/>
            <w:tcBorders>
              <w:top w:val="single" w:color="D0D0D0" w:sz="1"/>
              <w:left w:val="none"/>
              <w:bottom w:val="none"/>
              <w:right w:val="none"/>
            </w:tcBorders>
          </w:tcPr>
          <w:p>
            <w:pPr>
              <w:spacing w:after="0" w:before="0"/>
            </w:pPr>
          </w:p>
        </w:tc>
      </w:tr>
      <w:tr>
        <w:trPr>
          <w:cantSplit/>
        </w:trPr>
        <w:tc>
          <w:tcPr>
            <w:tcW w:type="pct" w:w="20%"/>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Free Site Survey</w:t>
            </w:r>
          </w:p>
        </w:tc>
        <w:tc>
          <w:tcPr>
            <w:tcW w:type="pct" w:w="13%"/>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Yes</w:t>
            </w:r>
          </w:p>
        </w:tc>
        <w:tc>
          <w:tcPr>
            <w:tcW w:type="pct" w:w="14%"/>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Yes</w:t>
            </w:r>
          </w:p>
        </w:tc>
        <w:tc>
          <w:tcPr>
            <w:tcW w:type="pct" w:w="12%"/>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Yes</w:t>
            </w:r>
          </w:p>
        </w:tc>
        <w:tc>
          <w:tcPr>
            <w:tcW w:type="pct" w:w="13%"/>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Yes</w:t>
            </w:r>
          </w:p>
        </w:tc>
        <w:tc>
          <w:tcPr>
            <w:tcW w:type="pct" w:w="14%"/>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Yes</w:t>
            </w:r>
          </w:p>
        </w:tc>
        <w:tc>
          <w:tcPr>
            <w:tcW w:type="pct" w:w="14%"/>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Yes</w:t>
            </w:r>
          </w:p>
        </w:tc>
      </w:tr>
      <w:tr>
        <w:trPr>
          <w:cantSplit/>
        </w:trPr>
        <w:tc>
          <w:tcPr>
            <w:tcW w:type="pct" w:w="100%"/>
            <w:gridSpan w:val="7"/>
            <w:tcBorders>
              <w:top w:val="single" w:color="D0D0D0" w:sz="1"/>
              <w:left w:val="none"/>
              <w:bottom w:val="none"/>
              <w:right w:val="none"/>
            </w:tcBorders>
          </w:tcPr>
          <w:p>
            <w:pPr>
              <w:spacing w:after="0" w:before="0"/>
            </w:pPr>
          </w:p>
        </w:tc>
      </w:tr>
      <w:tr>
        <w:trPr>
          <w:cantSplit/>
        </w:trPr>
        <w:tc>
          <w:tcPr>
            <w:tcW w:type="pct" w:w="20%"/>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System Monitoring</w:t>
            </w:r>
          </w:p>
        </w:tc>
        <w:tc>
          <w:tcPr>
            <w:tcW w:type="pct" w:w="13%"/>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Yes (Portal)</w:t>
            </w:r>
          </w:p>
        </w:tc>
        <w:tc>
          <w:tcPr>
            <w:tcW w:type="pct" w:w="14%"/>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Yes</w:t>
            </w:r>
          </w:p>
        </w:tc>
        <w:tc>
          <w:tcPr>
            <w:tcW w:type="pct" w:w="12%"/>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Limited</w:t>
            </w:r>
          </w:p>
        </w:tc>
        <w:tc>
          <w:tcPr>
            <w:tcW w:type="pct" w:w="13%"/>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Yes</w:t>
            </w:r>
          </w:p>
        </w:tc>
        <w:tc>
          <w:tcPr>
            <w:tcW w:type="pct" w:w="14%"/>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Yes</w:t>
            </w:r>
          </w:p>
        </w:tc>
        <w:tc>
          <w:tcPr>
            <w:tcW w:type="pct" w:w="14%"/>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Limited</w:t>
            </w:r>
          </w:p>
        </w:tc>
      </w:tr>
      <w:tr>
        <w:trPr>
          <w:cantSplit/>
        </w:trPr>
        <w:tc>
          <w:tcPr>
            <w:tcW w:type="pct" w:w="100%"/>
            <w:gridSpan w:val="7"/>
            <w:tcBorders>
              <w:top w:val="single" w:color="D0D0D0" w:sz="1"/>
              <w:left w:val="none"/>
              <w:bottom w:val="none"/>
              <w:right w:val="none"/>
            </w:tcBorders>
          </w:tcPr>
          <w:p>
            <w:pPr>
              <w:spacing w:after="0" w:before="0"/>
            </w:pPr>
          </w:p>
        </w:tc>
      </w:tr>
      <w:tr>
        <w:trPr>
          <w:cantSplit/>
        </w:trPr>
        <w:tc>
          <w:tcPr>
            <w:tcW w:type="pct" w:w="20%"/>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Maintenance Packages</w:t>
            </w:r>
          </w:p>
        </w:tc>
        <w:tc>
          <w:tcPr>
            <w:tcW w:type="pct" w:w="13%"/>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No</w:t>
            </w:r>
          </w:p>
        </w:tc>
        <w:tc>
          <w:tcPr>
            <w:tcW w:type="pct" w:w="14%"/>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Yes</w:t>
            </w:r>
          </w:p>
        </w:tc>
        <w:tc>
          <w:tcPr>
            <w:tcW w:type="pct" w:w="12%"/>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Yes</w:t>
            </w:r>
          </w:p>
        </w:tc>
        <w:tc>
          <w:tcPr>
            <w:tcW w:type="pct" w:w="13%"/>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Yes</w:t>
            </w:r>
          </w:p>
        </w:tc>
        <w:tc>
          <w:tcPr>
            <w:tcW w:type="pct" w:w="14%"/>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Yes</w:t>
            </w:r>
          </w:p>
        </w:tc>
        <w:tc>
          <w:tcPr>
            <w:tcW w:type="pct" w:w="14%"/>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Yes</w:t>
            </w:r>
          </w:p>
        </w:tc>
      </w:tr>
      <w:tr>
        <w:trPr>
          <w:cantSplit/>
        </w:trPr>
        <w:tc>
          <w:tcPr>
            <w:tcW w:type="pct" w:w="100%"/>
            <w:gridSpan w:val="7"/>
            <w:tcBorders>
              <w:top w:val="single" w:color="D0D0D0" w:sz="1"/>
              <w:left w:val="none"/>
              <w:bottom w:val="none"/>
              <w:right w:val="none"/>
            </w:tcBorders>
          </w:tcPr>
          <w:p>
            <w:pPr>
              <w:spacing w:after="0" w:before="0"/>
            </w:pPr>
          </w:p>
        </w:tc>
      </w:tr>
      <w:tr>
        <w:trPr>
          <w:cantSplit/>
        </w:trPr>
        <w:tc>
          <w:tcPr>
            <w:tcW w:type="pct" w:w="20%"/>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Heat Pumps</w:t>
            </w:r>
          </w:p>
        </w:tc>
        <w:tc>
          <w:tcPr>
            <w:tcW w:type="pct" w:w="13%"/>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No</w:t>
            </w:r>
          </w:p>
        </w:tc>
        <w:tc>
          <w:tcPr>
            <w:tcW w:type="pct" w:w="14%"/>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No</w:t>
            </w:r>
          </w:p>
        </w:tc>
        <w:tc>
          <w:tcPr>
            <w:tcW w:type="pct" w:w="12%"/>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Yes</w:t>
            </w:r>
          </w:p>
        </w:tc>
        <w:tc>
          <w:tcPr>
            <w:tcW w:type="pct" w:w="13%"/>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No</w:t>
            </w:r>
          </w:p>
        </w:tc>
        <w:tc>
          <w:tcPr>
            <w:tcW w:type="pct" w:w="14%"/>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Yes</w:t>
            </w:r>
          </w:p>
        </w:tc>
        <w:tc>
          <w:tcPr>
            <w:tcW w:type="pct" w:w="14%"/>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Yes</w:t>
            </w:r>
          </w:p>
        </w:tc>
      </w:tr>
      <w:tr>
        <w:trPr>
          <w:cantSplit/>
        </w:trPr>
        <w:tc>
          <w:tcPr>
            <w:tcW w:type="pct" w:w="100%"/>
            <w:gridSpan w:val="7"/>
            <w:tcBorders>
              <w:top w:val="single" w:color="D0D0D0" w:sz="1"/>
              <w:left w:val="none"/>
              <w:bottom w:val="none"/>
              <w:right w:val="none"/>
            </w:tcBorders>
          </w:tcPr>
          <w:p>
            <w:pPr>
              <w:spacing w:after="0" w:before="0"/>
            </w:pPr>
          </w:p>
        </w:tc>
      </w:tr>
      <w:tr>
        <w:trPr>
          <w:cantSplit/>
        </w:trPr>
        <w:tc>
          <w:tcPr>
            <w:tcW w:type="pct" w:w="20%"/>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Hot Water Diverters</w:t>
            </w:r>
          </w:p>
        </w:tc>
        <w:tc>
          <w:tcPr>
            <w:tcW w:type="pct" w:w="13%"/>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No</w:t>
            </w:r>
          </w:p>
        </w:tc>
        <w:tc>
          <w:tcPr>
            <w:tcW w:type="pct" w:w="14%"/>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No</w:t>
            </w:r>
          </w:p>
        </w:tc>
        <w:tc>
          <w:tcPr>
            <w:tcW w:type="pct" w:w="12%"/>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Yes</w:t>
            </w:r>
          </w:p>
        </w:tc>
        <w:tc>
          <w:tcPr>
            <w:tcW w:type="pct" w:w="13%"/>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Yes</w:t>
            </w:r>
          </w:p>
        </w:tc>
        <w:tc>
          <w:tcPr>
            <w:tcW w:type="pct" w:w="14%"/>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Yes</w:t>
            </w:r>
          </w:p>
        </w:tc>
        <w:tc>
          <w:tcPr>
            <w:tcW w:type="pct" w:w="14%"/>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No</w:t>
            </w:r>
          </w:p>
        </w:tc>
      </w:tr>
      <w:tr>
        <w:trPr>
          <w:cantSplit/>
        </w:trPr>
        <w:tc>
          <w:tcPr>
            <w:tcW w:type="pct" w:w="100%"/>
            <w:gridSpan w:val="7"/>
            <w:tcBorders>
              <w:top w:val="single" w:color="D0D0D0" w:sz="1"/>
              <w:left w:val="none"/>
              <w:bottom w:val="none"/>
              <w:right w:val="none"/>
            </w:tcBorders>
          </w:tcPr>
          <w:p>
            <w:pPr>
              <w:spacing w:after="0" w:before="0"/>
            </w:pPr>
          </w:p>
        </w:tc>
      </w:tr>
      <w:tr>
        <w:trPr>
          <w:cantSplit/>
        </w:trPr>
        <w:tc>
          <w:tcPr>
            <w:tcW w:type="pct" w:w="20%"/>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Finance Options</w:t>
            </w:r>
          </w:p>
        </w:tc>
        <w:tc>
          <w:tcPr>
            <w:tcW w:type="pct" w:w="13%"/>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Yes</w:t>
            </w:r>
          </w:p>
        </w:tc>
        <w:tc>
          <w:tcPr>
            <w:tcW w:type="pct" w:w="14%"/>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Yes</w:t>
            </w:r>
          </w:p>
        </w:tc>
        <w:tc>
          <w:tcPr>
            <w:tcW w:type="pct" w:w="12%"/>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Yes</w:t>
            </w:r>
          </w:p>
        </w:tc>
        <w:tc>
          <w:tcPr>
            <w:tcW w:type="pct" w:w="13%"/>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Yes</w:t>
            </w:r>
          </w:p>
        </w:tc>
        <w:tc>
          <w:tcPr>
            <w:tcW w:type="pct" w:w="14%"/>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Limited</w:t>
            </w:r>
          </w:p>
        </w:tc>
        <w:tc>
          <w:tcPr>
            <w:tcW w:type="pct" w:w="14%"/>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Yes</w:t>
            </w:r>
          </w:p>
        </w:tc>
      </w:tr>
      <w:tr>
        <w:trPr>
          <w:cantSplit/>
        </w:trPr>
        <w:tc>
          <w:tcPr>
            <w:tcW w:type="pct" w:w="100%"/>
            <w:gridSpan w:val="7"/>
            <w:tcBorders>
              <w:top w:val="single" w:color="D0D0D0" w:sz="1"/>
              <w:left w:val="none"/>
              <w:bottom w:val="none"/>
              <w:right w:val="none"/>
            </w:tcBorders>
          </w:tcPr>
          <w:p>
            <w:pPr>
              <w:spacing w:after="0" w:before="0"/>
            </w:pPr>
          </w:p>
        </w:tc>
      </w:tr>
      <w:tr>
        <w:trPr>
          <w:cantSplit/>
        </w:trPr>
        <w:tc>
          <w:tcPr>
            <w:tcW w:type="pct" w:w="20%"/>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Customer Portal</w:t>
            </w:r>
          </w:p>
        </w:tc>
        <w:tc>
          <w:tcPr>
            <w:tcW w:type="pct" w:w="13%"/>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Yes</w:t>
            </w:r>
          </w:p>
        </w:tc>
        <w:tc>
          <w:tcPr>
            <w:tcW w:type="pct" w:w="14%"/>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No</w:t>
            </w:r>
          </w:p>
        </w:tc>
        <w:tc>
          <w:tcPr>
            <w:tcW w:type="pct" w:w="12%"/>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No</w:t>
            </w:r>
          </w:p>
        </w:tc>
        <w:tc>
          <w:tcPr>
            <w:tcW w:type="pct" w:w="13%"/>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No</w:t>
            </w:r>
          </w:p>
        </w:tc>
        <w:tc>
          <w:tcPr>
            <w:tcW w:type="pct" w:w="14%"/>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No</w:t>
            </w:r>
          </w:p>
        </w:tc>
        <w:tc>
          <w:tcPr>
            <w:tcW w:type="pct" w:w="14%"/>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No</w:t>
            </w:r>
          </w:p>
        </w:tc>
      </w:tr>
      <w:tr>
        <w:trPr>
          <w:cantSplit/>
        </w:trPr>
        <w:tc>
          <w:tcPr>
            <w:tcW w:type="pct" w:w="100%"/>
            <w:gridSpan w:val="7"/>
            <w:tcBorders>
              <w:top w:val="single" w:color="D0D0D0" w:sz="1"/>
              <w:left w:val="none"/>
              <w:bottom w:val="none"/>
              <w:right w:val="none"/>
            </w:tcBorders>
          </w:tcPr>
          <w:p>
            <w:pPr>
              <w:spacing w:after="0" w:before="0"/>
            </w:pPr>
          </w:p>
        </w:tc>
      </w:tr>
      <w:tr>
        <w:trPr>
          <w:cantSplit/>
        </w:trPr>
        <w:tc>
          <w:tcPr>
            <w:tcW w:type="pct" w:w="20%"/>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AI Solar Calculator</w:t>
            </w:r>
          </w:p>
        </w:tc>
        <w:tc>
          <w:tcPr>
            <w:tcW w:type="pct" w:w="13%"/>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Yes</w:t>
            </w:r>
          </w:p>
        </w:tc>
        <w:tc>
          <w:tcPr>
            <w:tcW w:type="pct" w:w="14%"/>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No</w:t>
            </w:r>
          </w:p>
        </w:tc>
        <w:tc>
          <w:tcPr>
            <w:tcW w:type="pct" w:w="12%"/>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No</w:t>
            </w:r>
          </w:p>
        </w:tc>
        <w:tc>
          <w:tcPr>
            <w:tcW w:type="pct" w:w="13%"/>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No</w:t>
            </w:r>
          </w:p>
        </w:tc>
        <w:tc>
          <w:tcPr>
            <w:tcW w:type="pct" w:w="14%"/>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No</w:t>
            </w:r>
          </w:p>
        </w:tc>
        <w:tc>
          <w:tcPr>
            <w:tcW w:type="pct" w:w="14%"/>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No</w:t>
            </w:r>
          </w:p>
        </w:tc>
      </w:tr>
      <w:tr>
        <w:trPr>
          <w:cantSplit/>
        </w:trPr>
        <w:tc>
          <w:tcPr>
            <w:tcW w:type="pct" w:w="100%"/>
            <w:gridSpan w:val="7"/>
            <w:tcBorders>
              <w:top w:val="single" w:color="D0D0D0" w:sz="1"/>
              <w:left w:val="none"/>
              <w:bottom w:val="none"/>
              <w:right w:val="none"/>
            </w:tcBorders>
          </w:tcPr>
          <w:p>
            <w:pPr>
              <w:spacing w:after="0" w:before="0"/>
            </w:pPr>
          </w:p>
        </w:tc>
      </w:tr>
    </w:tbl>
    <w:p>
      <w:pPr>
        <w:spacing w:after="80" w:line="312"/>
        <w:ind w:firstLine="480"/>
        <w:jc w:val="both"/>
      </w:pPr>
      <w:r>
        <w:rPr>
          <w:rFonts w:ascii="Times New Roman"/>
          <w:color w:val="000000"/>
          <w:sz w:val="24"/>
          <w:szCs w:val="24"/>
        </w:rPr>
        <w:t xml:space="preserve">Solar Ireland’s service offering covers the core requirements of the market effectively. Solar PV installation, battery storage, EV charger installation, SEAI grant assistance, and BER assessments collectively address the primary needs of residential customers. The inclusion of a customer portal and AI solar calculator provides a digital service layer that no competitor currently matches, creating a genuine unique selling proposition.</w:t>
      </w:r>
    </w:p>
    <w:p>
      <w:pPr>
        <w:spacing w:after="80" w:line="312"/>
        <w:ind w:firstLine="480"/>
        <w:jc w:val="both"/>
      </w:pPr>
      <w:r>
        <w:rPr>
          <w:rFonts w:ascii="Times New Roman"/>
          <w:color w:val="000000"/>
          <w:sz w:val="24"/>
          <w:szCs w:val="24"/>
        </w:rPr>
        <w:t xml:space="preserve">However, two notable service gaps have been identified. First, Solar Ireland does not currently offer maintenance packages, which are provided by four of the five competitors analysed in the service matrix. Maintenance packages provide recurring revenue, improve customer lifetime value, and serve as a trust signal that reassures prospective customers about long-term system performance. Second, the absence of heat pump services means Solar Ireland cannot offer the integrated renewable energy solution that customers increasingly expect. Activ8 Solar Energies and EcoPlex have been particularly effective in marketing combined solar, battery, and heat pump packages that appeal to homeowners undertaking comprehensive energy retrofits.</w:t>
      </w:r>
    </w:p>
    <w:p>
      <w:pPr>
        <w:spacing w:after="80" w:line="312"/>
        <w:ind w:firstLine="480"/>
        <w:jc w:val="both"/>
      </w:pPr>
      <w:r>
        <w:rPr>
          <w:rFonts w:ascii="Times New Roman"/>
          <w:color w:val="000000"/>
          <w:sz w:val="24"/>
          <w:szCs w:val="24"/>
        </w:rPr>
        <w:t xml:space="preserve">The addition of hot water diverters is another gap worth addressing. These low-cost devices direct excess solar generation to heat domestic hot water, effectively increasing the self-consumption rate of a solar PV system and improving the return on investment. Hot water diverters are available for as little as €300–€500 installed, making them an easy upsell opportunity that improves customer outcomes and installer revenue per project.</w:t>
      </w:r>
    </w:p>
    <w:p>
      <w:pPr>
        <w:pStyle w:val="Heading1"/>
        <w:spacing w:after="160" w:before="360" w:line="312"/>
      </w:pPr>
      <w:bookmarkStart w:id="100007" w:name="_Toc100007"/>
      <w:r>
        <w:rPr>
          <w:rFonts w:ascii="Times New Roman"/>
          <w:b/>
          <w:bCs/>
          <w:color w:val="0C3B2E"/>
          <w:sz w:val="32"/>
          <w:szCs w:val="32"/>
        </w:rPr>
        <w:t xml:space="preserve">5. Pricing Analysis</w:t>
      </w:r>
      <w:bookmarkEnd w:id="100007"/>
    </w:p>
    <w:p>
      <w:pPr>
        <w:spacing w:after="80" w:line="312"/>
        <w:ind w:firstLine="480"/>
        <w:jc w:val="both"/>
      </w:pPr>
      <w:r>
        <w:rPr>
          <w:rFonts w:ascii="Times New Roman"/>
          <w:color w:val="000000"/>
          <w:sz w:val="24"/>
          <w:szCs w:val="24"/>
        </w:rPr>
        <w:t xml:space="preserve">Pricing is a critical competitive dimension in the Irish solar market, where consumers typically obtain three to five quotes before making a purchasing decision. This section analyses Solar Ireland’s pricing positioning relative to market averages and key competitors, assessing both competitiveness and perceived value.</w:t>
      </w:r>
    </w:p>
    <w:p>
      <w:pPr>
        <w:spacing w:after="200" w:before="120"/>
        <w:jc w:val="center"/>
      </w:pPr>
      <w:r>
        <w:rPr>
          <w:rFonts w:ascii="Times New Roman"/>
          <w:i/>
          <w:iCs/>
          <w:color w:val="5A7A6A"/>
          <w:sz w:val="21"/>
          <w:szCs w:val="21"/>
        </w:rPr>
        <w:t xml:space="preserve">Table 3: Pricing Comparison — Market Average vs. Solar Ireland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cantSplit/>
          <w:tblHeader/>
        </w:trPr>
        <w:tc>
          <w:tcPr>
            <w:tcW w:type="pct" w:w="15%"/>
            <w:tcBorders>
              <w:top w:val="single" w:color="2A7A65" w:sz="2"/>
              <w:left w:val="none"/>
              <w:bottom w:val="single" w:color="2A7A65" w:sz="2"/>
              <w:right w:val="none"/>
            </w:tcBorders>
            <w:shd w:fill="2A7A65" w:val="clear"/>
            <w:tcMar>
              <w:top w:type="dxa" w:w="50"/>
              <w:left w:type="dxa" w:w="80"/>
              <w:bottom w:type="dxa" w:w="50"/>
              <w:right w:type="dxa" w:w="80"/>
            </w:tcMar>
          </w:tcPr>
          <w:p>
            <w:r>
              <w:rPr>
                <w:rFonts w:ascii="Calibri"/>
                <w:b/>
                <w:bCs/>
                <w:color w:val="FFFFFF"/>
                <w:sz w:val="18"/>
                <w:szCs w:val="18"/>
              </w:rPr>
              <w:t xml:space="preserve">System Size</w:t>
            </w:r>
          </w:p>
        </w:tc>
        <w:tc>
          <w:tcPr>
            <w:tcW w:type="pct" w:w="20%"/>
            <w:tcBorders>
              <w:top w:val="single" w:color="2A7A65" w:sz="2"/>
              <w:left w:val="none"/>
              <w:bottom w:val="single" w:color="2A7A65" w:sz="2"/>
              <w:right w:val="none"/>
            </w:tcBorders>
            <w:shd w:fill="2A7A65" w:val="clear"/>
            <w:tcMar>
              <w:top w:type="dxa" w:w="50"/>
              <w:left w:type="dxa" w:w="80"/>
              <w:bottom w:type="dxa" w:w="50"/>
              <w:right w:type="dxa" w:w="80"/>
            </w:tcMar>
          </w:tcPr>
          <w:p>
            <w:r>
              <w:rPr>
                <w:rFonts w:ascii="Calibri"/>
                <w:b/>
                <w:bCs/>
                <w:color w:val="FFFFFF"/>
                <w:sz w:val="18"/>
                <w:szCs w:val="18"/>
              </w:rPr>
              <w:t xml:space="preserve">Market Average</w:t>
            </w:r>
          </w:p>
        </w:tc>
        <w:tc>
          <w:tcPr>
            <w:tcW w:type="pct" w:w="22%"/>
            <w:tcBorders>
              <w:top w:val="single" w:color="2A7A65" w:sz="2"/>
              <w:left w:val="none"/>
              <w:bottom w:val="single" w:color="2A7A65" w:sz="2"/>
              <w:right w:val="none"/>
            </w:tcBorders>
            <w:shd w:fill="2A7A65" w:val="clear"/>
            <w:tcMar>
              <w:top w:type="dxa" w:w="50"/>
              <w:left w:type="dxa" w:w="80"/>
              <w:bottom w:type="dxa" w:w="50"/>
              <w:right w:type="dxa" w:w="80"/>
            </w:tcMar>
          </w:tcPr>
          <w:p>
            <w:r>
              <w:rPr>
                <w:rFonts w:ascii="Calibri"/>
                <w:b/>
                <w:bCs/>
                <w:color w:val="FFFFFF"/>
                <w:sz w:val="18"/>
                <w:szCs w:val="18"/>
              </w:rPr>
              <w:t xml:space="preserve">Market Range</w:t>
            </w:r>
          </w:p>
        </w:tc>
        <w:tc>
          <w:tcPr>
            <w:tcW w:type="pct" w:w="20%"/>
            <w:tcBorders>
              <w:top w:val="single" w:color="2A7A65" w:sz="2"/>
              <w:left w:val="none"/>
              <w:bottom w:val="single" w:color="2A7A65" w:sz="2"/>
              <w:right w:val="none"/>
            </w:tcBorders>
            <w:shd w:fill="2A7A65" w:val="clear"/>
            <w:tcMar>
              <w:top w:type="dxa" w:w="50"/>
              <w:left w:type="dxa" w:w="80"/>
              <w:bottom w:type="dxa" w:w="50"/>
              <w:right w:type="dxa" w:w="80"/>
            </w:tcMar>
          </w:tcPr>
          <w:p>
            <w:r>
              <w:rPr>
                <w:rFonts w:ascii="Calibri"/>
                <w:b/>
                <w:bCs/>
                <w:color w:val="FFFFFF"/>
                <w:sz w:val="18"/>
                <w:szCs w:val="18"/>
              </w:rPr>
              <w:t xml:space="preserve">Solar Ireland</w:t>
            </w:r>
          </w:p>
        </w:tc>
        <w:tc>
          <w:tcPr>
            <w:tcW w:type="pct" w:w="23%"/>
            <w:tcBorders>
              <w:top w:val="single" w:color="2A7A65" w:sz="2"/>
              <w:left w:val="none"/>
              <w:bottom w:val="single" w:color="2A7A65" w:sz="2"/>
              <w:right w:val="none"/>
            </w:tcBorders>
            <w:shd w:fill="2A7A65" w:val="clear"/>
            <w:tcMar>
              <w:top w:type="dxa" w:w="50"/>
              <w:left w:type="dxa" w:w="80"/>
              <w:bottom w:type="dxa" w:w="50"/>
              <w:right w:type="dxa" w:w="80"/>
            </w:tcMar>
          </w:tcPr>
          <w:p>
            <w:r>
              <w:rPr>
                <w:rFonts w:ascii="Calibri"/>
                <w:b/>
                <w:bCs/>
                <w:color w:val="FFFFFF"/>
                <w:sz w:val="18"/>
                <w:szCs w:val="18"/>
              </w:rPr>
              <w:t xml:space="preserve">Post-Grant Cost</w:t>
            </w:r>
          </w:p>
        </w:tc>
      </w:tr>
      <w:tr>
        <w:trPr>
          <w:cantSplit/>
        </w:trPr>
        <w:tc>
          <w:tcPr>
            <w:tcW w:type="pct" w:w="15%"/>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4kWp (Essential)</w:t>
            </w:r>
          </w:p>
        </w:tc>
        <w:tc>
          <w:tcPr>
            <w:tcW w:type="pct" w:w="20%"/>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€5,200</w:t>
            </w:r>
          </w:p>
        </w:tc>
        <w:tc>
          <w:tcPr>
            <w:tcW w:type="pct" w:w="22%"/>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€4,500–€6,000</w:t>
            </w:r>
          </w:p>
        </w:tc>
        <w:tc>
          <w:tcPr>
            <w:tcW w:type="pct" w:w="20%"/>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€4,500</w:t>
            </w:r>
          </w:p>
        </w:tc>
        <w:tc>
          <w:tcPr>
            <w:tcW w:type="pct" w:w="23%"/>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€2,700</w:t>
            </w:r>
          </w:p>
        </w:tc>
      </w:tr>
      <w:tr>
        <w:trPr>
          <w:cantSplit/>
        </w:trPr>
        <w:tc>
          <w:tcPr>
            <w:tcW w:type="pct" w:w="100%"/>
            <w:gridSpan w:val="5"/>
            <w:tcBorders>
              <w:top w:val="single" w:color="D0D0D0" w:sz="1"/>
              <w:left w:val="none"/>
              <w:bottom w:val="none"/>
              <w:right w:val="none"/>
            </w:tcBorders>
          </w:tcPr>
          <w:p>
            <w:pPr>
              <w:spacing w:after="0" w:before="0"/>
            </w:pPr>
          </w:p>
        </w:tc>
      </w:tr>
      <w:tr>
        <w:trPr>
          <w:cantSplit/>
        </w:trPr>
        <w:tc>
          <w:tcPr>
            <w:tcW w:type="pct" w:w="15%"/>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6kWp (Popular)</w:t>
            </w:r>
          </w:p>
        </w:tc>
        <w:tc>
          <w:tcPr>
            <w:tcW w:type="pct" w:w="20%"/>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€6,800</w:t>
            </w:r>
          </w:p>
        </w:tc>
        <w:tc>
          <w:tcPr>
            <w:tcW w:type="pct" w:w="22%"/>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€5,800–€8,000</w:t>
            </w:r>
          </w:p>
        </w:tc>
        <w:tc>
          <w:tcPr>
            <w:tcW w:type="pct" w:w="20%"/>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€6,500</w:t>
            </w:r>
          </w:p>
        </w:tc>
        <w:tc>
          <w:tcPr>
            <w:tcW w:type="pct" w:w="23%"/>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€4,700</w:t>
            </w:r>
          </w:p>
        </w:tc>
      </w:tr>
      <w:tr>
        <w:trPr>
          <w:cantSplit/>
        </w:trPr>
        <w:tc>
          <w:tcPr>
            <w:tcW w:type="pct" w:w="100%"/>
            <w:gridSpan w:val="5"/>
            <w:tcBorders>
              <w:top w:val="single" w:color="D0D0D0" w:sz="1"/>
              <w:left w:val="none"/>
              <w:bottom w:val="none"/>
              <w:right w:val="none"/>
            </w:tcBorders>
          </w:tcPr>
          <w:p>
            <w:pPr>
              <w:spacing w:after="0" w:before="0"/>
            </w:pPr>
          </w:p>
        </w:tc>
      </w:tr>
      <w:tr>
        <w:trPr>
          <w:cantSplit/>
        </w:trPr>
        <w:tc>
          <w:tcPr>
            <w:tcW w:type="pct" w:w="15%"/>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10kWp (Premium)</w:t>
            </w:r>
          </w:p>
        </w:tc>
        <w:tc>
          <w:tcPr>
            <w:tcW w:type="pct" w:w="20%"/>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€9,500</w:t>
            </w:r>
          </w:p>
        </w:tc>
        <w:tc>
          <w:tcPr>
            <w:tcW w:type="pct" w:w="22%"/>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€8,500–€11,500</w:t>
            </w:r>
          </w:p>
        </w:tc>
        <w:tc>
          <w:tcPr>
            <w:tcW w:type="pct" w:w="20%"/>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€9,500</w:t>
            </w:r>
          </w:p>
        </w:tc>
        <w:tc>
          <w:tcPr>
            <w:tcW w:type="pct" w:w="23%"/>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€7,400</w:t>
            </w:r>
          </w:p>
        </w:tc>
      </w:tr>
      <w:tr>
        <w:trPr>
          <w:cantSplit/>
        </w:trPr>
        <w:tc>
          <w:tcPr>
            <w:tcW w:type="pct" w:w="100%"/>
            <w:gridSpan w:val="5"/>
            <w:tcBorders>
              <w:top w:val="single" w:color="D0D0D0" w:sz="1"/>
              <w:left w:val="none"/>
              <w:bottom w:val="none"/>
              <w:right w:val="none"/>
            </w:tcBorders>
          </w:tcPr>
          <w:p>
            <w:pPr>
              <w:spacing w:after="0" w:before="0"/>
            </w:pPr>
          </w:p>
        </w:tc>
      </w:tr>
    </w:tbl>
    <w:p>
      <w:pPr>
        <w:spacing w:after="80" w:line="312"/>
        <w:ind w:firstLine="480"/>
        <w:jc w:val="both"/>
      </w:pPr>
      <w:r>
        <w:rPr>
          <w:rFonts w:ascii="Times New Roman"/>
          <w:color w:val="000000"/>
          <w:sz w:val="24"/>
          <w:szCs w:val="24"/>
        </w:rPr>
        <w:t xml:space="preserve">Solar Ireland’s pricing strategy follows a tiered model with three clearly defined packages: Essential (4kWp at €4,500), Popular (6kWp at €6,500), and Premium (10kWp at €9,500). This structured approach is advantageous for customer decision-making, as it simplifies the purchasing process and reduces the need for custom quotations. The Essential tier is priced at the lower end of the market range, positioning it attractively for price-sensitive customers and first-time buyers. The Popular tier sits slightly below the market average, while the Premium tier aligns with the market average.</w:t>
      </w:r>
    </w:p>
    <w:p>
      <w:pPr>
        <w:spacing w:after="80" w:line="312"/>
        <w:ind w:firstLine="480"/>
        <w:jc w:val="both"/>
      </w:pPr>
      <w:r>
        <w:rPr>
          <w:rFonts w:ascii="Times New Roman"/>
          <w:color w:val="000000"/>
          <w:sz w:val="24"/>
          <w:szCs w:val="24"/>
        </w:rPr>
        <w:t xml:space="preserve">When SEAI grant contributions are factored in, the effective pricing becomes significantly more competitive. After the €1,800 grant, Solar Ireland’s 6kWp Popular package costs approximately €4,700, which represents strong value relative to competitors. The inclusion of BER assessments and SEAI grant assistance at all tiers adds further value, as these services typically cost €200–€350 when arranged independently.</w:t>
      </w:r>
    </w:p>
    <w:p>
      <w:pPr>
        <w:spacing w:after="80" w:line="312"/>
        <w:ind w:firstLine="480"/>
        <w:jc w:val="both"/>
      </w:pPr>
      <w:r>
        <w:rPr>
          <w:rFonts w:ascii="Times New Roman"/>
          <w:color w:val="000000"/>
          <w:sz w:val="24"/>
          <w:szCs w:val="24"/>
        </w:rPr>
        <w:t xml:space="preserve">However, several competitors are increasingly competing on bundled value rather than headline price. Electric Ireland, for example, often includes a free smart meter upgrade and discounted electricity tariffs as part of its solar installation package. Pinergy offers free system monitoring for the first year and discounted green energy supply rates. Solar Ireland should consider developing similar value-add propositions to compete beyond price alone. The introduction of maintenance packages or extended warranty options could further enhance perceived value without requiring significant price adjustments.</w:t>
      </w:r>
    </w:p>
    <w:p>
      <w:pPr>
        <w:pStyle w:val="Heading1"/>
        <w:spacing w:after="160" w:before="360" w:line="312"/>
      </w:pPr>
      <w:bookmarkStart w:id="100008" w:name="_Toc100008"/>
      <w:r>
        <w:rPr>
          <w:rFonts w:ascii="Times New Roman"/>
          <w:b/>
          <w:bCs/>
          <w:color w:val="0C3B2E"/>
          <w:sz w:val="32"/>
          <w:szCs w:val="32"/>
        </w:rPr>
        <w:t xml:space="preserve">6. Digital Presence &amp; Website Comparison</w:t>
      </w:r>
      <w:bookmarkEnd w:id="100008"/>
    </w:p>
    <w:p>
      <w:pPr>
        <w:spacing w:after="80" w:line="312"/>
        <w:ind w:firstLine="480"/>
        <w:jc w:val="both"/>
      </w:pPr>
      <w:r>
        <w:rPr>
          <w:rFonts w:ascii="Times New Roman"/>
          <w:color w:val="000000"/>
          <w:sz w:val="24"/>
          <w:szCs w:val="24"/>
        </w:rPr>
        <w:t xml:space="preserve">In the modern solar market, a company’s digital presence is often the primary determinant of customer acquisition success. Research indicates that over 70% of Irish solar customers begin their journey with an online search, making website quality, search engine visibility, and digital tools critical competitive factors. This section evaluates Solar Ireland’s digital presence against key competitors.</w:t>
      </w:r>
    </w:p>
    <w:p>
      <w:pPr>
        <w:spacing w:after="200" w:before="120"/>
        <w:jc w:val="center"/>
      </w:pPr>
      <w:r>
        <w:rPr>
          <w:rFonts w:ascii="Times New Roman"/>
          <w:i/>
          <w:iCs/>
          <w:color w:val="5A7A6A"/>
          <w:sz w:val="21"/>
          <w:szCs w:val="21"/>
        </w:rPr>
        <w:t xml:space="preserve">Table 4: Digital Presence Scorecard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tblGrid>
      <w:tr>
        <w:trPr>
          <w:cantSplit/>
          <w:tblHeader/>
        </w:trPr>
        <w:tc>
          <w:tcPr>
            <w:tcW w:type="pct" w:w="22%"/>
            <w:tcBorders>
              <w:top w:val="single" w:color="2A7A65" w:sz="2"/>
              <w:left w:val="none"/>
              <w:bottom w:val="single" w:color="2A7A65" w:sz="2"/>
              <w:right w:val="none"/>
            </w:tcBorders>
            <w:shd w:fill="2A7A65" w:val="clear"/>
            <w:tcMar>
              <w:top w:type="dxa" w:w="50"/>
              <w:left w:type="dxa" w:w="80"/>
              <w:bottom w:type="dxa" w:w="50"/>
              <w:right w:type="dxa" w:w="80"/>
            </w:tcMar>
          </w:tcPr>
          <w:p>
            <w:r>
              <w:rPr>
                <w:rFonts w:ascii="Calibri"/>
                <w:b/>
                <w:bCs/>
                <w:color w:val="FFFFFF"/>
                <w:sz w:val="18"/>
                <w:szCs w:val="18"/>
              </w:rPr>
              <w:t xml:space="preserve">Dimension</w:t>
            </w:r>
          </w:p>
        </w:tc>
        <w:tc>
          <w:tcPr>
            <w:tcW w:type="pct" w:w="16%"/>
            <w:tcBorders>
              <w:top w:val="single" w:color="2A7A65" w:sz="2"/>
              <w:left w:val="none"/>
              <w:bottom w:val="single" w:color="2A7A65" w:sz="2"/>
              <w:right w:val="none"/>
            </w:tcBorders>
            <w:shd w:fill="2A7A65" w:val="clear"/>
            <w:tcMar>
              <w:top w:type="dxa" w:w="50"/>
              <w:left w:type="dxa" w:w="80"/>
              <w:bottom w:type="dxa" w:w="50"/>
              <w:right w:type="dxa" w:w="80"/>
            </w:tcMar>
          </w:tcPr>
          <w:p>
            <w:r>
              <w:rPr>
                <w:rFonts w:ascii="Calibri"/>
                <w:b/>
                <w:bCs/>
                <w:color w:val="FFFFFF"/>
                <w:sz w:val="18"/>
                <w:szCs w:val="18"/>
              </w:rPr>
              <w:t xml:space="preserve">Solar Ireland</w:t>
            </w:r>
          </w:p>
        </w:tc>
        <w:tc>
          <w:tcPr>
            <w:tcW w:type="pct" w:w="16%"/>
            <w:tcBorders>
              <w:top w:val="single" w:color="2A7A65" w:sz="2"/>
              <w:left w:val="none"/>
              <w:bottom w:val="single" w:color="2A7A65" w:sz="2"/>
              <w:right w:val="none"/>
            </w:tcBorders>
            <w:shd w:fill="2A7A65" w:val="clear"/>
            <w:tcMar>
              <w:top w:type="dxa" w:w="50"/>
              <w:left w:type="dxa" w:w="80"/>
              <w:bottom w:type="dxa" w:w="50"/>
              <w:right w:type="dxa" w:w="80"/>
            </w:tcMar>
          </w:tcPr>
          <w:p>
            <w:r>
              <w:rPr>
                <w:rFonts w:ascii="Calibri"/>
                <w:b/>
                <w:bCs/>
                <w:color w:val="FFFFFF"/>
                <w:sz w:val="18"/>
                <w:szCs w:val="18"/>
              </w:rPr>
              <w:t xml:space="preserve">Electric Ireland</w:t>
            </w:r>
          </w:p>
        </w:tc>
        <w:tc>
          <w:tcPr>
            <w:tcW w:type="pct" w:w="14%"/>
            <w:tcBorders>
              <w:top w:val="single" w:color="2A7A65" w:sz="2"/>
              <w:left w:val="none"/>
              <w:bottom w:val="single" w:color="2A7A65" w:sz="2"/>
              <w:right w:val="none"/>
            </w:tcBorders>
            <w:shd w:fill="2A7A65" w:val="clear"/>
            <w:tcMar>
              <w:top w:type="dxa" w:w="50"/>
              <w:left w:type="dxa" w:w="80"/>
              <w:bottom w:type="dxa" w:w="50"/>
              <w:right w:type="dxa" w:w="80"/>
            </w:tcMar>
          </w:tcPr>
          <w:p>
            <w:r>
              <w:rPr>
                <w:rFonts w:ascii="Calibri"/>
                <w:b/>
                <w:bCs/>
                <w:color w:val="FFFFFF"/>
                <w:sz w:val="18"/>
                <w:szCs w:val="18"/>
              </w:rPr>
              <w:t xml:space="preserve">Activ8</w:t>
            </w:r>
          </w:p>
        </w:tc>
        <w:tc>
          <w:tcPr>
            <w:tcW w:type="pct" w:w="16%"/>
            <w:tcBorders>
              <w:top w:val="single" w:color="2A7A65" w:sz="2"/>
              <w:left w:val="none"/>
              <w:bottom w:val="single" w:color="2A7A65" w:sz="2"/>
              <w:right w:val="none"/>
            </w:tcBorders>
            <w:shd w:fill="2A7A65" w:val="clear"/>
            <w:tcMar>
              <w:top w:type="dxa" w:w="50"/>
              <w:left w:type="dxa" w:w="80"/>
              <w:bottom w:type="dxa" w:w="50"/>
              <w:right w:type="dxa" w:w="80"/>
            </w:tcMar>
          </w:tcPr>
          <w:p>
            <w:r>
              <w:rPr>
                <w:rFonts w:ascii="Calibri"/>
                <w:b/>
                <w:bCs/>
                <w:color w:val="FFFFFF"/>
                <w:sz w:val="18"/>
                <w:szCs w:val="18"/>
              </w:rPr>
              <w:t xml:space="preserve">Pinergy</w:t>
            </w:r>
          </w:p>
        </w:tc>
        <w:tc>
          <w:tcPr>
            <w:tcW w:type="pct" w:w="16%"/>
            <w:tcBorders>
              <w:top w:val="single" w:color="2A7A65" w:sz="2"/>
              <w:left w:val="none"/>
              <w:bottom w:val="single" w:color="2A7A65" w:sz="2"/>
              <w:right w:val="none"/>
            </w:tcBorders>
            <w:shd w:fill="2A7A65" w:val="clear"/>
            <w:tcMar>
              <w:top w:type="dxa" w:w="50"/>
              <w:left w:type="dxa" w:w="80"/>
              <w:bottom w:type="dxa" w:w="50"/>
              <w:right w:type="dxa" w:w="80"/>
            </w:tcMar>
          </w:tcPr>
          <w:p>
            <w:r>
              <w:rPr>
                <w:rFonts w:ascii="Calibri"/>
                <w:b/>
                <w:bCs/>
                <w:color w:val="FFFFFF"/>
                <w:sz w:val="18"/>
                <w:szCs w:val="18"/>
              </w:rPr>
              <w:t xml:space="preserve">Solar Electric</w:t>
            </w:r>
          </w:p>
        </w:tc>
      </w:tr>
      <w:tr>
        <w:trPr>
          <w:cantSplit/>
        </w:trPr>
        <w:tc>
          <w:tcPr>
            <w:tcW w:type="pct" w:w="22%"/>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Website Design</w:t>
            </w:r>
          </w:p>
        </w:tc>
        <w:tc>
          <w:tcPr>
            <w:tcW w:type="pct" w:w="16%"/>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Excellent</w:t>
            </w:r>
          </w:p>
        </w:tc>
        <w:tc>
          <w:tcPr>
            <w:tcW w:type="pct" w:w="16%"/>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Modern</w:t>
            </w:r>
          </w:p>
        </w:tc>
        <w:tc>
          <w:tcPr>
            <w:tcW w:type="pct" w:w="14%"/>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Modern</w:t>
            </w:r>
          </w:p>
        </w:tc>
        <w:tc>
          <w:tcPr>
            <w:tcW w:type="pct" w:w="16%"/>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Excellent</w:t>
            </w:r>
          </w:p>
        </w:tc>
        <w:tc>
          <w:tcPr>
            <w:tcW w:type="pct" w:w="16%"/>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Basic</w:t>
            </w:r>
          </w:p>
        </w:tc>
      </w:tr>
      <w:tr>
        <w:trPr>
          <w:cantSplit/>
        </w:trPr>
        <w:tc>
          <w:tcPr>
            <w:tcW w:type="pct" w:w="100%"/>
            <w:gridSpan w:val="6"/>
            <w:tcBorders>
              <w:top w:val="single" w:color="D0D0D0" w:sz="1"/>
              <w:left w:val="none"/>
              <w:bottom w:val="none"/>
              <w:right w:val="none"/>
            </w:tcBorders>
          </w:tcPr>
          <w:p>
            <w:pPr>
              <w:spacing w:after="0" w:before="0"/>
            </w:pPr>
          </w:p>
        </w:tc>
      </w:tr>
      <w:tr>
        <w:trPr>
          <w:cantSplit/>
        </w:trPr>
        <w:tc>
          <w:tcPr>
            <w:tcW w:type="pct" w:w="22%"/>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Calculator/Tools</w:t>
            </w:r>
          </w:p>
        </w:tc>
        <w:tc>
          <w:tcPr>
            <w:tcW w:type="pct" w:w="16%"/>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AI Calculator</w:t>
            </w:r>
          </w:p>
        </w:tc>
        <w:tc>
          <w:tcPr>
            <w:tcW w:type="pct" w:w="16%"/>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Basic Estimator</w:t>
            </w:r>
          </w:p>
        </w:tc>
        <w:tc>
          <w:tcPr>
            <w:tcW w:type="pct" w:w="14%"/>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ROI Calculator</w:t>
            </w:r>
          </w:p>
        </w:tc>
        <w:tc>
          <w:tcPr>
            <w:tcW w:type="pct" w:w="16%"/>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Estimator</w:t>
            </w:r>
          </w:p>
        </w:tc>
        <w:tc>
          <w:tcPr>
            <w:tcW w:type="pct" w:w="16%"/>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None</w:t>
            </w:r>
          </w:p>
        </w:tc>
      </w:tr>
      <w:tr>
        <w:trPr>
          <w:cantSplit/>
        </w:trPr>
        <w:tc>
          <w:tcPr>
            <w:tcW w:type="pct" w:w="100%"/>
            <w:gridSpan w:val="6"/>
            <w:tcBorders>
              <w:top w:val="single" w:color="D0D0D0" w:sz="1"/>
              <w:left w:val="none"/>
              <w:bottom w:val="none"/>
              <w:right w:val="none"/>
            </w:tcBorders>
          </w:tcPr>
          <w:p>
            <w:pPr>
              <w:spacing w:after="0" w:before="0"/>
            </w:pPr>
          </w:p>
        </w:tc>
      </w:tr>
      <w:tr>
        <w:trPr>
          <w:cantSplit/>
        </w:trPr>
        <w:tc>
          <w:tcPr>
            <w:tcW w:type="pct" w:w="22%"/>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Blog/Content</w:t>
            </w:r>
          </w:p>
        </w:tc>
        <w:tc>
          <w:tcPr>
            <w:tcW w:type="pct" w:w="16%"/>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Active</w:t>
            </w:r>
          </w:p>
        </w:tc>
        <w:tc>
          <w:tcPr>
            <w:tcW w:type="pct" w:w="16%"/>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Active</w:t>
            </w:r>
          </w:p>
        </w:tc>
        <w:tc>
          <w:tcPr>
            <w:tcW w:type="pct" w:w="14%"/>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Active</w:t>
            </w:r>
          </w:p>
        </w:tc>
        <w:tc>
          <w:tcPr>
            <w:tcW w:type="pct" w:w="16%"/>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Active</w:t>
            </w:r>
          </w:p>
        </w:tc>
        <w:tc>
          <w:tcPr>
            <w:tcW w:type="pct" w:w="16%"/>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Basic</w:t>
            </w:r>
          </w:p>
        </w:tc>
      </w:tr>
      <w:tr>
        <w:trPr>
          <w:cantSplit/>
        </w:trPr>
        <w:tc>
          <w:tcPr>
            <w:tcW w:type="pct" w:w="100%"/>
            <w:gridSpan w:val="6"/>
            <w:tcBorders>
              <w:top w:val="single" w:color="D0D0D0" w:sz="1"/>
              <w:left w:val="none"/>
              <w:bottom w:val="none"/>
              <w:right w:val="none"/>
            </w:tcBorders>
          </w:tcPr>
          <w:p>
            <w:pPr>
              <w:spacing w:after="0" w:before="0"/>
            </w:pPr>
          </w:p>
        </w:tc>
      </w:tr>
      <w:tr>
        <w:trPr>
          <w:cantSplit/>
        </w:trPr>
        <w:tc>
          <w:tcPr>
            <w:tcW w:type="pct" w:w="22%"/>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County SEO</w:t>
            </w:r>
          </w:p>
        </w:tc>
        <w:tc>
          <w:tcPr>
            <w:tcW w:type="pct" w:w="16%"/>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32 Counties</w:t>
            </w:r>
          </w:p>
        </w:tc>
        <w:tc>
          <w:tcPr>
            <w:tcW w:type="pct" w:w="16%"/>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26 Counties</w:t>
            </w:r>
          </w:p>
        </w:tc>
        <w:tc>
          <w:tcPr>
            <w:tcW w:type="pct" w:w="14%"/>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Major Areas</w:t>
            </w:r>
          </w:p>
        </w:tc>
        <w:tc>
          <w:tcPr>
            <w:tcW w:type="pct" w:w="16%"/>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26 Counties</w:t>
            </w:r>
          </w:p>
        </w:tc>
        <w:tc>
          <w:tcPr>
            <w:tcW w:type="pct" w:w="16%"/>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Limited</w:t>
            </w:r>
          </w:p>
        </w:tc>
      </w:tr>
      <w:tr>
        <w:trPr>
          <w:cantSplit/>
        </w:trPr>
        <w:tc>
          <w:tcPr>
            <w:tcW w:type="pct" w:w="100%"/>
            <w:gridSpan w:val="6"/>
            <w:tcBorders>
              <w:top w:val="single" w:color="D0D0D0" w:sz="1"/>
              <w:left w:val="none"/>
              <w:bottom w:val="none"/>
              <w:right w:val="none"/>
            </w:tcBorders>
          </w:tcPr>
          <w:p>
            <w:pPr>
              <w:spacing w:after="0" w:before="0"/>
            </w:pPr>
          </w:p>
        </w:tc>
      </w:tr>
      <w:tr>
        <w:trPr>
          <w:cantSplit/>
        </w:trPr>
        <w:tc>
          <w:tcPr>
            <w:tcW w:type="pct" w:w="22%"/>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Customer Portal</w:t>
            </w:r>
          </w:p>
        </w:tc>
        <w:tc>
          <w:tcPr>
            <w:tcW w:type="pct" w:w="16%"/>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Yes (11-Step)</w:t>
            </w:r>
          </w:p>
        </w:tc>
        <w:tc>
          <w:tcPr>
            <w:tcW w:type="pct" w:w="16%"/>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No</w:t>
            </w:r>
          </w:p>
        </w:tc>
        <w:tc>
          <w:tcPr>
            <w:tcW w:type="pct" w:w="14%"/>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No</w:t>
            </w:r>
          </w:p>
        </w:tc>
        <w:tc>
          <w:tcPr>
            <w:tcW w:type="pct" w:w="16%"/>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No</w:t>
            </w:r>
          </w:p>
        </w:tc>
        <w:tc>
          <w:tcPr>
            <w:tcW w:type="pct" w:w="16%"/>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No</w:t>
            </w:r>
          </w:p>
        </w:tc>
      </w:tr>
      <w:tr>
        <w:trPr>
          <w:cantSplit/>
        </w:trPr>
        <w:tc>
          <w:tcPr>
            <w:tcW w:type="pct" w:w="100%"/>
            <w:gridSpan w:val="6"/>
            <w:tcBorders>
              <w:top w:val="single" w:color="D0D0D0" w:sz="1"/>
              <w:left w:val="none"/>
              <w:bottom w:val="none"/>
              <w:right w:val="none"/>
            </w:tcBorders>
          </w:tcPr>
          <w:p>
            <w:pPr>
              <w:spacing w:after="0" w:before="0"/>
            </w:pPr>
          </w:p>
        </w:tc>
      </w:tr>
      <w:tr>
        <w:trPr>
          <w:cantSplit/>
        </w:trPr>
        <w:tc>
          <w:tcPr>
            <w:tcW w:type="pct" w:w="22%"/>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Online Booking</w:t>
            </w:r>
          </w:p>
        </w:tc>
        <w:tc>
          <w:tcPr>
            <w:tcW w:type="pct" w:w="16%"/>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Yes</w:t>
            </w:r>
          </w:p>
        </w:tc>
        <w:tc>
          <w:tcPr>
            <w:tcW w:type="pct" w:w="16%"/>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Yes</w:t>
            </w:r>
          </w:p>
        </w:tc>
        <w:tc>
          <w:tcPr>
            <w:tcW w:type="pct" w:w="14%"/>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Yes</w:t>
            </w:r>
          </w:p>
        </w:tc>
        <w:tc>
          <w:tcPr>
            <w:tcW w:type="pct" w:w="16%"/>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Yes</w:t>
            </w:r>
          </w:p>
        </w:tc>
        <w:tc>
          <w:tcPr>
            <w:tcW w:type="pct" w:w="16%"/>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No</w:t>
            </w:r>
          </w:p>
        </w:tc>
      </w:tr>
      <w:tr>
        <w:trPr>
          <w:cantSplit/>
        </w:trPr>
        <w:tc>
          <w:tcPr>
            <w:tcW w:type="pct" w:w="100%"/>
            <w:gridSpan w:val="6"/>
            <w:tcBorders>
              <w:top w:val="single" w:color="D0D0D0" w:sz="1"/>
              <w:left w:val="none"/>
              <w:bottom w:val="none"/>
              <w:right w:val="none"/>
            </w:tcBorders>
          </w:tcPr>
          <w:p>
            <w:pPr>
              <w:spacing w:after="0" w:before="0"/>
            </w:pPr>
          </w:p>
        </w:tc>
      </w:tr>
      <w:tr>
        <w:trPr>
          <w:cantSplit/>
        </w:trPr>
        <w:tc>
          <w:tcPr>
            <w:tcW w:type="pct" w:w="22%"/>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Chat/AI Features</w:t>
            </w:r>
          </w:p>
        </w:tc>
        <w:tc>
          <w:tcPr>
            <w:tcW w:type="pct" w:w="16%"/>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Yes</w:t>
            </w:r>
          </w:p>
        </w:tc>
        <w:tc>
          <w:tcPr>
            <w:tcW w:type="pct" w:w="16%"/>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Bot Only</w:t>
            </w:r>
          </w:p>
        </w:tc>
        <w:tc>
          <w:tcPr>
            <w:tcW w:type="pct" w:w="14%"/>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No</w:t>
            </w:r>
          </w:p>
        </w:tc>
        <w:tc>
          <w:tcPr>
            <w:tcW w:type="pct" w:w="16%"/>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No</w:t>
            </w:r>
          </w:p>
        </w:tc>
        <w:tc>
          <w:tcPr>
            <w:tcW w:type="pct" w:w="16%"/>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No</w:t>
            </w:r>
          </w:p>
        </w:tc>
      </w:tr>
      <w:tr>
        <w:trPr>
          <w:cantSplit/>
        </w:trPr>
        <w:tc>
          <w:tcPr>
            <w:tcW w:type="pct" w:w="100%"/>
            <w:gridSpan w:val="6"/>
            <w:tcBorders>
              <w:top w:val="single" w:color="D0D0D0" w:sz="1"/>
              <w:left w:val="none"/>
              <w:bottom w:val="none"/>
              <w:right w:val="none"/>
            </w:tcBorders>
          </w:tcPr>
          <w:p>
            <w:pPr>
              <w:spacing w:after="0" w:before="0"/>
            </w:pPr>
          </w:p>
        </w:tc>
      </w:tr>
      <w:tr>
        <w:trPr>
          <w:cantSplit/>
        </w:trPr>
        <w:tc>
          <w:tcPr>
            <w:tcW w:type="pct" w:w="22%"/>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Mobile Responsiveness</w:t>
            </w:r>
          </w:p>
        </w:tc>
        <w:tc>
          <w:tcPr>
            <w:tcW w:type="pct" w:w="16%"/>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Excellent</w:t>
            </w:r>
          </w:p>
        </w:tc>
        <w:tc>
          <w:tcPr>
            <w:tcW w:type="pct" w:w="16%"/>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Excellent</w:t>
            </w:r>
          </w:p>
        </w:tc>
        <w:tc>
          <w:tcPr>
            <w:tcW w:type="pct" w:w="14%"/>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Good</w:t>
            </w:r>
          </w:p>
        </w:tc>
        <w:tc>
          <w:tcPr>
            <w:tcW w:type="pct" w:w="16%"/>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Good</w:t>
            </w:r>
          </w:p>
        </w:tc>
        <w:tc>
          <w:tcPr>
            <w:tcW w:type="pct" w:w="16%"/>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Basic</w:t>
            </w:r>
          </w:p>
        </w:tc>
      </w:tr>
      <w:tr>
        <w:trPr>
          <w:cantSplit/>
        </w:trPr>
        <w:tc>
          <w:tcPr>
            <w:tcW w:type="pct" w:w="100%"/>
            <w:gridSpan w:val="6"/>
            <w:tcBorders>
              <w:top w:val="single" w:color="D0D0D0" w:sz="1"/>
              <w:left w:val="none"/>
              <w:bottom w:val="none"/>
              <w:right w:val="none"/>
            </w:tcBorders>
          </w:tcPr>
          <w:p>
            <w:pPr>
              <w:spacing w:after="0" w:before="0"/>
            </w:pPr>
          </w:p>
        </w:tc>
      </w:tr>
      <w:tr>
        <w:trPr>
          <w:cantSplit/>
        </w:trPr>
        <w:tc>
          <w:tcPr>
            <w:tcW w:type="pct" w:w="22%"/>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Social Media</w:t>
            </w:r>
          </w:p>
        </w:tc>
        <w:tc>
          <w:tcPr>
            <w:tcW w:type="pct" w:w="16%"/>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Active</w:t>
            </w:r>
          </w:p>
        </w:tc>
        <w:tc>
          <w:tcPr>
            <w:tcW w:type="pct" w:w="16%"/>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Very Active</w:t>
            </w:r>
          </w:p>
        </w:tc>
        <w:tc>
          <w:tcPr>
            <w:tcW w:type="pct" w:w="14%"/>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Active</w:t>
            </w:r>
          </w:p>
        </w:tc>
        <w:tc>
          <w:tcPr>
            <w:tcW w:type="pct" w:w="16%"/>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Active</w:t>
            </w:r>
          </w:p>
        </w:tc>
        <w:tc>
          <w:tcPr>
            <w:tcW w:type="pct" w:w="16%"/>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Moderate</w:t>
            </w:r>
          </w:p>
        </w:tc>
      </w:tr>
      <w:tr>
        <w:trPr>
          <w:cantSplit/>
        </w:trPr>
        <w:tc>
          <w:tcPr>
            <w:tcW w:type="pct" w:w="100%"/>
            <w:gridSpan w:val="6"/>
            <w:tcBorders>
              <w:top w:val="single" w:color="D0D0D0" w:sz="1"/>
              <w:left w:val="none"/>
              <w:bottom w:val="none"/>
              <w:right w:val="none"/>
            </w:tcBorders>
          </w:tcPr>
          <w:p>
            <w:pPr>
              <w:spacing w:after="0" w:before="0"/>
            </w:pPr>
          </w:p>
        </w:tc>
      </w:tr>
      <w:tr>
        <w:trPr>
          <w:cantSplit/>
        </w:trPr>
        <w:tc>
          <w:tcPr>
            <w:tcW w:type="pct" w:w="22%"/>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Digital Score (1–10)</w:t>
            </w:r>
          </w:p>
        </w:tc>
        <w:tc>
          <w:tcPr>
            <w:tcW w:type="pct" w:w="16%"/>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9.0</w:t>
            </w:r>
          </w:p>
        </w:tc>
        <w:tc>
          <w:tcPr>
            <w:tcW w:type="pct" w:w="16%"/>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7.5</w:t>
            </w:r>
          </w:p>
        </w:tc>
        <w:tc>
          <w:tcPr>
            <w:tcW w:type="pct" w:w="14%"/>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6.5</w:t>
            </w:r>
          </w:p>
        </w:tc>
        <w:tc>
          <w:tcPr>
            <w:tcW w:type="pct" w:w="16%"/>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7.0</w:t>
            </w:r>
          </w:p>
        </w:tc>
        <w:tc>
          <w:tcPr>
            <w:tcW w:type="pct" w:w="16%"/>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5.0</w:t>
            </w:r>
          </w:p>
        </w:tc>
      </w:tr>
      <w:tr>
        <w:trPr>
          <w:cantSplit/>
        </w:trPr>
        <w:tc>
          <w:tcPr>
            <w:tcW w:type="pct" w:w="100%"/>
            <w:gridSpan w:val="6"/>
            <w:tcBorders>
              <w:top w:val="single" w:color="D0D0D0" w:sz="1"/>
              <w:left w:val="none"/>
              <w:bottom w:val="none"/>
              <w:right w:val="none"/>
            </w:tcBorders>
          </w:tcPr>
          <w:p>
            <w:pPr>
              <w:spacing w:after="0" w:before="0"/>
            </w:pPr>
          </w:p>
        </w:tc>
      </w:tr>
    </w:tbl>
    <w:p>
      <w:pPr>
        <w:spacing w:after="80" w:line="312"/>
        <w:ind w:firstLine="480"/>
        <w:jc w:val="both"/>
      </w:pPr>
      <w:r>
        <w:rPr>
          <w:rFonts w:ascii="Times New Roman"/>
          <w:color w:val="000000"/>
          <w:sz w:val="24"/>
          <w:szCs w:val="24"/>
        </w:rPr>
        <w:t xml:space="preserve">Solar Ireland achieves the highest digital presence score in the competitive audit, reflecting the significant investment in a modern Next.js website with comprehensive functionality. The AI-powered solar calculator is a particularly strong asset, providing instant estimates that convert website visitors into qualified leads. No other competitor currently offers a comparable AI-driven estimation tool, and this capability positions Solar Ireland favourably in Google search results for terms such as “solar panel calculator Ireland.”</w:t>
      </w:r>
    </w:p>
    <w:p>
      <w:pPr>
        <w:spacing w:after="80" w:line="312"/>
        <w:ind w:firstLine="480"/>
        <w:jc w:val="both"/>
      </w:pPr>
      <w:r>
        <w:rPr>
          <w:rFonts w:ascii="Times New Roman"/>
          <w:color w:val="000000"/>
          <w:sz w:val="24"/>
          <w:szCs w:val="24"/>
        </w:rPr>
        <w:t xml:space="preserve">The customer portal represents Solar Ireland’s most significant digital differentiator. While competitors typically communicate installation progress via phone calls, emails, or at best a basic online tracker, Solar Ireland’s eleven-step portal provides detailed visibility into each phase of the project from survey to commissioning. This level of transparency directly addresses the most common customer complaint in the solar industry: poor communication during the installation process. The portal should be prominently featured in all marketing materials as a core competitive advantage.</w:t>
      </w:r>
    </w:p>
    <w:p>
      <w:pPr>
        <w:spacing w:after="80" w:line="312"/>
        <w:ind w:firstLine="480"/>
        <w:jc w:val="both"/>
      </w:pPr>
      <w:r>
        <w:rPr>
          <w:rFonts w:ascii="Times New Roman"/>
          <w:color w:val="000000"/>
          <w:sz w:val="24"/>
          <w:szCs w:val="24"/>
        </w:rPr>
        <w:t xml:space="preserve">Solar Ireland’s county-specific SEO strategy, covering all thirty-two counties, is another area of strength. Each county has a dedicated landing page optimised for local search terms, which captures long-tail search traffic from homeowners researching solar installers in their area. This approach is more comprehensive than any competitor’s local SEO effort and provides a sustainable source of organic traffic that reduces dependence on paid advertising. Continued investment in blog content, case studies, and video testimonials for each county will further strengthen this advantage.</w:t>
      </w:r>
    </w:p>
    <w:p>
      <w:pPr>
        <w:pStyle w:val="Heading1"/>
        <w:spacing w:after="160" w:before="360" w:line="312"/>
      </w:pPr>
      <w:bookmarkStart w:id="100009" w:name="_Toc100009"/>
      <w:r>
        <w:rPr>
          <w:rFonts w:ascii="Times New Roman"/>
          <w:b/>
          <w:bCs/>
          <w:color w:val="0C3B2E"/>
          <w:sz w:val="32"/>
          <w:szCs w:val="32"/>
        </w:rPr>
        <w:t xml:space="preserve">7. Customer Experience Comparison</w:t>
      </w:r>
      <w:bookmarkEnd w:id="100009"/>
    </w:p>
    <w:p>
      <w:pPr>
        <w:spacing w:after="80" w:line="312"/>
        <w:ind w:firstLine="480"/>
        <w:jc w:val="both"/>
      </w:pPr>
      <w:r>
        <w:rPr>
          <w:rFonts w:ascii="Times New Roman"/>
          <w:color w:val="000000"/>
          <w:sz w:val="24"/>
          <w:szCs w:val="24"/>
        </w:rPr>
        <w:t xml:space="preserve">Customer experience is increasingly the defining competitive battleground in the Irish solar market. As hardware costs and panel efficiency converge across installers, the quality of the end-to-end customer journey—from initial enquiry to post-installation support—is becoming the primary differentiator. This section evaluates Solar Ireland’s customer experience capabilities against the competitive benchmark.</w:t>
      </w:r>
    </w:p>
    <w:p>
      <w:pPr>
        <w:spacing w:after="80" w:line="312"/>
        <w:ind w:firstLine="480"/>
        <w:jc w:val="both"/>
      </w:pPr>
      <w:r>
        <w:rPr>
          <w:rFonts w:ascii="Times New Roman"/>
          <w:color w:val="000000"/>
          <w:sz w:val="24"/>
          <w:szCs w:val="24"/>
        </w:rPr>
        <w:t xml:space="preserve">The solar installation process in Ireland typically involves five to seven stages: initial enquiry and site assessment, system design and quotation, SEAI grant application, installation scheduling, physical installation, commissioning and handover, and ongoing support. Industry research indicates that the average total timeline from initial enquiry to system commissioning is four to eight weeks, with some installers experiencing longer lead times during peak season from April to September.</w:t>
      </w:r>
    </w:p>
    <w:p>
      <w:pPr>
        <w:spacing w:after="80" w:line="312"/>
        <w:ind w:firstLine="480"/>
        <w:jc w:val="both"/>
      </w:pPr>
      <w:r>
        <w:rPr>
          <w:rFonts w:ascii="Times New Roman"/>
          <w:color w:val="000000"/>
          <w:sz w:val="24"/>
          <w:szCs w:val="24"/>
        </w:rPr>
        <w:t xml:space="preserve">Solar Ireland’s customer portal directly addresses the most significant pain point identified across competitor reviews: lack of communication and visibility during the installation process. Customer reviews of competitors frequently cite difficulty reaching installation teams, unclear scheduling, and uncertainty about project status. The eleven-step tracking portal eliminates this opacity by providing real-time status updates, documentation access, and direct communication channels. If executed effectively, this capability has the potential to generate superior customer satisfaction scores and, critically, more favourable Google reviews.</w:t>
      </w:r>
    </w:p>
    <w:p>
      <w:pPr>
        <w:spacing w:after="80" w:line="312"/>
        <w:ind w:firstLine="480"/>
        <w:jc w:val="both"/>
      </w:pPr>
      <w:r>
        <w:rPr>
          <w:rFonts w:ascii="Times New Roman"/>
          <w:color w:val="000000"/>
          <w:sz w:val="24"/>
          <w:szCs w:val="24"/>
        </w:rPr>
        <w:t xml:space="preserve">Warranty offerings are an important component of customer experience. Industry-standard warranties in the Irish market include a 25-year panel performance warranty, a 10–12-year inverter warranty, a 10-year installation workmanship warranty, and a 10-year battery warranty. Solar Ireland should ensure its warranty terms match or exceed the competitive benchmark, and warranty documentation should be easily accessible through the customer portal. After-sales support, including maintenance services and system performance monitoring, is another area where establishing robust processes before scaling installation volumes will prevent the customer service deterioration that often accompanies rapid growth.</w:t>
      </w:r>
    </w:p>
    <w:p>
      <w:pPr>
        <w:pStyle w:val="Heading1"/>
        <w:spacing w:after="160" w:before="360" w:line="312"/>
      </w:pPr>
      <w:bookmarkStart w:id="100010" w:name="_Toc100010"/>
      <w:r>
        <w:rPr>
          <w:rFonts w:ascii="Times New Roman"/>
          <w:b/>
          <w:bCs/>
          <w:color w:val="0C3B2E"/>
          <w:sz w:val="32"/>
          <w:szCs w:val="32"/>
        </w:rPr>
        <w:t xml:space="preserve">8. Solar Ireland SWOT Analysis</w:t>
      </w:r>
      <w:bookmarkEnd w:id="100010"/>
    </w:p>
    <w:p>
      <w:pPr>
        <w:spacing w:after="80" w:line="312"/>
        <w:ind w:firstLine="480"/>
        <w:jc w:val="both"/>
      </w:pPr>
      <w:r>
        <w:rPr>
          <w:rFonts w:ascii="Times New Roman"/>
          <w:color w:val="000000"/>
          <w:sz w:val="24"/>
          <w:szCs w:val="24"/>
        </w:rPr>
        <w:t xml:space="preserve">The following SWOT analysis synthesises the findings of this competitive audit into a structured strategic framework. Each quadrant reflects the key internal capabilities and external market dynamics that will shape Solar Ireland’s competitive trajectory over the next two to three years.</w:t>
      </w:r>
    </w:p>
    <w:p>
      <w:pPr>
        <w:pStyle w:val="Heading2"/>
        <w:spacing w:after="120" w:before="240" w:line="312"/>
      </w:pPr>
      <w:bookmarkStart w:id="100011" w:name="_Toc100011"/>
      <w:r>
        <w:rPr>
          <w:rFonts w:ascii="Times New Roman"/>
          <w:b/>
          <w:bCs/>
          <w:color w:val="0C3B2E"/>
          <w:sz w:val="28"/>
          <w:szCs w:val="28"/>
        </w:rPr>
        <w:t xml:space="preserve">8.1 Strengths</w:t>
      </w:r>
      <w:bookmarkEnd w:id="100011"/>
    </w:p>
    <w:p>
      <w:pPr>
        <w:spacing w:after="80" w:line="312"/>
        <w:ind w:firstLine="480"/>
        <w:jc w:val="both"/>
      </w:pPr>
      <w:r>
        <w:rPr>
          <w:rFonts w:ascii="Times New Roman"/>
          <w:color w:val="000000"/>
          <w:sz w:val="24"/>
          <w:szCs w:val="24"/>
        </w:rPr>
        <w:t xml:space="preserve">Solar Ireland’s most significant strength is its customer portal with eleven-step installation tracking, which is unmatched by any competitor in the Irish market. This digital asset directly addresses the industry’s primary customer complaint and positions the company as a technology leader. The AI-powered solar calculator provides a powerful lead generation tool that differentiates Solar Ireland at the top of the sales funnel. Comprehensive coverage of all thirty-two counties ensures nationwide accessibility, while the modern Next.js website with county-specific landing pages creates a scalable platform for organic growth. Transparent tiered pricing reduces friction in the purchasing decision, and the broad service catalogue covering PV, battery storage, EV chargers, and BER assessments addresses the majority of customer needs in a single engagement.</w:t>
      </w:r>
    </w:p>
    <w:p>
      <w:pPr>
        <w:pStyle w:val="Heading2"/>
        <w:spacing w:after="120" w:before="240" w:line="312"/>
      </w:pPr>
      <w:bookmarkStart w:id="100012" w:name="_Toc100012"/>
      <w:r>
        <w:rPr>
          <w:rFonts w:ascii="Times New Roman"/>
          <w:b/>
          <w:bCs/>
          <w:color w:val="0C3B2E"/>
          <w:sz w:val="28"/>
          <w:szCs w:val="28"/>
        </w:rPr>
        <w:t xml:space="preserve">8.2 Weaknesses</w:t>
      </w:r>
      <w:bookmarkEnd w:id="100012"/>
    </w:p>
    <w:p>
      <w:pPr>
        <w:spacing w:after="80" w:line="312"/>
        <w:ind w:firstLine="480"/>
        <w:jc w:val="both"/>
      </w:pPr>
      <w:r>
        <w:rPr>
          <w:rFonts w:ascii="Times New Roman"/>
          <w:color w:val="000000"/>
          <w:sz w:val="24"/>
          <w:szCs w:val="24"/>
        </w:rPr>
        <w:t xml:space="preserve">As a newer market entrant, Solar Ireland’s most significant weakness is the absence of an established customer review base. Google and Trustpilot reviews are the primary trust signals in this market, and a lack of reviews creates a credibility gap that competitors exploit. Limited brand recognition relative to incumbents such as Electric Ireland and Activ8 constrains organic discovery and customer confidence. The absence of heat pump services and maintenance packages represents a service catalogue gap that limits upselling opportunities. Furthermore, as a startup, Solar Ireland has not yet demonstrated the operational capacity to manage high-volume installations, which may concern customers evaluating multiple quotes.</w:t>
      </w:r>
    </w:p>
    <w:p>
      <w:pPr>
        <w:pStyle w:val="Heading2"/>
        <w:spacing w:after="120" w:before="240" w:line="312"/>
      </w:pPr>
      <w:bookmarkStart w:id="100013" w:name="_Toc100013"/>
      <w:r>
        <w:rPr>
          <w:rFonts w:ascii="Times New Roman"/>
          <w:b/>
          <w:bCs/>
          <w:color w:val="0C3B2E"/>
          <w:sz w:val="28"/>
          <w:szCs w:val="28"/>
        </w:rPr>
        <w:t xml:space="preserve">8.3 Opportunities</w:t>
      </w:r>
      <w:bookmarkEnd w:id="100013"/>
    </w:p>
    <w:p>
      <w:pPr>
        <w:spacing w:after="80" w:line="312"/>
        <w:ind w:firstLine="480"/>
        <w:jc w:val="both"/>
      </w:pPr>
      <w:r>
        <w:rPr>
          <w:rFonts w:ascii="Times New Roman"/>
          <w:color w:val="000000"/>
          <w:sz w:val="24"/>
          <w:szCs w:val="24"/>
        </w:rPr>
        <w:t xml:space="preserve">The Irish solar market’s projected 25–30% annual growth through 2028 represents a substantial opportunity for rapid market share acquisition. Potential SEAI grant increases, expected in late 2026 or early 2027, would further stimulate demand and reduce customer acquisition costs. The convergence of solar PV with electric vehicle adoption and home battery storage creates a growing demand for integrated energy solutions. Rising electricity costs, projected to remain elevated through 2027, strengthen the financial case for solar investment. Battery storage adoption is expected to accelerate as the Clean Export Guarantee evolves, creating higher-value installation opportunities. Solar Ireland’s digital infrastructure positions it well to capitalise on these trends with minimal incremental investment.</w:t>
      </w:r>
    </w:p>
    <w:p>
      <w:pPr>
        <w:pStyle w:val="Heading2"/>
        <w:spacing w:after="120" w:before="240" w:line="312"/>
      </w:pPr>
      <w:bookmarkStart w:id="100014" w:name="_Toc100014"/>
      <w:r>
        <w:rPr>
          <w:rFonts w:ascii="Times New Roman"/>
          <w:b/>
          <w:bCs/>
          <w:color w:val="0C3B2E"/>
          <w:sz w:val="28"/>
          <w:szCs w:val="28"/>
        </w:rPr>
        <w:t xml:space="preserve">8.4 Threats</w:t>
      </w:r>
      <w:bookmarkEnd w:id="100014"/>
    </w:p>
    <w:p>
      <w:pPr>
        <w:spacing w:after="80" w:line="312"/>
        <w:ind w:firstLine="480"/>
        <w:jc w:val="both"/>
      </w:pPr>
      <w:r>
        <w:rPr>
          <w:rFonts w:ascii="Times New Roman"/>
          <w:color w:val="000000"/>
          <w:sz w:val="24"/>
          <w:szCs w:val="24"/>
        </w:rPr>
        <w:t xml:space="preserve">Electric Ireland’s market dominance, backed by ESB’s brand recognition and cross-selling capabilities, represents the most significant competitive threat. Intensifying price competition from both large operators and smaller regional installers could compress margins, particularly in the 4kWp segment where Solar Ireland’s Essential tier operates. Regulatory changes, including potential modifications to the SEAI grant scheme or CEG rate, could disrupt market dynamics. The ongoing consolidation of the installer market, with larger companies acquiring regional operators, may further concentrate market power. Finally, installer saturation in high-demand areas such as Dublin, Cork, and Galway could increase customer acquisition costs and reduce lead quality.</w:t>
      </w:r>
    </w:p>
    <w:p>
      <w:pPr>
        <w:pStyle w:val="Heading1"/>
        <w:spacing w:after="160" w:before="360" w:line="312"/>
      </w:pPr>
      <w:bookmarkStart w:id="100015" w:name="_Toc100015"/>
      <w:r>
        <w:rPr>
          <w:rFonts w:ascii="Times New Roman"/>
          <w:b/>
          <w:bCs/>
          <w:color w:val="0C3B2E"/>
          <w:sz w:val="32"/>
          <w:szCs w:val="32"/>
        </w:rPr>
        <w:t xml:space="preserve">9. Ranking &amp; Scoring</w:t>
      </w:r>
      <w:bookmarkEnd w:id="100015"/>
    </w:p>
    <w:p>
      <w:pPr>
        <w:spacing w:after="80" w:line="312"/>
        <w:ind w:firstLine="480"/>
        <w:jc w:val="both"/>
      </w:pPr>
      <w:r>
        <w:rPr>
          <w:rFonts w:ascii="Times New Roman"/>
          <w:color w:val="000000"/>
          <w:sz w:val="24"/>
          <w:szCs w:val="24"/>
        </w:rPr>
        <w:t xml:space="preserve">A weighted scoring matrix has been developed to objectively rank Solar Ireland against the top five competitors across six competitive dimensions. The weighting reflects the relative importance of each dimension in driving customer acquisition and retention in the Irish residential solar market. Scores are assigned on a scale of one to ten based on the analysis presented in preceding sections of this report.</w:t>
      </w:r>
    </w:p>
    <w:p>
      <w:pPr>
        <w:spacing w:after="200" w:before="120"/>
        <w:jc w:val="center"/>
      </w:pPr>
      <w:r>
        <w:rPr>
          <w:rFonts w:ascii="Times New Roman"/>
          <w:i/>
          <w:iCs/>
          <w:color w:val="5A7A6A"/>
          <w:sz w:val="21"/>
          <w:szCs w:val="21"/>
        </w:rPr>
        <w:t xml:space="preserve">Table 5: Weighted Competitive Scoring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tblGrid>
      <w:tr>
        <w:trPr>
          <w:cantSplit/>
          <w:tblHeader/>
        </w:trPr>
        <w:tc>
          <w:tcPr>
            <w:tcW w:type="pct" w:w="22%"/>
            <w:tcBorders>
              <w:top w:val="single" w:color="2A7A65" w:sz="2"/>
              <w:left w:val="none"/>
              <w:bottom w:val="single" w:color="2A7A65" w:sz="2"/>
              <w:right w:val="none"/>
            </w:tcBorders>
            <w:shd w:fill="2A7A65" w:val="clear"/>
            <w:tcMar>
              <w:top w:type="dxa" w:w="50"/>
              <w:left w:type="dxa" w:w="80"/>
              <w:bottom w:type="dxa" w:w="50"/>
              <w:right w:type="dxa" w:w="80"/>
            </w:tcMar>
          </w:tcPr>
          <w:p>
            <w:r>
              <w:rPr>
                <w:rFonts w:ascii="Calibri"/>
                <w:b/>
                <w:bCs/>
                <w:color w:val="FFFFFF"/>
                <w:sz w:val="18"/>
                <w:szCs w:val="18"/>
              </w:rPr>
              <w:t xml:space="preserve">Dimension (Weight)</w:t>
            </w:r>
          </w:p>
        </w:tc>
        <w:tc>
          <w:tcPr>
            <w:tcW w:type="pct" w:w="16%"/>
            <w:tcBorders>
              <w:top w:val="single" w:color="2A7A65" w:sz="2"/>
              <w:left w:val="none"/>
              <w:bottom w:val="single" w:color="2A7A65" w:sz="2"/>
              <w:right w:val="none"/>
            </w:tcBorders>
            <w:shd w:fill="2A7A65" w:val="clear"/>
            <w:tcMar>
              <w:top w:type="dxa" w:w="50"/>
              <w:left w:type="dxa" w:w="80"/>
              <w:bottom w:type="dxa" w:w="50"/>
              <w:right w:type="dxa" w:w="80"/>
            </w:tcMar>
          </w:tcPr>
          <w:p>
            <w:r>
              <w:rPr>
                <w:rFonts w:ascii="Calibri"/>
                <w:b/>
                <w:bCs/>
                <w:color w:val="FFFFFF"/>
                <w:sz w:val="18"/>
                <w:szCs w:val="18"/>
              </w:rPr>
              <w:t xml:space="preserve">Solar Ireland</w:t>
            </w:r>
          </w:p>
        </w:tc>
        <w:tc>
          <w:tcPr>
            <w:tcW w:type="pct" w:w="16%"/>
            <w:tcBorders>
              <w:top w:val="single" w:color="2A7A65" w:sz="2"/>
              <w:left w:val="none"/>
              <w:bottom w:val="single" w:color="2A7A65" w:sz="2"/>
              <w:right w:val="none"/>
            </w:tcBorders>
            <w:shd w:fill="2A7A65" w:val="clear"/>
            <w:tcMar>
              <w:top w:type="dxa" w:w="50"/>
              <w:left w:type="dxa" w:w="80"/>
              <w:bottom w:type="dxa" w:w="50"/>
              <w:right w:type="dxa" w:w="80"/>
            </w:tcMar>
          </w:tcPr>
          <w:p>
            <w:r>
              <w:rPr>
                <w:rFonts w:ascii="Calibri"/>
                <w:b/>
                <w:bCs/>
                <w:color w:val="FFFFFF"/>
                <w:sz w:val="18"/>
                <w:szCs w:val="18"/>
              </w:rPr>
              <w:t xml:space="preserve">Electric Ireland</w:t>
            </w:r>
          </w:p>
        </w:tc>
        <w:tc>
          <w:tcPr>
            <w:tcW w:type="pct" w:w="14%"/>
            <w:tcBorders>
              <w:top w:val="single" w:color="2A7A65" w:sz="2"/>
              <w:left w:val="none"/>
              <w:bottom w:val="single" w:color="2A7A65" w:sz="2"/>
              <w:right w:val="none"/>
            </w:tcBorders>
            <w:shd w:fill="2A7A65" w:val="clear"/>
            <w:tcMar>
              <w:top w:type="dxa" w:w="50"/>
              <w:left w:type="dxa" w:w="80"/>
              <w:bottom w:type="dxa" w:w="50"/>
              <w:right w:type="dxa" w:w="80"/>
            </w:tcMar>
          </w:tcPr>
          <w:p>
            <w:r>
              <w:rPr>
                <w:rFonts w:ascii="Calibri"/>
                <w:b/>
                <w:bCs/>
                <w:color w:val="FFFFFF"/>
                <w:sz w:val="18"/>
                <w:szCs w:val="18"/>
              </w:rPr>
              <w:t xml:space="preserve">Activ8</w:t>
            </w:r>
          </w:p>
        </w:tc>
        <w:tc>
          <w:tcPr>
            <w:tcW w:type="pct" w:w="16%"/>
            <w:tcBorders>
              <w:top w:val="single" w:color="2A7A65" w:sz="2"/>
              <w:left w:val="none"/>
              <w:bottom w:val="single" w:color="2A7A65" w:sz="2"/>
              <w:right w:val="none"/>
            </w:tcBorders>
            <w:shd w:fill="2A7A65" w:val="clear"/>
            <w:tcMar>
              <w:top w:type="dxa" w:w="50"/>
              <w:left w:type="dxa" w:w="80"/>
              <w:bottom w:type="dxa" w:w="50"/>
              <w:right w:type="dxa" w:w="80"/>
            </w:tcMar>
          </w:tcPr>
          <w:p>
            <w:r>
              <w:rPr>
                <w:rFonts w:ascii="Calibri"/>
                <w:b/>
                <w:bCs/>
                <w:color w:val="FFFFFF"/>
                <w:sz w:val="18"/>
                <w:szCs w:val="18"/>
              </w:rPr>
              <w:t xml:space="preserve">Pinergy</w:t>
            </w:r>
          </w:p>
        </w:tc>
        <w:tc>
          <w:tcPr>
            <w:tcW w:type="pct" w:w="16%"/>
            <w:tcBorders>
              <w:top w:val="single" w:color="2A7A65" w:sz="2"/>
              <w:left w:val="none"/>
              <w:bottom w:val="single" w:color="2A7A65" w:sz="2"/>
              <w:right w:val="none"/>
            </w:tcBorders>
            <w:shd w:fill="2A7A65" w:val="clear"/>
            <w:tcMar>
              <w:top w:type="dxa" w:w="50"/>
              <w:left w:type="dxa" w:w="80"/>
              <w:bottom w:type="dxa" w:w="50"/>
              <w:right w:type="dxa" w:w="80"/>
            </w:tcMar>
          </w:tcPr>
          <w:p>
            <w:r>
              <w:rPr>
                <w:rFonts w:ascii="Calibri"/>
                <w:b/>
                <w:bCs/>
                <w:color w:val="FFFFFF"/>
                <w:sz w:val="18"/>
                <w:szCs w:val="18"/>
              </w:rPr>
              <w:t xml:space="preserve">Solar Electric</w:t>
            </w:r>
          </w:p>
        </w:tc>
      </w:tr>
      <w:tr>
        <w:trPr>
          <w:cantSplit/>
        </w:trPr>
        <w:tc>
          <w:tcPr>
            <w:tcW w:type="pct" w:w="22%"/>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Service Range (20%)</w:t>
            </w:r>
          </w:p>
        </w:tc>
        <w:tc>
          <w:tcPr>
            <w:tcW w:type="pct" w:w="16%"/>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7</w:t>
            </w:r>
          </w:p>
        </w:tc>
        <w:tc>
          <w:tcPr>
            <w:tcW w:type="pct" w:w="16%"/>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8</w:t>
            </w:r>
          </w:p>
        </w:tc>
        <w:tc>
          <w:tcPr>
            <w:tcW w:type="pct" w:w="14%"/>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9</w:t>
            </w:r>
          </w:p>
        </w:tc>
        <w:tc>
          <w:tcPr>
            <w:tcW w:type="pct" w:w="16%"/>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7</w:t>
            </w:r>
          </w:p>
        </w:tc>
        <w:tc>
          <w:tcPr>
            <w:tcW w:type="pct" w:w="16%"/>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8</w:t>
            </w:r>
          </w:p>
        </w:tc>
      </w:tr>
      <w:tr>
        <w:trPr>
          <w:cantSplit/>
        </w:trPr>
        <w:tc>
          <w:tcPr>
            <w:tcW w:type="pct" w:w="100%"/>
            <w:gridSpan w:val="6"/>
            <w:tcBorders>
              <w:top w:val="single" w:color="D0D0D0" w:sz="1"/>
              <w:left w:val="none"/>
              <w:bottom w:val="none"/>
              <w:right w:val="none"/>
            </w:tcBorders>
          </w:tcPr>
          <w:p>
            <w:pPr>
              <w:spacing w:after="0" w:before="0"/>
            </w:pPr>
          </w:p>
        </w:tc>
      </w:tr>
      <w:tr>
        <w:trPr>
          <w:cantSplit/>
        </w:trPr>
        <w:tc>
          <w:tcPr>
            <w:tcW w:type="pct" w:w="22%"/>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Pricing (20%)</w:t>
            </w:r>
          </w:p>
        </w:tc>
        <w:tc>
          <w:tcPr>
            <w:tcW w:type="pct" w:w="16%"/>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8</w:t>
            </w:r>
          </w:p>
        </w:tc>
        <w:tc>
          <w:tcPr>
            <w:tcW w:type="pct" w:w="16%"/>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7</w:t>
            </w:r>
          </w:p>
        </w:tc>
        <w:tc>
          <w:tcPr>
            <w:tcW w:type="pct" w:w="14%"/>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6</w:t>
            </w:r>
          </w:p>
        </w:tc>
        <w:tc>
          <w:tcPr>
            <w:tcW w:type="pct" w:w="16%"/>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6</w:t>
            </w:r>
          </w:p>
        </w:tc>
        <w:tc>
          <w:tcPr>
            <w:tcW w:type="pct" w:w="16%"/>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8</w:t>
            </w:r>
          </w:p>
        </w:tc>
      </w:tr>
      <w:tr>
        <w:trPr>
          <w:cantSplit/>
        </w:trPr>
        <w:tc>
          <w:tcPr>
            <w:tcW w:type="pct" w:w="100%"/>
            <w:gridSpan w:val="6"/>
            <w:tcBorders>
              <w:top w:val="single" w:color="D0D0D0" w:sz="1"/>
              <w:left w:val="none"/>
              <w:bottom w:val="none"/>
              <w:right w:val="none"/>
            </w:tcBorders>
          </w:tcPr>
          <w:p>
            <w:pPr>
              <w:spacing w:after="0" w:before="0"/>
            </w:pPr>
          </w:p>
        </w:tc>
      </w:tr>
      <w:tr>
        <w:trPr>
          <w:cantSplit/>
        </w:trPr>
        <w:tc>
          <w:tcPr>
            <w:tcW w:type="pct" w:w="22%"/>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Digital Presence (15%)</w:t>
            </w:r>
          </w:p>
        </w:tc>
        <w:tc>
          <w:tcPr>
            <w:tcW w:type="pct" w:w="16%"/>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9</w:t>
            </w:r>
          </w:p>
        </w:tc>
        <w:tc>
          <w:tcPr>
            <w:tcW w:type="pct" w:w="16%"/>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7</w:t>
            </w:r>
          </w:p>
        </w:tc>
        <w:tc>
          <w:tcPr>
            <w:tcW w:type="pct" w:w="14%"/>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6</w:t>
            </w:r>
          </w:p>
        </w:tc>
        <w:tc>
          <w:tcPr>
            <w:tcW w:type="pct" w:w="16%"/>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7</w:t>
            </w:r>
          </w:p>
        </w:tc>
        <w:tc>
          <w:tcPr>
            <w:tcW w:type="pct" w:w="16%"/>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5</w:t>
            </w:r>
          </w:p>
        </w:tc>
      </w:tr>
      <w:tr>
        <w:trPr>
          <w:cantSplit/>
        </w:trPr>
        <w:tc>
          <w:tcPr>
            <w:tcW w:type="pct" w:w="100%"/>
            <w:gridSpan w:val="6"/>
            <w:tcBorders>
              <w:top w:val="single" w:color="D0D0D0" w:sz="1"/>
              <w:left w:val="none"/>
              <w:bottom w:val="none"/>
              <w:right w:val="none"/>
            </w:tcBorders>
          </w:tcPr>
          <w:p>
            <w:pPr>
              <w:spacing w:after="0" w:before="0"/>
            </w:pPr>
          </w:p>
        </w:tc>
      </w:tr>
      <w:tr>
        <w:trPr>
          <w:cantSplit/>
        </w:trPr>
        <w:tc>
          <w:tcPr>
            <w:tcW w:type="pct" w:w="22%"/>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Customer Experience (15%)</w:t>
            </w:r>
          </w:p>
        </w:tc>
        <w:tc>
          <w:tcPr>
            <w:tcW w:type="pct" w:w="16%"/>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7*</w:t>
            </w:r>
          </w:p>
        </w:tc>
        <w:tc>
          <w:tcPr>
            <w:tcW w:type="pct" w:w="16%"/>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7</w:t>
            </w:r>
          </w:p>
        </w:tc>
        <w:tc>
          <w:tcPr>
            <w:tcW w:type="pct" w:w="14%"/>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8</w:t>
            </w:r>
          </w:p>
        </w:tc>
        <w:tc>
          <w:tcPr>
            <w:tcW w:type="pct" w:w="16%"/>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7</w:t>
            </w:r>
          </w:p>
        </w:tc>
        <w:tc>
          <w:tcPr>
            <w:tcW w:type="pct" w:w="16%"/>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7</w:t>
            </w:r>
          </w:p>
        </w:tc>
      </w:tr>
      <w:tr>
        <w:trPr>
          <w:cantSplit/>
        </w:trPr>
        <w:tc>
          <w:tcPr>
            <w:tcW w:type="pct" w:w="100%"/>
            <w:gridSpan w:val="6"/>
            <w:tcBorders>
              <w:top w:val="single" w:color="D0D0D0" w:sz="1"/>
              <w:left w:val="none"/>
              <w:bottom w:val="none"/>
              <w:right w:val="none"/>
            </w:tcBorders>
          </w:tcPr>
          <w:p>
            <w:pPr>
              <w:spacing w:after="0" w:before="0"/>
            </w:pPr>
          </w:p>
        </w:tc>
      </w:tr>
      <w:tr>
        <w:trPr>
          <w:cantSplit/>
        </w:trPr>
        <w:tc>
          <w:tcPr>
            <w:tcW w:type="pct" w:w="22%"/>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Brand Trust (15%)</w:t>
            </w:r>
          </w:p>
        </w:tc>
        <w:tc>
          <w:tcPr>
            <w:tcW w:type="pct" w:w="16%"/>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3</w:t>
            </w:r>
          </w:p>
        </w:tc>
        <w:tc>
          <w:tcPr>
            <w:tcW w:type="pct" w:w="16%"/>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9</w:t>
            </w:r>
          </w:p>
        </w:tc>
        <w:tc>
          <w:tcPr>
            <w:tcW w:type="pct" w:w="14%"/>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9</w:t>
            </w:r>
          </w:p>
        </w:tc>
        <w:tc>
          <w:tcPr>
            <w:tcW w:type="pct" w:w="16%"/>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8</w:t>
            </w:r>
          </w:p>
        </w:tc>
        <w:tc>
          <w:tcPr>
            <w:tcW w:type="pct" w:w="16%"/>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7</w:t>
            </w:r>
          </w:p>
        </w:tc>
      </w:tr>
      <w:tr>
        <w:trPr>
          <w:cantSplit/>
        </w:trPr>
        <w:tc>
          <w:tcPr>
            <w:tcW w:type="pct" w:w="100%"/>
            <w:gridSpan w:val="6"/>
            <w:tcBorders>
              <w:top w:val="single" w:color="D0D0D0" w:sz="1"/>
              <w:left w:val="none"/>
              <w:bottom w:val="none"/>
              <w:right w:val="none"/>
            </w:tcBorders>
          </w:tcPr>
          <w:p>
            <w:pPr>
              <w:spacing w:after="0" w:before="0"/>
            </w:pPr>
          </w:p>
        </w:tc>
      </w:tr>
      <w:tr>
        <w:trPr>
          <w:cantSplit/>
        </w:trPr>
        <w:tc>
          <w:tcPr>
            <w:tcW w:type="pct" w:w="22%"/>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Geographic Coverage (15%)</w:t>
            </w:r>
          </w:p>
        </w:tc>
        <w:tc>
          <w:tcPr>
            <w:tcW w:type="pct" w:w="16%"/>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10</w:t>
            </w:r>
          </w:p>
        </w:tc>
        <w:tc>
          <w:tcPr>
            <w:tcW w:type="pct" w:w="16%"/>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9</w:t>
            </w:r>
          </w:p>
        </w:tc>
        <w:tc>
          <w:tcPr>
            <w:tcW w:type="pct" w:w="14%"/>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8</w:t>
            </w:r>
          </w:p>
        </w:tc>
        <w:tc>
          <w:tcPr>
            <w:tcW w:type="pct" w:w="16%"/>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9</w:t>
            </w:r>
          </w:p>
        </w:tc>
        <w:tc>
          <w:tcPr>
            <w:tcW w:type="pct" w:w="16%"/>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9</w:t>
            </w:r>
          </w:p>
        </w:tc>
      </w:tr>
      <w:tr>
        <w:trPr>
          <w:cantSplit/>
        </w:trPr>
        <w:tc>
          <w:tcPr>
            <w:tcW w:type="pct" w:w="100%"/>
            <w:gridSpan w:val="6"/>
            <w:tcBorders>
              <w:top w:val="single" w:color="D0D0D0" w:sz="1"/>
              <w:left w:val="none"/>
              <w:bottom w:val="none"/>
              <w:right w:val="none"/>
            </w:tcBorders>
          </w:tcPr>
          <w:p>
            <w:pPr>
              <w:spacing w:after="0" w:before="0"/>
            </w:pPr>
          </w:p>
        </w:tc>
      </w:tr>
      <w:tr>
        <w:trPr>
          <w:cantSplit/>
        </w:trPr>
        <w:tc>
          <w:tcPr>
            <w:tcW w:type="pct" w:w="22%"/>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Weighted Total</w:t>
            </w:r>
          </w:p>
        </w:tc>
        <w:tc>
          <w:tcPr>
            <w:tcW w:type="pct" w:w="16%"/>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7.25</w:t>
            </w:r>
          </w:p>
        </w:tc>
        <w:tc>
          <w:tcPr>
            <w:tcW w:type="pct" w:w="16%"/>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7.80</w:t>
            </w:r>
          </w:p>
        </w:tc>
        <w:tc>
          <w:tcPr>
            <w:tcW w:type="pct" w:w="14%"/>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7.70</w:t>
            </w:r>
          </w:p>
        </w:tc>
        <w:tc>
          <w:tcPr>
            <w:tcW w:type="pct" w:w="16%"/>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7.15</w:t>
            </w:r>
          </w:p>
        </w:tc>
        <w:tc>
          <w:tcPr>
            <w:tcW w:type="pct" w:w="16%"/>
            <w:tcBorders>
              <w:top w:val="none"/>
              <w:left w:val="none"/>
              <w:bottom w:val="none"/>
              <w:right w:val="none"/>
            </w:tcBorders>
            <w:shd w:fill="EDF5F2" w:val="clear"/>
            <w:tcMar>
              <w:top w:type="dxa" w:w="40"/>
              <w:left w:type="dxa" w:w="80"/>
              <w:bottom w:type="dxa" w:w="40"/>
              <w:right w:type="dxa" w:w="80"/>
            </w:tcMar>
          </w:tcPr>
          <w:p>
            <w:r>
              <w:rPr>
                <w:rFonts w:ascii="Calibri"/>
                <w:color w:val="000000"/>
                <w:sz w:val="17"/>
                <w:szCs w:val="17"/>
              </w:rPr>
              <w:t xml:space="preserve">7.25</w:t>
            </w:r>
          </w:p>
        </w:tc>
      </w:tr>
      <w:tr>
        <w:trPr>
          <w:cantSplit/>
        </w:trPr>
        <w:tc>
          <w:tcPr>
            <w:tcW w:type="pct" w:w="100%"/>
            <w:gridSpan w:val="6"/>
            <w:tcBorders>
              <w:top w:val="single" w:color="D0D0D0" w:sz="1"/>
              <w:left w:val="none"/>
              <w:bottom w:val="none"/>
              <w:right w:val="none"/>
            </w:tcBorders>
          </w:tcPr>
          <w:p>
            <w:pPr>
              <w:spacing w:after="0" w:before="0"/>
            </w:pPr>
          </w:p>
        </w:tc>
      </w:tr>
      <w:tr>
        <w:trPr>
          <w:cantSplit/>
        </w:trPr>
        <w:tc>
          <w:tcPr>
            <w:tcW w:type="pct" w:w="22%"/>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Rank</w:t>
            </w:r>
          </w:p>
        </w:tc>
        <w:tc>
          <w:tcPr>
            <w:tcW w:type="pct" w:w="16%"/>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4th</w:t>
            </w:r>
          </w:p>
        </w:tc>
        <w:tc>
          <w:tcPr>
            <w:tcW w:type="pct" w:w="16%"/>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1st</w:t>
            </w:r>
          </w:p>
        </w:tc>
        <w:tc>
          <w:tcPr>
            <w:tcW w:type="pct" w:w="14%"/>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2nd</w:t>
            </w:r>
          </w:p>
        </w:tc>
        <w:tc>
          <w:tcPr>
            <w:tcW w:type="pct" w:w="16%"/>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5th</w:t>
            </w:r>
          </w:p>
        </w:tc>
        <w:tc>
          <w:tcPr>
            <w:tcW w:type="pct" w:w="16%"/>
            <w:tcBorders>
              <w:top w:val="none"/>
              <w:left w:val="none"/>
              <w:bottom w:val="none"/>
              <w:right w:val="none"/>
            </w:tcBorders>
            <w:tcMar>
              <w:top w:type="dxa" w:w="40"/>
              <w:left w:type="dxa" w:w="80"/>
              <w:bottom w:type="dxa" w:w="40"/>
              <w:right w:type="dxa" w:w="80"/>
            </w:tcMar>
          </w:tcPr>
          <w:p>
            <w:r>
              <w:rPr>
                <w:rFonts w:ascii="Calibri"/>
                <w:color w:val="000000"/>
                <w:sz w:val="17"/>
                <w:szCs w:val="17"/>
              </w:rPr>
              <w:t xml:space="preserve">3rd</w:t>
            </w:r>
          </w:p>
        </w:tc>
      </w:tr>
      <w:tr>
        <w:trPr>
          <w:cantSplit/>
        </w:trPr>
        <w:tc>
          <w:tcPr>
            <w:tcW w:type="pct" w:w="100%"/>
            <w:gridSpan w:val="6"/>
            <w:tcBorders>
              <w:top w:val="single" w:color="D0D0D0" w:sz="1"/>
              <w:left w:val="none"/>
              <w:bottom w:val="none"/>
              <w:right w:val="none"/>
            </w:tcBorders>
          </w:tcPr>
          <w:p>
            <w:pPr>
              <w:spacing w:after="0" w:before="0"/>
            </w:pPr>
          </w:p>
        </w:tc>
      </w:tr>
    </w:tbl>
    <w:p>
      <w:pPr>
        <w:spacing w:after="80" w:line="312"/>
        <w:ind w:firstLine="480"/>
        <w:jc w:val="both"/>
      </w:pPr>
      <w:r>
        <w:rPr>
          <w:rFonts w:ascii="Times New Roman"/>
          <w:color w:val="000000"/>
          <w:sz w:val="24"/>
          <w:szCs w:val="24"/>
        </w:rPr>
        <w:t xml:space="preserve">The scoring analysis reveals that Solar Ireland ranks fourth overall, scoring 7.25 out of ten. Electric Ireland leads the ranking with 7.80, driven primarily by its dominant brand trust score and broad service range. Activ8 Solar Energies ranks second at 7.70, benefiting from the most comprehensive service catalogue and strong customer experience. Solar Electric and Solar Ireland share third place at 7.25, though Solar Ireland achieves this score with a notably different profile: higher digital and geographic coverage scores offset by a significantly lower brand trust rating.</w:t>
      </w:r>
    </w:p>
    <w:p>
      <w:pPr>
        <w:spacing w:after="80" w:line="312"/>
        <w:ind w:firstLine="480"/>
        <w:jc w:val="both"/>
      </w:pPr>
      <w:r>
        <w:rPr>
          <w:rFonts w:ascii="Times New Roman"/>
          <w:color w:val="000000"/>
          <w:sz w:val="24"/>
          <w:szCs w:val="24"/>
        </w:rPr>
        <w:t xml:space="preserve">The asterisk on Solar Ireland’s customer experience score (7) reflects an estimated rating, as the company has not yet accumulated sufficient customer feedback to validate the score. The customer portal and AI calculator suggest that Solar Ireland’s actual customer experience may exceed the estimated score once installations are underway and feedback is collected. If Solar Ireland achieves a customer experience score of 8 or above, its overall weighted score would increase to 7.40, potentially surpassing both Pinergy and Solar Electric.</w:t>
      </w:r>
    </w:p>
    <w:p>
      <w:pPr>
        <w:spacing w:after="80" w:line="312"/>
        <w:ind w:firstLine="480"/>
        <w:jc w:val="both"/>
      </w:pPr>
      <w:r>
        <w:rPr>
          <w:rFonts w:ascii="Times New Roman"/>
          <w:color w:val="000000"/>
          <w:sz w:val="24"/>
          <w:szCs w:val="24"/>
        </w:rPr>
        <w:t xml:space="preserve">The scoring matrix highlights that brand trust is Solar Ireland’s most significant competitive gap, scoring three points below Electric Ireland and Activ8. Addressing this gap through systematic review generation, strategic partnerships, and community engagement should be the company’s highest strategic priority. The digital presence and geographic coverage advantages, while significant, require a strong brand trust foundation to be fully leveraged in converting website traffic into paying customers.</w:t>
      </w:r>
    </w:p>
    <w:p>
      <w:pPr>
        <w:pStyle w:val="Heading1"/>
        <w:spacing w:after="160" w:before="360" w:line="312"/>
      </w:pPr>
      <w:bookmarkStart w:id="100016" w:name="_Toc100016"/>
      <w:r>
        <w:rPr>
          <w:rFonts w:ascii="Times New Roman"/>
          <w:b/>
          <w:bCs/>
          <w:color w:val="0C3B2E"/>
          <w:sz w:val="32"/>
          <w:szCs w:val="32"/>
        </w:rPr>
        <w:t xml:space="preserve">10. Strategic Recommendations</w:t>
      </w:r>
      <w:bookmarkEnd w:id="100016"/>
    </w:p>
    <w:p>
      <w:pPr>
        <w:spacing w:after="80" w:line="312"/>
        <w:ind w:firstLine="480"/>
        <w:jc w:val="both"/>
      </w:pPr>
      <w:r>
        <w:rPr>
          <w:rFonts w:ascii="Times New Roman"/>
          <w:color w:val="000000"/>
          <w:sz w:val="24"/>
          <w:szCs w:val="24"/>
        </w:rPr>
        <w:t xml:space="preserve">Based on the comprehensive analysis presented in this report, the following ten strategic recommendations are prioritised by expected impact and implementation urgency. Each recommendation includes an actionable description and rationale grounded in the competitive findings.</w:t>
      </w:r>
    </w:p>
    <w:p>
      <w:pPr>
        <w:spacing w:after="80" w:line="312"/>
        <w:ind w:firstLine="480"/>
        <w:jc w:val="both"/>
      </w:pPr>
      <w:r>
        <w:rPr>
          <w:rFonts w:ascii="Times New Roman"/>
          <w:b/>
          <w:bCs/>
          <w:color w:val="000000"/>
          <w:sz w:val="24"/>
          <w:szCs w:val="24"/>
        </w:rPr>
        <w:t xml:space="preserve">1. Build Review Base (Priority: Critical)</w:t>
      </w:r>
    </w:p>
    <w:p>
      <w:pPr>
        <w:spacing w:after="80" w:line="312"/>
        <w:ind w:firstLine="480"/>
        <w:jc w:val="both"/>
      </w:pPr>
      <w:r>
        <w:rPr>
          <w:rFonts w:ascii="Times New Roman"/>
          <w:color w:val="000000"/>
          <w:sz w:val="24"/>
          <w:szCs w:val="24"/>
        </w:rPr>
        <w:t xml:space="preserve">Implement a systematic post-installation review collection process targeting Google Reviews and Trustpilot. Each completed installation should trigger an automated follow-up sequence: a satisfaction survey within seven days, a review request within fourteen days, and a personal follow-up call for customers who have not submitted a review within twenty-one days. Aim for a minimum of fifty Google reviews within the first six months of active operations. Consider offering a small incentive such as a complimentary annual system health check for customers who leave detailed reviews.</w:t>
      </w:r>
    </w:p>
    <w:p>
      <w:pPr>
        <w:spacing w:after="80" w:line="312"/>
        <w:ind w:firstLine="480"/>
        <w:jc w:val="both"/>
      </w:pPr>
      <w:r>
        <w:rPr>
          <w:rFonts w:ascii="Times New Roman"/>
          <w:b/>
          <w:bCs/>
          <w:color w:val="000000"/>
          <w:sz w:val="24"/>
          <w:szCs w:val="24"/>
        </w:rPr>
        <w:t xml:space="preserve">2. Add Heat Pump Services (Priority: High)</w:t>
      </w:r>
    </w:p>
    <w:p>
      <w:pPr>
        <w:spacing w:after="80" w:line="312"/>
        <w:ind w:firstLine="480"/>
        <w:jc w:val="both"/>
      </w:pPr>
      <w:r>
        <w:rPr>
          <w:rFonts w:ascii="Times New Roman"/>
          <w:color w:val="000000"/>
          <w:sz w:val="24"/>
          <w:szCs w:val="24"/>
        </w:rPr>
        <w:t xml:space="preserve">Evaluate the addition of air-source and ground-source heat pump installation to the service catalogue. Heat pumps are increasingly central to the Irish residential energy retrofit market, and competitors such as Activ8 and EcoPlex are using integrated solar-plus-heat-pump packages to differentiate their offerings. A phased approach is recommended, beginning with air-source heat pump partnerships with established manufacturers such as Daikin, Mitsubishi, or Samsung. SEAI offers a separate heat pump grant of up to €6,500, which creates a compelling cross-selling opportunity.</w:t>
      </w:r>
    </w:p>
    <w:p>
      <w:pPr>
        <w:spacing w:after="80" w:line="312"/>
        <w:ind w:firstLine="480"/>
        <w:jc w:val="both"/>
      </w:pPr>
      <w:r>
        <w:rPr>
          <w:rFonts w:ascii="Times New Roman"/>
          <w:b/>
          <w:bCs/>
          <w:color w:val="000000"/>
          <w:sz w:val="24"/>
          <w:szCs w:val="24"/>
        </w:rPr>
        <w:t xml:space="preserve">3. Leverage Customer Portal as USP (Priority: High)</w:t>
      </w:r>
    </w:p>
    <w:p>
      <w:pPr>
        <w:spacing w:after="80" w:line="312"/>
        <w:ind w:firstLine="480"/>
        <w:jc w:val="both"/>
      </w:pPr>
      <w:r>
        <w:rPr>
          <w:rFonts w:ascii="Times New Roman"/>
          <w:color w:val="000000"/>
          <w:sz w:val="24"/>
          <w:szCs w:val="24"/>
        </w:rPr>
        <w:t xml:space="preserve">The customer portal should be positioned as the central pillar of Solar Ireland’s brand identity and marketing strategy. All advertising materials, website copy, and sales presentations should prominently feature the eleven-step tracking system with visual demonstrations. Consider publishing case studies and video walkthroughs of the portal experience to help prospective customers understand the value proposition. The portal messaging should emphasise transparency, control, and peace of mind—the three attributes most valued by solar customers.</w:t>
      </w:r>
    </w:p>
    <w:p>
      <w:pPr>
        <w:spacing w:after="80" w:line="312"/>
        <w:ind w:firstLine="480"/>
        <w:jc w:val="both"/>
      </w:pPr>
      <w:r>
        <w:rPr>
          <w:rFonts w:ascii="Times New Roman"/>
          <w:b/>
          <w:bCs/>
          <w:color w:val="000000"/>
          <w:sz w:val="24"/>
          <w:szCs w:val="24"/>
        </w:rPr>
        <w:t xml:space="preserve">4. Content Marketing Through Blog (Priority: High)</w:t>
      </w:r>
    </w:p>
    <w:p>
      <w:pPr>
        <w:spacing w:after="80" w:line="312"/>
        <w:ind w:firstLine="480"/>
        <w:jc w:val="both"/>
      </w:pPr>
      <w:r>
        <w:rPr>
          <w:rFonts w:ascii="Times New Roman"/>
          <w:color w:val="000000"/>
          <w:sz w:val="24"/>
          <w:szCs w:val="24"/>
        </w:rPr>
        <w:t xml:space="preserve">Develop a comprehensive content marketing strategy centred on the existing blog platform. Produce a minimum of four high-quality articles per month, covering topics such as solar panel savings calculations, SEAI grant guides, county-specific installation case studies, and renewable energy news. Target long-tail keywords for each county landing page to strengthen local SEO performance. Content should be shared across social media channels and repurposed into downloadable guides that serve as lead magnets.</w:t>
      </w:r>
    </w:p>
    <w:p>
      <w:pPr>
        <w:spacing w:after="80" w:line="312"/>
        <w:ind w:firstLine="480"/>
        <w:jc w:val="both"/>
      </w:pPr>
      <w:r>
        <w:rPr>
          <w:rFonts w:ascii="Times New Roman"/>
          <w:b/>
          <w:bCs/>
          <w:color w:val="000000"/>
          <w:sz w:val="24"/>
          <w:szCs w:val="24"/>
        </w:rPr>
        <w:t xml:space="preserve">5. Consider Finance Partnership (Priority: Medium)</w:t>
      </w:r>
    </w:p>
    <w:p>
      <w:pPr>
        <w:spacing w:after="80" w:line="312"/>
        <w:ind w:firstLine="480"/>
        <w:jc w:val="both"/>
      </w:pPr>
      <w:r>
        <w:rPr>
          <w:rFonts w:ascii="Times New Roman"/>
          <w:color w:val="000000"/>
          <w:sz w:val="24"/>
          <w:szCs w:val="24"/>
        </w:rPr>
        <w:t xml:space="preserve">Partner with a consumer finance provider to offer flexible payment options such as monthly instalment plans or buy-now-pay-later schemes. The upfront cost of solar installation remains a significant barrier for many households, and finance options can reduce this barrier while enabling Solar Ireland to compete on value rather than price. Competitors such as Electric Ireland and Activ8 already offer finance options, making this a standard market expectation rather than a differentiator.</w:t>
      </w:r>
    </w:p>
    <w:p>
      <w:pPr>
        <w:spacing w:after="80" w:line="312"/>
        <w:ind w:firstLine="480"/>
        <w:jc w:val="both"/>
      </w:pPr>
      <w:r>
        <w:rPr>
          <w:rFonts w:ascii="Times New Roman"/>
          <w:b/>
          <w:bCs/>
          <w:color w:val="000000"/>
          <w:sz w:val="24"/>
          <w:szCs w:val="24"/>
        </w:rPr>
        <w:t xml:space="preserve">6. WhatsApp Automation (Priority: Medium)</w:t>
      </w:r>
    </w:p>
    <w:p>
      <w:pPr>
        <w:spacing w:after="80" w:line="312"/>
        <w:ind w:firstLine="480"/>
        <w:jc w:val="both"/>
      </w:pPr>
      <w:r>
        <w:rPr>
          <w:rFonts w:ascii="Times New Roman"/>
          <w:color w:val="000000"/>
          <w:sz w:val="24"/>
          <w:szCs w:val="24"/>
        </w:rPr>
        <w:t xml:space="preserve">Implement WhatsApp Business API for automated customer communication at key stages of the installation journey. Automated messages for appointment confirmations, installation day reminders, and post-installation support can reduce administrative burden while improving customer satisfaction. WhatsApp is the preferred communication channel for a significant proportion of Irish consumers and can complement the customer portal for customers who prefer messaging-based communication.</w:t>
      </w:r>
    </w:p>
    <w:p>
      <w:pPr>
        <w:spacing w:after="80" w:line="312"/>
        <w:ind w:firstLine="480"/>
        <w:jc w:val="both"/>
      </w:pPr>
      <w:r>
        <w:rPr>
          <w:rFonts w:ascii="Times New Roman"/>
          <w:b/>
          <w:bCs/>
          <w:color w:val="000000"/>
          <w:sz w:val="24"/>
          <w:szCs w:val="24"/>
        </w:rPr>
        <w:t xml:space="preserve">7. Referral Programme (Priority: Medium)</w:t>
      </w:r>
    </w:p>
    <w:p>
      <w:pPr>
        <w:spacing w:after="80" w:line="312"/>
        <w:ind w:firstLine="480"/>
        <w:jc w:val="both"/>
      </w:pPr>
      <w:r>
        <w:rPr>
          <w:rFonts w:ascii="Times New Roman"/>
          <w:color w:val="000000"/>
          <w:sz w:val="24"/>
          <w:szCs w:val="24"/>
        </w:rPr>
        <w:t xml:space="preserve">Launch a structured referral programme that incentivises existing customers to recommend Solar Ireland to friends, family, and neighbours. The solar market is characterised by high referral rates, with research indicating that 30–40% of installations originate from personal recommendations. A referral reward of €150–€200 per successful referral, funded from the marketing budget, offers a cost-effective customer acquisition channel with higher conversion rates than paid advertising.</w:t>
      </w:r>
    </w:p>
    <w:p>
      <w:pPr>
        <w:spacing w:after="80" w:line="312"/>
        <w:ind w:firstLine="480"/>
        <w:jc w:val="both"/>
      </w:pPr>
      <w:r>
        <w:rPr>
          <w:rFonts w:ascii="Times New Roman"/>
          <w:b/>
          <w:bCs/>
          <w:color w:val="000000"/>
          <w:sz w:val="24"/>
          <w:szCs w:val="24"/>
        </w:rPr>
        <w:t xml:space="preserve">8. County Landing Page Optimisation (Priority: Medium)</w:t>
      </w:r>
    </w:p>
    <w:p>
      <w:pPr>
        <w:spacing w:after="80" w:line="312"/>
        <w:ind w:firstLine="480"/>
        <w:jc w:val="both"/>
      </w:pPr>
      <w:r>
        <w:rPr>
          <w:rFonts w:ascii="Times New Roman"/>
          <w:color w:val="000000"/>
          <w:sz w:val="24"/>
          <w:szCs w:val="24"/>
        </w:rPr>
        <w:t xml:space="preserve">Invest in the ongoing optimisation of county-specific landing pages. Each page should feature unique content including local installation case studies, regional pricing considerations, county-specific SEAI statistics, and testimonials from customers in that area. Embed locally optimised schema markup to improve visibility in Google Local Search results. Track organic traffic and lead generation metrics for each county to identify high-performing regions for targeted advertising investment.</w:t>
      </w:r>
    </w:p>
    <w:p>
      <w:pPr>
        <w:spacing w:after="80" w:line="312"/>
        <w:ind w:firstLine="480"/>
        <w:jc w:val="both"/>
      </w:pPr>
      <w:r>
        <w:rPr>
          <w:rFonts w:ascii="Times New Roman"/>
          <w:b/>
          <w:bCs/>
          <w:color w:val="000000"/>
          <w:sz w:val="24"/>
          <w:szCs w:val="24"/>
        </w:rPr>
        <w:t xml:space="preserve">9. Video Testimonials (Priority: Low)</w:t>
      </w:r>
    </w:p>
    <w:p>
      <w:pPr>
        <w:spacing w:after="80" w:line="312"/>
        <w:ind w:firstLine="480"/>
        <w:jc w:val="both"/>
      </w:pPr>
      <w:r>
        <w:rPr>
          <w:rFonts w:ascii="Times New Roman"/>
          <w:color w:val="000000"/>
          <w:sz w:val="24"/>
          <w:szCs w:val="24"/>
        </w:rPr>
        <w:t xml:space="preserve">Invest in professional video production of customer testimonials and installation walkthroughs. Video content significantly outperforms text and static images in social media engagement and Google search visibility. Prioritise videos that demonstrate the customer portal experience, show completed installations in diverse property types, and feature authentic customer commentary on the installation experience and system performance.</w:t>
      </w:r>
    </w:p>
    <w:p>
      <w:pPr>
        <w:spacing w:after="80" w:line="312"/>
        <w:ind w:firstLine="480"/>
        <w:jc w:val="both"/>
      </w:pPr>
      <w:r>
        <w:rPr>
          <w:rFonts w:ascii="Times New Roman"/>
          <w:b/>
          <w:bCs/>
          <w:color w:val="000000"/>
          <w:sz w:val="24"/>
          <w:szCs w:val="24"/>
        </w:rPr>
        <w:t xml:space="preserve">10. Local Partnerships (Priority: Low)</w:t>
      </w:r>
    </w:p>
    <w:p>
      <w:pPr>
        <w:spacing w:after="80" w:line="312"/>
        <w:ind w:firstLine="480"/>
        <w:jc w:val="both"/>
      </w:pPr>
      <w:r>
        <w:rPr>
          <w:rFonts w:ascii="Times New Roman"/>
          <w:color w:val="000000"/>
          <w:sz w:val="24"/>
          <w:szCs w:val="24"/>
        </w:rPr>
        <w:t xml:space="preserve">Establish partnerships with local electricians, roofing contractors, and BER assessors in each county to create a referral network. Local tradespeople frequently receive enquiries from homeowners considering solar panels and can serve as a valuable source of qualified leads. Consider a formal partnership programme with agreed referral fees or reciprocal arrangements. Additionally, community group partnerships, such as with local Tidy Towns committees and sustainable energy communities, can generate brand awareness and demonstrate corporate social responsibility.</w:t>
      </w:r>
    </w:p>
    <w:p>
      <w:pPr>
        <w:pStyle w:val="Heading1"/>
        <w:spacing w:after="160" w:before="360" w:line="312"/>
      </w:pPr>
      <w:bookmarkStart w:id="100017" w:name="_Toc100017"/>
      <w:r>
        <w:rPr>
          <w:rFonts w:ascii="Times New Roman"/>
          <w:b/>
          <w:bCs/>
          <w:color w:val="0C3B2E"/>
          <w:sz w:val="32"/>
          <w:szCs w:val="32"/>
        </w:rPr>
        <w:t xml:space="preserve">11. Conclusion</w:t>
      </w:r>
      <w:bookmarkEnd w:id="100017"/>
    </w:p>
    <w:p>
      <w:pPr>
        <w:spacing w:after="80" w:line="312"/>
        <w:ind w:firstLine="480"/>
        <w:jc w:val="both"/>
      </w:pPr>
      <w:r>
        <w:rPr>
          <w:rFonts w:ascii="Times New Roman"/>
          <w:color w:val="000000"/>
          <w:sz w:val="24"/>
          <w:szCs w:val="24"/>
        </w:rPr>
        <w:t xml:space="preserve">This competitive audit demonstrates that Solar Ireland enters the Irish solar PV market with a genuinely differentiated value proposition. The combination of a modern digital platform, AI-powered tools, comprehensive customer portal, and nationwide coverage provides a foundation for competitive success that few incumbents can match. The company’s digital presence score of 9.0 out of 10 is the highest in the market, and the customer portal represents an innovation that addresses a fundamental industry weakness.</w:t>
      </w:r>
    </w:p>
    <w:p>
      <w:pPr>
        <w:spacing w:after="80" w:line="312"/>
        <w:ind w:firstLine="480"/>
        <w:jc w:val="both"/>
      </w:pPr>
      <w:r>
        <w:rPr>
          <w:rFonts w:ascii="Times New Roman"/>
          <w:color w:val="000000"/>
          <w:sz w:val="24"/>
          <w:szCs w:val="24"/>
        </w:rPr>
        <w:t xml:space="preserve">However, digital excellence alone is insufficient to capture market share in an industry where trust, reputation, and operational track record are the primary purchase decision factors. Solar Ireland’s immediate priority must be building the credibility and social proof necessary to convert its digital advantages into customer acquisition. This requires a focused, disciplined approach to review generation, strategic partnerships, and community engagement over the next twelve months.</w:t>
      </w:r>
    </w:p>
    <w:p>
      <w:pPr>
        <w:spacing w:after="80" w:line="312"/>
        <w:ind w:firstLine="480"/>
        <w:jc w:val="both"/>
      </w:pPr>
      <w:r>
        <w:rPr>
          <w:rFonts w:ascii="Times New Roman"/>
          <w:color w:val="000000"/>
          <w:sz w:val="24"/>
          <w:szCs w:val="24"/>
        </w:rPr>
        <w:t xml:space="preserve">The Irish solar market’s strong growth trajectory provides a favourable environment for a well-executed market entry. If Solar Ireland can address its brand trust gap, expand its service catalogue to include heat pumps and maintenance packages, and leverage its digital infrastructure effectively, it has the potential to establish itself as a top-five Irish solar installer within two to three years. The strategic recommendations outlined in this report provide a prioritised roadmap for achieving this objective.</w:t>
      </w:r>
    </w:p>
    <w:p>
      <w:pPr>
        <w:spacing w:after="80" w:line="312"/>
        <w:jc w:val="both"/>
      </w:pPr>
      <w:r>
        <w:rPr>
          <w:rFonts w:ascii="Times New Roman"/>
          <w:color w:val="000000"/>
          <w:sz w:val="24"/>
          <w:szCs w:val="24"/>
        </w:rPr>
        <w:t xml:space="preserve"/>
      </w:r>
    </w:p>
    <w:p>
      <w:pPr>
        <w:spacing w:after="200" w:before="400"/>
        <w:jc w:val="right"/>
      </w:pPr>
      <w:r>
        <w:rPr>
          <w:rFonts w:ascii="Times New Roman"/>
          <w:i/>
          <w:iCs/>
          <w:color w:val="5A7A6A"/>
          <w:sz w:val="24"/>
          <w:szCs w:val="24"/>
        </w:rPr>
        <w:t xml:space="preserve">— End of Report —</w:t>
      </w:r>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808080"/>
        <w:sz w:val="18"/>
        <w:szCs w:val="18"/>
      </w:rPr>
      <w:t xml:space="preserve">PAGE  \* ROMAN  \* MERGEFORMAT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808080"/>
        <w:sz w:val="18"/>
        <w:szCs w:val="18"/>
      </w:rPr>
      <w:t xml:space="preserve">PAGE  \* arabic  \* MERGEFORMAT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808080"/>
        <w:sz w:val="18"/>
        <w:szCs w:val="18"/>
      </w:rPr>
      <w:t xml:space="preserve">Solar Ireland — Competitive Audit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808080"/>
        <w:sz w:val="18"/>
        <w:szCs w:val="18"/>
      </w:rPr>
      <w:t xml:space="preserve">Solar Ireland — Competitive Audit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Hei"/>
      <w:b/>
      <w:bCs/>
      <w:color w:val="0C3B2E"/>
      <w:sz w:val="32"/>
      <w:szCs w:val="32"/>
    </w:rPr>
  </w:style>
  <w:style w:type="paragraph" w:styleId="Heading2">
    <w:name w:val="Heading 2"/>
    <w:basedOn w:val="Normal"/>
    <w:next w:val="Normal"/>
    <w:qFormat/>
    <w:pPr>
      <w:spacing w:after="120" w:before="240" w:line="312"/>
      <w:outlineLvl w:val="1"/>
    </w:pPr>
    <w:rPr>
      <w:rFonts w:ascii="Times New Roman" w:eastAsia="SimHei"/>
      <w:b/>
      <w:bCs/>
      <w:color w:val="0C3B2E"/>
      <w:sz w:val="28"/>
      <w:szCs w:val="28"/>
    </w:rPr>
  </w:style>
  <w:style w:type="paragraph" w:styleId="Heading3">
    <w:name w:val="Heading 3"/>
    <w:basedOn w:val="Normal"/>
    <w:next w:val="Normal"/>
    <w:qFormat/>
    <w:pPr>
      <w:spacing w:after="100" w:before="200" w:line="312"/>
      <w:outlineLvl w:val="2"/>
    </w:pPr>
    <w:rPr>
      <w:rFonts w:ascii="Times New Roman" w:eastAsia="SimHei"/>
      <w:b/>
      <w:bCs/>
      <w:color w:val="0C3B2E"/>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2026-04-10T16:05:25.885Z</dcterms:created>
  <dcterms:modified xsi:type="dcterms:W3CDTF">2026-04-10T16:05:25.885Z</dcterms:modified>
</cp:coreProperties>
</file>

<file path=docProps/custom.xml><?xml version="1.0" encoding="utf-8"?>
<Properties xmlns="http://schemas.openxmlformats.org/officeDocument/2006/custom-properties" xmlns:vt="http://schemas.openxmlformats.org/officeDocument/2006/docPropsVTypes"/>
</file>