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A2330" w:val="clear"/>
            <w:tcMar>
              <w:top w:type="dxa" w:w="0"/>
              <w:left w:type="dxa" w:w="0"/>
              <w:bottom w:type="dxa" w:w="0"/>
              <w:right w:type="dxa" w:w="0"/>
            </w:tcMar>
          </w:tcPr>
          <w:p>
            <w:pPr>
              <w:spacing w:before="4800"/>
            </w:pPr>
          </w:p>
          <w:p>
            <w:pPr>
              <w:spacing w:after="100" w:before="0" w:line="600" w:lineRule="atLeast"/>
              <w:ind w:left="1400"/>
              <w:jc w:val="left"/>
            </w:pPr>
            <w:r>
              <w:rPr>
                <w:rFonts w:ascii="Times New Roman"/>
                <w:b/>
                <w:bCs/>
                <w:color w:val="FFFFFF"/>
                <w:sz w:val="72"/>
                <w:szCs w:val="72"/>
              </w:rPr>
              <w:t xml:space="preserve">Solar Ireland</w:t>
            </w:r>
          </w:p>
          <w:p>
            <w:pPr>
              <w:spacing w:after="200" w:before="100" w:line="400" w:lineRule="atLeast"/>
              <w:ind w:left="1400"/>
              <w:jc w:val="left"/>
            </w:pPr>
            <w:r>
              <w:rPr>
                <w:rFonts w:ascii="Times New Roman"/>
                <w:color w:val="D4875A"/>
                <w:sz w:val="36"/>
                <w:szCs w:val="36"/>
              </w:rPr>
              <w:t xml:space="preserve">Postmark Email Integration</w:t>
            </w:r>
          </w:p>
          <w:p>
            <w:pPr>
              <w:spacing w:before="600" w:line="300"/>
              <w:ind w:left="1400"/>
              <w:jc w:val="left"/>
            </w:pPr>
            <w:r>
              <w:rPr>
                <w:rFonts w:ascii="Times New Roman"/>
                <w:color w:val="8899AA"/>
                <w:sz w:val="22"/>
                <w:szCs w:val="22"/>
              </w:rPr>
              <w:t xml:space="preserve">Technical Specification  |  April 2026</w:t>
            </w:r>
          </w:p>
          <w:p>
            <w:pPr>
              <w:spacing w:before="80" w:line="300"/>
              <w:ind w:left="1400"/>
              <w:jc w:val="left"/>
            </w:pPr>
            <w:r>
              <w:rPr>
                <w:rFonts w:ascii="Times New Roman"/>
                <w:color w:val="667788"/>
                <w:sz w:val="20"/>
                <w:szCs w:val="20"/>
              </w:rPr>
              <w:t xml:space="preserve">Transaction Email Templates  |  Webhooks  |  Supabase Integration</w:t>
            </w:r>
          </w:p>
        </w:tc>
      </w:tr>
    </w:tbl>
    <w:p>
      <w:pPr>
        <w:sectPr>
          <w:pgSz w:w="11906" w:h="16838" w:orient="portrait"/>
          <w:pgMar w:top="0" w:right="0" w:bottom="0" w:left="0" w:header="708" w:footer="708" w:gutter="0"/>
          <w:pgNumType/>
          <w:docGrid w:linePitch="360"/>
        </w:sectPr>
      </w:pPr>
    </w:p>
    <w:p>
      <w:pPr>
        <w:pStyle w:val="Heading1"/>
        <w:spacing w:after="120" w:before="360" w:line="312"/>
      </w:pPr>
      <w:r>
        <w:rPr>
          <w:rFonts w:ascii="Times New Roman"/>
          <w:b/>
          <w:bCs/>
          <w:color w:val="2C3E50"/>
          <w:sz w:val="32"/>
          <w:szCs w:val="32"/>
        </w:rPr>
        <w:t xml:space="preserve">1. Overview</w:t>
      </w:r>
    </w:p>
    <w:p>
      <w:pPr>
        <w:spacing w:after="80" w:line="312"/>
        <w:jc w:val="both"/>
      </w:pPr>
      <w:r>
        <w:rPr>
          <w:rFonts w:ascii="Times New Roman"/>
          <w:color w:val="000000"/>
          <w:sz w:val="22"/>
          <w:szCs w:val="22"/>
        </w:rPr>
        <w:t xml:space="preserve">This specification defines the Postmark transactional email integration for the Solar Ireland website. Postmark provides reliable delivery infrastructure for all automated emails generated by the platform, including lead notifications to the sales team, survey booking confirmations to customers, grant application updates, portal document availability alerts, and newsletter communications. The integration is designed to work within the existing Supabase backend architecture and Next.js API route structure.</w:t>
      </w:r>
    </w:p>
    <w:p>
      <w:pPr>
        <w:spacing w:after="80" w:line="312"/>
        <w:jc w:val="both"/>
      </w:pPr>
      <w:r>
        <w:rPr>
          <w:rFonts w:ascii="Times New Roman"/>
          <w:color w:val="000000"/>
          <w:sz w:val="22"/>
          <w:szCs w:val="22"/>
        </w:rPr>
        <w:t xml:space="preserve">The Solar Ireland website currently has zero email capability. All customer communications flow through WhatsApp (phone number +353 87 395 8424) or are not sent at all. The contact form logs submissions to the console. Survey bookings redirect to WhatsApp. Newsletter subscriptions are fake (the frontend sets a subscribed state that resets after 4 seconds). The Postmark integration addresses this critical gap by providing a professional, trackable email channel for every customer touchpoint.</w:t>
      </w:r>
    </w:p>
    <w:p>
      <w:pPr>
        <w:spacing w:after="80" w:line="312"/>
        <w:jc w:val="both"/>
      </w:pPr>
      <w:r>
        <w:rPr>
          <w:rFonts w:ascii="Times New Roman"/>
          <w:color w:val="000000"/>
          <w:sz w:val="22"/>
          <w:szCs w:val="22"/>
        </w:rPr>
        <w:t xml:space="preserve">Postmark was selected over alternatives like SendGrid and Mailgun for several reasons. Its delivery rate to inbox consistently exceeds 98%, which is critical for a business where email confirmations and document notifications directly impact customer trust. The API is straightforward with excellent documentation. Postmark provides detailed delivery analytics including open rates, click tracking, and bounce handling. The webhook system enables real-time event processing for bounced emails, spam complaints, and delivery confirmations. Pricing starts at free for 100 emails per month, scaling to $20 per month for 10,000 emails, which aligns well with the expected volume of a residential solar installer serving the Irish market.</w:t>
      </w:r>
    </w:p>
    <w:p>
      <w:pPr>
        <w:pStyle w:val="Heading1"/>
        <w:spacing w:after="120" w:before="360" w:line="312"/>
      </w:pPr>
      <w:r>
        <w:rPr>
          <w:rFonts w:ascii="Times New Roman"/>
          <w:b/>
          <w:bCs/>
          <w:color w:val="2C3E50"/>
          <w:sz w:val="32"/>
          <w:szCs w:val="32"/>
        </w:rPr>
        <w:t xml:space="preserve">2. Email Templates</w:t>
      </w:r>
    </w:p>
    <w:p>
      <w:pPr>
        <w:pStyle w:val="Heading2"/>
        <w:spacing w:after="100" w:before="280" w:line="312"/>
      </w:pPr>
      <w:r>
        <w:rPr>
          <w:rFonts w:ascii="Times New Roman"/>
          <w:b/>
          <w:bCs/>
          <w:color w:val="2C3E50"/>
          <w:sz w:val="28"/>
          <w:szCs w:val="28"/>
        </w:rPr>
        <w:t xml:space="preserve">2.1 Lead Notification (Internal)</w:t>
      </w:r>
    </w:p>
    <w:p>
      <w:pPr>
        <w:spacing w:after="80" w:line="312"/>
        <w:jc w:val="both"/>
      </w:pPr>
      <w:r>
        <w:rPr>
          <w:rFonts w:ascii="Times New Roman"/>
          <w:color w:val="000000"/>
          <w:sz w:val="22"/>
          <w:szCs w:val="22"/>
        </w:rPr>
        <w:t xml:space="preserve">Triggered when a visitor submits the /contact form. This email is sent to the Solar Ireland sales team, not to the visitor. The template includes the contact name, email address, phone number, county, message content, source page URL, and any UTM attribution parameters. The subject line format is 'New Lead: [Name] from [County]' to enable quick scanning in the inbox. A direct reply-to header is set to the contact's email so the sales team can reply directly without looking up the address.</w:t>
      </w:r>
    </w:p>
    <w:p>
      <w:pPr>
        <w:spacing w:after="80" w:line="312"/>
        <w:jc w:val="both"/>
      </w:pPr>
      <w:r>
        <w:rPr>
          <w:rFonts w:ascii="Times New Roman"/>
          <w:color w:val="000000"/>
          <w:sz w:val="22"/>
          <w:szCs w:val="22"/>
        </w:rPr>
        <w:t xml:space="preserve">The template body uses a professional layout with the Solar Ireland branding colours (dark background #0a0a0a with amber #F59E0B accents matching the website). The customer's details are presented in a clean table format, and a 'View in Dashboard' link directs the sales team to the Supabase admin interface for the full lead record. This email should be sent within 5 seconds of form submission to ensure the sales team can respond promptly, as solar leads have a short decision window and competitors are contacted simultaneously.</w:t>
      </w:r>
    </w:p>
    <w:p>
      <w:pPr>
        <w:pStyle w:val="Heading2"/>
        <w:spacing w:after="100" w:before="280" w:line="312"/>
      </w:pPr>
      <w:r>
        <w:rPr>
          <w:rFonts w:ascii="Times New Roman"/>
          <w:b/>
          <w:bCs/>
          <w:color w:val="2C3E50"/>
          <w:sz w:val="28"/>
          <w:szCs w:val="28"/>
        </w:rPr>
        <w:t xml:space="preserve">2.2 Survey Booking Confirmation (Customer)</w:t>
      </w:r>
    </w:p>
    <w:p>
      <w:pPr>
        <w:spacing w:after="80" w:line="312"/>
        <w:jc w:val="both"/>
      </w:pPr>
      <w:r>
        <w:rPr>
          <w:rFonts w:ascii="Times New Roman"/>
          <w:color w:val="000000"/>
          <w:sz w:val="22"/>
          <w:szCs w:val="22"/>
        </w:rPr>
        <w:t xml:space="preserve">Triggered when a customer completes the 4-step /book-survey form. This is the most important customer-facing email because it confirms the appointment and sets expectations. The subject line is 'Your Solar Survey is Booked - Reference [SI-YYYY-NNNN]' with the reference number prominently displayed. The email confirms the date, time slot, property address, and lists the interests selected (Solar PV, Battery, EV Charger).</w:t>
      </w:r>
    </w:p>
    <w:p>
      <w:pPr>
        <w:spacing w:after="80" w:line="312"/>
        <w:jc w:val="both"/>
      </w:pPr>
      <w:r>
        <w:rPr>
          <w:rFonts w:ascii="Times New Roman"/>
          <w:color w:val="000000"/>
          <w:sz w:val="22"/>
          <w:szCs w:val="22"/>
        </w:rPr>
        <w:t xml:space="preserve">The body includes a summary card with the booking details, a brief overview of what to expect during the survey (the engineer will assess roof suitability, discuss system options, and provide a no-obligation quote), and a reminder that the survey typically takes 45 to 60 minutes. Contact information for rescheduling is provided. The reference number is repeated because customers will need it to access the portal later. A calendar file attachment (.ics) should be generated and attached to allow one-click addition to phone calendars.</w:t>
      </w:r>
    </w:p>
    <w:p>
      <w:pPr>
        <w:pStyle w:val="Heading2"/>
        <w:spacing w:after="100" w:before="280" w:line="312"/>
      </w:pPr>
      <w:r>
        <w:rPr>
          <w:rFonts w:ascii="Times New Roman"/>
          <w:b/>
          <w:bCs/>
          <w:color w:val="2C3E50"/>
          <w:sz w:val="28"/>
          <w:szCs w:val="28"/>
        </w:rPr>
        <w:t xml:space="preserve">2.3 Bill Analysis Results (Customer)</w:t>
      </w:r>
    </w:p>
    <w:p>
      <w:pPr>
        <w:spacing w:after="80" w:line="312"/>
        <w:jc w:val="both"/>
      </w:pPr>
      <w:r>
        <w:rPr>
          <w:rFonts w:ascii="Times New Roman"/>
          <w:color w:val="000000"/>
          <w:sz w:val="22"/>
          <w:szCs w:val="22"/>
        </w:rPr>
        <w:t xml:space="preserve">Triggered when a visitor completes the AI-powered bill analysis on /solar-calculator. The subject line is 'Your Solar Savings Report is Ready'. The email summarises the key findings: recommended system size, estimated annual savings, payback period, total 25-year savings, and CO2 reduction. A prominent 'Get Your Free Quote' button links to the WhatsApp chat or the /book-survey page. The full analysis results are stored in the database and linked through the customer's portal reference if they proceed to booking.</w:t>
      </w:r>
    </w:p>
    <w:p>
      <w:pPr>
        <w:spacing w:after="80" w:line="312"/>
        <w:jc w:val="both"/>
      </w:pPr>
      <w:r>
        <w:rPr>
          <w:rFonts w:ascii="Times New Roman"/>
          <w:color w:val="000000"/>
          <w:sz w:val="22"/>
          <w:szCs w:val="22"/>
        </w:rPr>
        <w:t xml:space="preserve">This email serves as a lead nurturing touchpoint. Many visitors will run the calculator out of curiosity without immediately booking a survey. The email keeps Solar Ireland top-of-mind and provides a clear next step. The tone should be encouraging but not pushy, focusing on the financial benefits identified in the analysis. If the visitor provided an email but not a phone number, this email becomes the primary re-engagement channel.</w:t>
      </w:r>
    </w:p>
    <w:p>
      <w:pPr>
        <w:pStyle w:val="Heading2"/>
        <w:spacing w:after="100" w:before="280" w:line="312"/>
      </w:pPr>
      <w:r>
        <w:rPr>
          <w:rFonts w:ascii="Times New Roman"/>
          <w:b/>
          <w:bCs/>
          <w:color w:val="2C3E50"/>
          <w:sz w:val="28"/>
          <w:szCs w:val="28"/>
        </w:rPr>
        <w:t xml:space="preserve">2.4 Quote Ready Notification (Customer)</w:t>
      </w:r>
    </w:p>
    <w:p>
      <w:pPr>
        <w:spacing w:after="80" w:line="312"/>
        <w:jc w:val="both"/>
      </w:pPr>
      <w:r>
        <w:rPr>
          <w:rFonts w:ascii="Times New Roman"/>
          <w:color w:val="000000"/>
          <w:sz w:val="22"/>
          <w:szCs w:val="22"/>
        </w:rPr>
        <w:t xml:space="preserve">Triggered when the sales team uploads a quote document to the customer portal. The subject line is 'Your Solar Quote is Ready - Reference [SI-YYYY-NNNN]'. The email informs the customer that their personalised quote is available in the portal and provides a direct link to view it. A brief summary of the recommended system, total cost, SEAI grant amount, and estimated annual savings is included in the email body so the customer can evaluate at a glance without logging in.</w:t>
      </w:r>
    </w:p>
    <w:p>
      <w:pPr>
        <w:spacing w:after="80" w:line="312"/>
        <w:jc w:val="both"/>
      </w:pPr>
      <w:r>
        <w:rPr>
          <w:rFonts w:ascii="Times New Roman"/>
          <w:color w:val="000000"/>
          <w:sz w:val="22"/>
          <w:szCs w:val="22"/>
        </w:rPr>
        <w:t xml:space="preserve">The portal link uses a magic link pattern: clicking the email link generates a one-time authentication token that grants access to the customer's portal data through JWT-scoped RLS policies. If the customer has not yet created a Supabase account, the system creates one automatically using their email address. This frictionless access pattern is critical because asking customers to remember passwords for a portal they may only visit a few times during their solar journey creates unnecessary friction and abandoned portal visits.</w:t>
      </w:r>
    </w:p>
    <w:p>
      <w:pPr>
        <w:pStyle w:val="Heading2"/>
        <w:spacing w:after="100" w:before="280" w:line="312"/>
      </w:pPr>
      <w:r>
        <w:rPr>
          <w:rFonts w:ascii="Times New Roman"/>
          <w:b/>
          <w:bCs/>
          <w:color w:val="2C3E50"/>
          <w:sz w:val="28"/>
          <w:szCs w:val="28"/>
        </w:rPr>
        <w:t xml:space="preserve">2.5 Installation Milestone Update (Customer)</w:t>
      </w:r>
    </w:p>
    <w:p>
      <w:pPr>
        <w:spacing w:after="80" w:line="312"/>
        <w:jc w:val="both"/>
      </w:pPr>
      <w:r>
        <w:rPr>
          <w:rFonts w:ascii="Times New Roman"/>
          <w:color w:val="000000"/>
          <w:sz w:val="22"/>
          <w:szCs w:val="22"/>
        </w:rPr>
        <w:t xml:space="preserve">Triggered when an installation milestone is updated by the project manager. The subject line is 'Update on Your Solar Installation - [Step Name]'. The email describes what has just happened (for example, 'Your solar panels have been installed'), what happens next, the expected timeline for the next step, and who to contact with questions. Each of the 11 installation steps has a corresponding email template variant, but the system uses a single template with dynamic content blocks to avoid maintaining 11 separate templates.</w:t>
      </w:r>
    </w:p>
    <w:p>
      <w:pPr>
        <w:pStyle w:val="Heading2"/>
        <w:spacing w:after="100" w:before="280" w:line="312"/>
      </w:pPr>
      <w:r>
        <w:rPr>
          <w:rFonts w:ascii="Times New Roman"/>
          <w:b/>
          <w:bCs/>
          <w:color w:val="2C3E50"/>
          <w:sz w:val="28"/>
          <w:szCs w:val="28"/>
        </w:rPr>
        <w:t xml:space="preserve">2.6 Newsletter (Customer)</w:t>
      </w:r>
    </w:p>
    <w:p>
      <w:pPr>
        <w:spacing w:after="80" w:line="312"/>
        <w:jc w:val="both"/>
      </w:pPr>
      <w:r>
        <w:rPr>
          <w:rFonts w:ascii="Times New Roman"/>
          <w:color w:val="000000"/>
          <w:sz w:val="22"/>
          <w:szCs w:val="22"/>
        </w:rPr>
        <w:t xml:space="preserve">Sent on a weekly or bi-weekly cadence to subscribers who opted in through the blog or website footer. Content includes the latest blog post summary, a solar tip of the week (for example, how to maximise self-consumption with a battery), a featured installation case study with before-and-after generation data, and seasonal promotions. Each newsletter includes a prominent unsubscribe link in the footer and a preference management link. The template matches the Solar Ireland dark theme with amber accent colours for brand consistency.</w:t>
      </w:r>
    </w:p>
    <w:p>
      <w:pPr>
        <w:pStyle w:val="Heading1"/>
        <w:spacing w:after="120" w:before="360" w:line="312"/>
      </w:pPr>
      <w:r>
        <w:rPr>
          <w:rFonts w:ascii="Times New Roman"/>
          <w:b/>
          <w:bCs/>
          <w:color w:val="2C3E50"/>
          <w:sz w:val="32"/>
          <w:szCs w:val="32"/>
        </w:rPr>
        <w:t xml:space="preserve">3. Integration Architecture</w:t>
      </w:r>
    </w:p>
    <w:p>
      <w:pPr>
        <w:pStyle w:val="Heading2"/>
        <w:spacing w:after="100" w:before="280" w:line="312"/>
      </w:pPr>
      <w:r>
        <w:rPr>
          <w:rFonts w:ascii="Times New Roman"/>
          <w:b/>
          <w:bCs/>
          <w:color w:val="2C3E50"/>
          <w:sz w:val="28"/>
          <w:szCs w:val="28"/>
        </w:rPr>
        <w:t xml:space="preserve">3.1 Component Overview</w:t>
      </w:r>
    </w:p>
    <w:p>
      <w:pPr>
        <w:spacing w:after="80" w:line="312"/>
        <w:jc w:val="both"/>
      </w:pPr>
      <w:r>
        <w:rPr>
          <w:rFonts w:ascii="Times New Roman"/>
          <w:color w:val="000000"/>
          <w:sz w:val="22"/>
          <w:szCs w:val="22"/>
        </w:rPr>
        <w:t xml:space="preserve">The Postmark integration consists of four components: a shared email utility module, server-side API routes, a Next.js server action, and webhook handlers. The email utility module (src/lib/email.ts) is the central component that all other parts use. It initialises the Postmark client with the server token, provides a sendEmail function with template binding, and handles error logging. No email-sending code should exist outside this module to ensure consistent configuration, error handling, and logging.</w:t>
      </w:r>
    </w:p>
    <w:p>
      <w:pPr>
        <w:spacing w:after="80" w:line="312"/>
        <w:jc w:val="both"/>
      </w:pPr>
      <w:r>
        <w:rPr>
          <w:rFonts w:ascii="Times New Roman"/>
          <w:color w:val="000000"/>
          <w:sz w:val="22"/>
          <w:szCs w:val="22"/>
        </w:rPr>
        <w:t xml:space="preserve">API routes handle email triggers from public form submissions. The /api/contact route calls sendEmail after inserting the lead into Supabase. The /api/book-survey route sends the confirmation after generating the reference number. The /api/analyse-bill route sends the results email after persisting the analysis. Edge Functions handle email triggers from authenticated operations like quote uploads and milestone updates. A dedicated webhook route at /api/webhooks/postmark receives delivery events from Postmark and updates the relevant database records.</w:t>
      </w:r>
    </w:p>
    <w:p>
      <w:pPr>
        <w:pStyle w:val="Heading2"/>
        <w:spacing w:after="100" w:before="280" w:line="312"/>
      </w:pPr>
      <w:r>
        <w:rPr>
          <w:rFonts w:ascii="Times New Roman"/>
          <w:b/>
          <w:bCs/>
          <w:color w:val="2C3E50"/>
          <w:sz w:val="28"/>
          <w:szCs w:val="28"/>
        </w:rPr>
        <w:t xml:space="preserve">3.2 Email Utility Module</w:t>
      </w:r>
    </w:p>
    <w:p>
      <w:pPr>
        <w:spacing w:after="80" w:line="312"/>
        <w:jc w:val="both"/>
      </w:pPr>
      <w:r>
        <w:rPr>
          <w:rFonts w:ascii="Times New Roman"/>
          <w:color w:val="000000"/>
          <w:sz w:val="22"/>
          <w:szCs w:val="22"/>
        </w:rPr>
        <w:t xml:space="preserve">The src/lib/email.ts module exports two functions: sendEmail and sendTemplateEmail. The sendEmail function accepts recipient address, subject line, HTML body, plain text fallback, reply-to address, and metadata for logging. It uses the Postmark Node.js SDK (npm package 'postmark') with the server token stored in the POSTMARK_SERVER_TOKEN environment variable. Every sent email is logged to an email_log table in Supabase with the message ID, recipient, subject, template alias, and timestamp.</w:t>
      </w:r>
    </w:p>
    <w:p>
      <w:pPr>
        <w:spacing w:after="80" w:line="312"/>
        <w:jc w:val="both"/>
      </w:pPr>
      <w:r>
        <w:rPr>
          <w:rFonts w:ascii="Times New Roman"/>
          <w:color w:val="000000"/>
          <w:sz w:val="22"/>
          <w:szCs w:val="22"/>
        </w:rPr>
        <w:t xml:space="preserve">The sendTemplateEmail function accepts a Postmark template alias or ID, recipient address, and a dynamic data object for template variables. Postmark manages the template content through its web dashboard, which means non-developers can update email copy and layout without code changes. The recommended approach is to define templates in Postmark and reference them by alias from the code. This provides faster iteration on email copy, A/B testing of subject lines through Postmark's built-in features, and automatic plain text generation from HTML templates.</w:t>
      </w:r>
    </w:p>
    <w:p>
      <w:pPr>
        <w:pStyle w:val="Heading2"/>
        <w:spacing w:after="100" w:before="280" w:line="312"/>
      </w:pPr>
      <w:r>
        <w:rPr>
          <w:rFonts w:ascii="Times New Roman"/>
          <w:b/>
          <w:bCs/>
          <w:color w:val="2C3E50"/>
          <w:sz w:val="28"/>
          <w:szCs w:val="28"/>
        </w:rPr>
        <w:t xml:space="preserve">3.3 Sending Flow</w:t>
      </w:r>
    </w:p>
    <w:p>
      <w:pPr>
        <w:spacing w:after="80" w:line="312"/>
        <w:jc w:val="both"/>
      </w:pPr>
      <w:r>
        <w:rPr>
          <w:rFonts w:ascii="Times New Roman"/>
          <w:color w:val="000000"/>
          <w:sz w:val="22"/>
          <w:szCs w:val="22"/>
        </w:rPr>
        <w:t xml:space="preserve">The email sending flow follows a consistent pattern across all triggers. First, the triggering event occurs (form submission, milestone update, document upload). Second, the relevant data is assembled from the Supabase query or request body. Third, the sendTemplateEmail function is called with the appropriate template alias and dynamic data. Fourth, the response from Postmark is checked for success or failure. Fifth, the email_log table is updated with the outcome. If the send fails, the error is logged with full context but does not block the user-facing operation; a retry queue should be implemented for critical emails like booking confirmations.</w:t>
      </w:r>
    </w:p>
    <w:p>
      <w:pPr>
        <w:pStyle w:val="Heading1"/>
        <w:spacing w:after="120" w:before="360" w:line="312"/>
      </w:pPr>
      <w:r>
        <w:rPr>
          <w:rFonts w:ascii="Times New Roman"/>
          <w:b/>
          <w:bCs/>
          <w:color w:val="2C3E50"/>
          <w:sz w:val="32"/>
          <w:szCs w:val="32"/>
        </w:rPr>
        <w:t xml:space="preserve">4. Webhook Configuration</w:t>
      </w:r>
    </w:p>
    <w:p>
      <w:pPr>
        <w:spacing w:after="80" w:line="312"/>
        <w:jc w:val="both"/>
      </w:pPr>
      <w:r>
        <w:rPr>
          <w:rFonts w:ascii="Times New Roman"/>
          <w:color w:val="000000"/>
          <w:sz w:val="22"/>
          <w:szCs w:val="22"/>
        </w:rPr>
        <w:t xml:space="preserve">Postmark webhooks provide real-time event notifications for email delivery, bounces, spam complaints, and link clicks. The webhook endpoint is /api/webhooks/postmark and accepts POST requests from Postmark's servers. The endpoint verifies the webhook signature using a shared secret stored in POSTMARK_WEBHOOK_SECRET to prevent spoofed requests.</w:t>
      </w:r>
    </w:p>
    <w:p>
      <w:pPr>
        <w:spacing w:after="80" w:line="312"/>
        <w:jc w:val="both"/>
      </w:pPr>
      <w:r>
        <w:rPr>
          <w:rFonts w:ascii="Times New Roman"/>
          <w:color w:val="000000"/>
          <w:sz w:val="22"/>
          <w:szCs w:val="22"/>
        </w:rPr>
        <w:t xml:space="preserve">For bounce events, the handler updates the contact_submissions or newsletter_subscriptions table to mark the email address as bounced, preventing future sends to invalid addresses. For spam complaints, the handler immediately suppresses the email address from all future sends and flags the record for manual review by the admin team. For delivery confirmations, the handler updates the email_log table with the delivery timestamp and Postmark message ID. For open and click events, the handler records engagement data that feeds into the customer lead scoring model, helping the sales team prioritise follow-ups for customers who actively engage with emails.</w:t>
      </w:r>
    </w:p>
    <w:p>
      <w:pPr>
        <w:pStyle w:val="Heading1"/>
        <w:spacing w:after="120" w:before="360" w:line="312"/>
      </w:pPr>
      <w:r>
        <w:rPr>
          <w:rFonts w:ascii="Times New Roman"/>
          <w:b/>
          <w:bCs/>
          <w:color w:val="2C3E50"/>
          <w:sz w:val="32"/>
          <w:szCs w:val="32"/>
        </w:rPr>
        <w:t xml:space="preserve">5. Environment Variables</w:t>
      </w:r>
    </w:p>
    <w:p>
      <w:pPr>
        <w:spacing w:after="80" w:line="312"/>
        <w:jc w:val="both"/>
      </w:pPr>
      <w:r>
        <w:rPr>
          <w:rFonts w:ascii="Times New Roman"/>
          <w:color w:val="000000"/>
          <w:sz w:val="22"/>
          <w:szCs w:val="22"/>
        </w:rPr>
        <w:t xml:space="preserve">Three environment variables are required for the Postmark integration. POSTMARK_SERVER_TOKEN is the API token for sending emails, obtained from the Postmark account settings. This token must NEVER be exposed to the client and should only be used in server-side API routes and Edge Functions. POSTMARK_ACCOUNT_TOKEN is a read-only API token used for fetching delivery statistics and is safe for server-side admin dashboard queries. POSTMARK_WEBHOOK_SECRET is the HMAC signature secret for verifying inbound webhook requests from Postmark.</w:t>
      </w:r>
    </w:p>
    <w:p>
      <w:pPr>
        <w:spacing w:after="80" w:line="312"/>
        <w:jc w:val="both"/>
      </w:pPr>
      <w:r>
        <w:rPr>
          <w:rFonts w:ascii="Times New Roman"/>
          <w:color w:val="000000"/>
          <w:sz w:val="22"/>
          <w:szCs w:val="22"/>
        </w:rPr>
        <w:t xml:space="preserve">Two additional variables are recommended. POSTMARK_FROM_EMAIL sets the default sender address (for example, 'hello@solarireland.ie'). Postmark requires sender domains to be verified through DNS records (SPF, DKIM, DMARC) before sending from custom domains. POSTMARK_ADMIN_EMAIL configures the sales team notification recipient address, defaulting to the business email from site_settings.</w:t>
      </w:r>
    </w:p>
    <w:p>
      <w:pPr>
        <w:pStyle w:val="Heading1"/>
        <w:spacing w:after="120" w:before="360" w:line="312"/>
      </w:pPr>
      <w:r>
        <w:rPr>
          <w:rFonts w:ascii="Times New Roman"/>
          <w:b/>
          <w:bCs/>
          <w:color w:val="2C3E50"/>
          <w:sz w:val="32"/>
          <w:szCs w:val="32"/>
        </w:rPr>
        <w:t xml:space="preserve">6. Template Setup Guide</w:t>
      </w:r>
    </w:p>
    <w:p>
      <w:pPr>
        <w:spacing w:after="80" w:line="312"/>
        <w:jc w:val="both"/>
      </w:pPr>
      <w:r>
        <w:rPr>
          <w:rFonts w:ascii="Times New Roman"/>
          <w:color w:val="000000"/>
          <w:sz w:val="22"/>
          <w:szCs w:val="22"/>
        </w:rPr>
        <w:t xml:space="preserve">All email templates should be created and managed in the Postmark web dashboard rather than hardcoded in the application. This approach allows the marketing team to update email copy, adjust layouts, and test variations without requiring developer involvement. The following templates need to be created in the Postmark account, each using the Solar Ireland dark theme with amber accent colours.</w:t>
      </w:r>
    </w:p>
    <w:p>
      <w:pPr>
        <w:spacing w:after="80" w:line="312"/>
        <w:jc w:val="both"/>
      </w:pPr>
      <w:r>
        <w:rPr>
          <w:rFonts w:ascii="Times New Roman"/>
          <w:color w:val="000000"/>
          <w:sz w:val="22"/>
          <w:szCs w:val="22"/>
        </w:rPr>
        <w:t xml:space="preserve">For each template, the HTML layout should use inline CSS (required by many email clients), a maximum width of 600 pixels, and responsive design with media queries for mobile. The Solar Ireland logo should be embedded as a hosted image URL from the website's public directory. All text should use the Calibri or Arial font family for maximum email client compatibility. Alt text must be provided for all images to ensure accessibility. A plain text version should be auto-generated from the HTML by Postmark, but critical information (reference numbers, dates, phone numbers) should be manually verified in the plain text preview.</w:t>
      </w:r>
    </w:p>
    <w:tbl>
      <w:tblPr>
        <w:tblW w:type="pct" w:w="100%"/>
        <w:tblBorders>
          <w:top w:val="single" w:color="D4875A" w:sz="2"/>
          <w:left w:val="none"/>
          <w:bottom w:val="single" w:color="D4875A" w:sz="2"/>
          <w:right w:val="none"/>
          <w:insideH w:val="none"/>
          <w:insideV w:val="none"/>
        </w:tblBorders>
      </w:tblPr>
      <w:tblGrid>
        <w:gridCol w:w="100"/>
        <w:gridCol w:w="100"/>
        <w:gridCol w:w="100"/>
        <w:gridCol w:w="100"/>
      </w:tblGrid>
      <w:tr>
        <w:trPr>
          <w:cantSplit/>
          <w:tblHeader/>
        </w:trPr>
        <w:tc>
          <w:tcPr>
            <w:tcW w:type="pct" w:w="25%"/>
            <w:shd w:fill="D4875A" w:val="clear"/>
            <w:tcMar>
              <w:top w:type="dxa" w:w="60"/>
              <w:left w:type="dxa" w:w="100"/>
              <w:bottom w:type="dxa" w:w="60"/>
              <w:right w:type="dxa" w:w="100"/>
            </w:tcMar>
          </w:tcPr>
          <w:p>
            <w:r>
              <w:rPr>
                <w:rFonts w:ascii="Times New Roman"/>
                <w:b/>
                <w:bCs/>
                <w:color w:val="FFFFFF"/>
                <w:sz w:val="20"/>
                <w:szCs w:val="20"/>
              </w:rPr>
              <w:t xml:space="preserve">Template Alias</w:t>
            </w:r>
          </w:p>
        </w:tc>
        <w:tc>
          <w:tcPr>
            <w:tcW w:type="pct" w:w="15%"/>
            <w:shd w:fill="D4875A" w:val="clear"/>
            <w:tcMar>
              <w:top w:type="dxa" w:w="60"/>
              <w:left w:type="dxa" w:w="100"/>
              <w:bottom w:type="dxa" w:w="60"/>
              <w:right w:type="dxa" w:w="100"/>
            </w:tcMar>
          </w:tcPr>
          <w:p>
            <w:r>
              <w:rPr>
                <w:rFonts w:ascii="Times New Roman"/>
                <w:b/>
                <w:bCs/>
                <w:color w:val="FFFFFF"/>
                <w:sz w:val="20"/>
                <w:szCs w:val="20"/>
              </w:rPr>
              <w:t xml:space="preserve">Type</w:t>
            </w:r>
          </w:p>
        </w:tc>
        <w:tc>
          <w:tcPr>
            <w:tcW w:type="pct" w:w="15%"/>
            <w:shd w:fill="D4875A" w:val="clear"/>
            <w:tcMar>
              <w:top w:type="dxa" w:w="60"/>
              <w:left w:type="dxa" w:w="100"/>
              <w:bottom w:type="dxa" w:w="60"/>
              <w:right w:type="dxa" w:w="100"/>
            </w:tcMar>
          </w:tcPr>
          <w:p>
            <w:r>
              <w:rPr>
                <w:rFonts w:ascii="Times New Roman"/>
                <w:b/>
                <w:bCs/>
                <w:color w:val="FFFFFF"/>
                <w:sz w:val="20"/>
                <w:szCs w:val="20"/>
              </w:rPr>
              <w:t xml:space="preserve">Recipient</w:t>
            </w:r>
          </w:p>
        </w:tc>
        <w:tc>
          <w:tcPr>
            <w:tcW w:type="pct" w:w="45%"/>
            <w:shd w:fill="D4875A" w:val="clear"/>
            <w:tcMar>
              <w:top w:type="dxa" w:w="60"/>
              <w:left w:type="dxa" w:w="100"/>
              <w:bottom w:type="dxa" w:w="60"/>
              <w:right w:type="dxa" w:w="100"/>
            </w:tcMar>
          </w:tcPr>
          <w:p>
            <w:r>
              <w:rPr>
                <w:rFonts w:ascii="Times New Roman"/>
                <w:b/>
                <w:bCs/>
                <w:color w:val="FFFFFF"/>
                <w:sz w:val="20"/>
                <w:szCs w:val="20"/>
              </w:rPr>
              <w:t xml:space="preserve">Trigger</w:t>
            </w:r>
          </w:p>
        </w:tc>
      </w:tr>
      <w:tr>
        <w:trPr>
          <w:cantSplit/>
        </w:trPr>
        <w:tc>
          <w:tcPr>
            <w:tcW w:type="pct" w:w="25%"/>
            <w:shd w:fill="FDF8F3" w:val="clear"/>
            <w:tcMar>
              <w:top w:type="dxa" w:w="50"/>
              <w:left w:type="dxa" w:w="100"/>
              <w:bottom w:type="dxa" w:w="50"/>
              <w:right w:type="dxa" w:w="100"/>
            </w:tcMar>
          </w:tcPr>
          <w:p>
            <w:pPr>
              <w:spacing w:line="280"/>
            </w:pPr>
            <w:r>
              <w:rPr>
                <w:rFonts w:ascii="Times New Roman"/>
                <w:color w:val="000000"/>
                <w:sz w:val="20"/>
                <w:szCs w:val="20"/>
              </w:rPr>
              <w:t xml:space="preserve">lead-notification</w:t>
            </w:r>
          </w:p>
        </w:tc>
        <w:tc>
          <w:tcPr>
            <w:tcW w:type="pct" w:w="15%"/>
            <w:shd w:fill="FDF8F3" w:val="clear"/>
            <w:tcMar>
              <w:top w:type="dxa" w:w="50"/>
              <w:left w:type="dxa" w:w="100"/>
              <w:bottom w:type="dxa" w:w="50"/>
              <w:right w:type="dxa" w:w="100"/>
            </w:tcMar>
          </w:tcPr>
          <w:p>
            <w:pPr>
              <w:spacing w:line="280"/>
            </w:pPr>
            <w:r>
              <w:rPr>
                <w:rFonts w:ascii="Times New Roman"/>
                <w:color w:val="000000"/>
                <w:sz w:val="20"/>
                <w:szCs w:val="20"/>
              </w:rPr>
              <w:t xml:space="preserve">Internal</w:t>
            </w:r>
          </w:p>
        </w:tc>
        <w:tc>
          <w:tcPr>
            <w:tcW w:type="pct" w:w="15%"/>
            <w:shd w:fill="FDF8F3" w:val="clear"/>
            <w:tcMar>
              <w:top w:type="dxa" w:w="50"/>
              <w:left w:type="dxa" w:w="100"/>
              <w:bottom w:type="dxa" w:w="50"/>
              <w:right w:type="dxa" w:w="100"/>
            </w:tcMar>
          </w:tcPr>
          <w:p>
            <w:pPr>
              <w:spacing w:line="280"/>
            </w:pPr>
            <w:r>
              <w:rPr>
                <w:rFonts w:ascii="Times New Roman"/>
                <w:color w:val="000000"/>
                <w:sz w:val="20"/>
                <w:szCs w:val="20"/>
              </w:rPr>
              <w:t xml:space="preserve">Sales Team</w:t>
            </w:r>
          </w:p>
        </w:tc>
        <w:tc>
          <w:tcPr>
            <w:tcW w:type="pct" w:w="45%"/>
            <w:shd w:fill="FDF8F3" w:val="clear"/>
            <w:tcMar>
              <w:top w:type="dxa" w:w="50"/>
              <w:left w:type="dxa" w:w="100"/>
              <w:bottom w:type="dxa" w:w="50"/>
              <w:right w:type="dxa" w:w="100"/>
            </w:tcMar>
          </w:tcPr>
          <w:p>
            <w:pPr>
              <w:spacing w:line="280"/>
            </w:pPr>
            <w:r>
              <w:rPr>
                <w:rFonts w:ascii="Times New Roman"/>
                <w:color w:val="000000"/>
                <w:sz w:val="20"/>
                <w:szCs w:val="20"/>
              </w:rPr>
              <w:t xml:space="preserve">Contact form submission</w:t>
            </w:r>
          </w:p>
        </w:tc>
      </w:tr>
      <w:tr>
        <w:trPr>
          <w:cantSplit/>
        </w:trPr>
        <w:tc>
          <w:tcPr>
            <w:tcW w:type="pct" w:w="25%"/>
            <w:shd w:fill="FFFFFF" w:val="clear"/>
            <w:tcMar>
              <w:top w:type="dxa" w:w="50"/>
              <w:left w:type="dxa" w:w="100"/>
              <w:bottom w:type="dxa" w:w="50"/>
              <w:right w:type="dxa" w:w="100"/>
            </w:tcMar>
          </w:tcPr>
          <w:p>
            <w:pPr>
              <w:spacing w:line="280"/>
            </w:pPr>
            <w:r>
              <w:rPr>
                <w:rFonts w:ascii="Times New Roman"/>
                <w:color w:val="000000"/>
                <w:sz w:val="20"/>
                <w:szCs w:val="20"/>
              </w:rPr>
              <w:t xml:space="preserve">survey-confirmation</w:t>
            </w:r>
          </w:p>
        </w:tc>
        <w:tc>
          <w:tcPr>
            <w:tcW w:type="pct" w:w="15%"/>
            <w:shd w:fill="FFFFFF" w:val="clear"/>
            <w:tcMar>
              <w:top w:type="dxa" w:w="50"/>
              <w:left w:type="dxa" w:w="100"/>
              <w:bottom w:type="dxa" w:w="50"/>
              <w:right w:type="dxa" w:w="100"/>
            </w:tcMar>
          </w:tcPr>
          <w:p>
            <w:pPr>
              <w:spacing w:line="280"/>
            </w:pPr>
            <w:r>
              <w:rPr>
                <w:rFonts w:ascii="Times New Roman"/>
                <w:color w:val="000000"/>
                <w:sz w:val="20"/>
                <w:szCs w:val="20"/>
              </w:rPr>
              <w:t xml:space="preserve">Customer</w:t>
            </w:r>
          </w:p>
        </w:tc>
        <w:tc>
          <w:tcPr>
            <w:tcW w:type="pct" w:w="15%"/>
            <w:shd w:fill="FFFFFF" w:val="clear"/>
            <w:tcMar>
              <w:top w:type="dxa" w:w="50"/>
              <w:left w:type="dxa" w:w="100"/>
              <w:bottom w:type="dxa" w:w="50"/>
              <w:right w:type="dxa" w:w="100"/>
            </w:tcMar>
          </w:tcPr>
          <w:p>
            <w:pPr>
              <w:spacing w:line="280"/>
            </w:pPr>
            <w:r>
              <w:rPr>
                <w:rFonts w:ascii="Times New Roman"/>
                <w:color w:val="000000"/>
                <w:sz w:val="20"/>
                <w:szCs w:val="20"/>
              </w:rPr>
              <w:t xml:space="preserve">Customer</w:t>
            </w:r>
          </w:p>
        </w:tc>
        <w:tc>
          <w:tcPr>
            <w:tcW w:type="pct" w:w="45%"/>
            <w:shd w:fill="FFFFFF" w:val="clear"/>
            <w:tcMar>
              <w:top w:type="dxa" w:w="50"/>
              <w:left w:type="dxa" w:w="100"/>
              <w:bottom w:type="dxa" w:w="50"/>
              <w:right w:type="dxa" w:w="100"/>
            </w:tcMar>
          </w:tcPr>
          <w:p>
            <w:pPr>
              <w:spacing w:line="280"/>
            </w:pPr>
            <w:r>
              <w:rPr>
                <w:rFonts w:ascii="Times New Roman"/>
                <w:color w:val="000000"/>
                <w:sz w:val="20"/>
                <w:szCs w:val="20"/>
              </w:rPr>
              <w:t xml:space="preserve">Survey booking completed</w:t>
            </w:r>
          </w:p>
        </w:tc>
      </w:tr>
      <w:tr>
        <w:trPr>
          <w:cantSplit/>
        </w:trPr>
        <w:tc>
          <w:tcPr>
            <w:tcW w:type="pct" w:w="25%"/>
            <w:shd w:fill="FDF8F3" w:val="clear"/>
            <w:tcMar>
              <w:top w:type="dxa" w:w="50"/>
              <w:left w:type="dxa" w:w="100"/>
              <w:bottom w:type="dxa" w:w="50"/>
              <w:right w:type="dxa" w:w="100"/>
            </w:tcMar>
          </w:tcPr>
          <w:p>
            <w:pPr>
              <w:spacing w:line="280"/>
            </w:pPr>
            <w:r>
              <w:rPr>
                <w:rFonts w:ascii="Times New Roman"/>
                <w:color w:val="000000"/>
                <w:sz w:val="20"/>
                <w:szCs w:val="20"/>
              </w:rPr>
              <w:t xml:space="preserve">bill-analysis-results</w:t>
            </w:r>
          </w:p>
        </w:tc>
        <w:tc>
          <w:tcPr>
            <w:tcW w:type="pct" w:w="15%"/>
            <w:shd w:fill="FDF8F3" w:val="clear"/>
            <w:tcMar>
              <w:top w:type="dxa" w:w="50"/>
              <w:left w:type="dxa" w:w="100"/>
              <w:bottom w:type="dxa" w:w="50"/>
              <w:right w:type="dxa" w:w="100"/>
            </w:tcMar>
          </w:tcPr>
          <w:p>
            <w:pPr>
              <w:spacing w:line="280"/>
            </w:pPr>
            <w:r>
              <w:rPr>
                <w:rFonts w:ascii="Times New Roman"/>
                <w:color w:val="000000"/>
                <w:sz w:val="20"/>
                <w:szCs w:val="20"/>
              </w:rPr>
              <w:t xml:space="preserve">Customer</w:t>
            </w:r>
          </w:p>
        </w:tc>
        <w:tc>
          <w:tcPr>
            <w:tcW w:type="pct" w:w="15%"/>
            <w:shd w:fill="FDF8F3" w:val="clear"/>
            <w:tcMar>
              <w:top w:type="dxa" w:w="50"/>
              <w:left w:type="dxa" w:w="100"/>
              <w:bottom w:type="dxa" w:w="50"/>
              <w:right w:type="dxa" w:w="100"/>
            </w:tcMar>
          </w:tcPr>
          <w:p>
            <w:pPr>
              <w:spacing w:line="280"/>
            </w:pPr>
            <w:r>
              <w:rPr>
                <w:rFonts w:ascii="Times New Roman"/>
                <w:color w:val="000000"/>
                <w:sz w:val="20"/>
                <w:szCs w:val="20"/>
              </w:rPr>
              <w:t xml:space="preserve">Customer</w:t>
            </w:r>
          </w:p>
        </w:tc>
        <w:tc>
          <w:tcPr>
            <w:tcW w:type="pct" w:w="45%"/>
            <w:shd w:fill="FDF8F3" w:val="clear"/>
            <w:tcMar>
              <w:top w:type="dxa" w:w="50"/>
              <w:left w:type="dxa" w:w="100"/>
              <w:bottom w:type="dxa" w:w="50"/>
              <w:right w:type="dxa" w:w="100"/>
            </w:tcMar>
          </w:tcPr>
          <w:p>
            <w:pPr>
              <w:spacing w:line="280"/>
            </w:pPr>
            <w:r>
              <w:rPr>
                <w:rFonts w:ascii="Times New Roman"/>
                <w:color w:val="000000"/>
                <w:sz w:val="20"/>
                <w:szCs w:val="20"/>
              </w:rPr>
              <w:t xml:space="preserve">Bill analysis completed</w:t>
            </w:r>
          </w:p>
        </w:tc>
      </w:tr>
      <w:tr>
        <w:trPr>
          <w:cantSplit/>
        </w:trPr>
        <w:tc>
          <w:tcPr>
            <w:tcW w:type="pct" w:w="25%"/>
            <w:shd w:fill="FFFFFF" w:val="clear"/>
            <w:tcMar>
              <w:top w:type="dxa" w:w="50"/>
              <w:left w:type="dxa" w:w="100"/>
              <w:bottom w:type="dxa" w:w="50"/>
              <w:right w:type="dxa" w:w="100"/>
            </w:tcMar>
          </w:tcPr>
          <w:p>
            <w:pPr>
              <w:spacing w:line="280"/>
            </w:pPr>
            <w:r>
              <w:rPr>
                <w:rFonts w:ascii="Times New Roman"/>
                <w:color w:val="000000"/>
                <w:sz w:val="20"/>
                <w:szCs w:val="20"/>
              </w:rPr>
              <w:t xml:space="preserve">quote-ready</w:t>
            </w:r>
          </w:p>
        </w:tc>
        <w:tc>
          <w:tcPr>
            <w:tcW w:type="pct" w:w="15%"/>
            <w:shd w:fill="FFFFFF" w:val="clear"/>
            <w:tcMar>
              <w:top w:type="dxa" w:w="50"/>
              <w:left w:type="dxa" w:w="100"/>
              <w:bottom w:type="dxa" w:w="50"/>
              <w:right w:type="dxa" w:w="100"/>
            </w:tcMar>
          </w:tcPr>
          <w:p>
            <w:pPr>
              <w:spacing w:line="280"/>
            </w:pPr>
            <w:r>
              <w:rPr>
                <w:rFonts w:ascii="Times New Roman"/>
                <w:color w:val="000000"/>
                <w:sz w:val="20"/>
                <w:szCs w:val="20"/>
              </w:rPr>
              <w:t xml:space="preserve">Customer</w:t>
            </w:r>
          </w:p>
        </w:tc>
        <w:tc>
          <w:tcPr>
            <w:tcW w:type="pct" w:w="15%"/>
            <w:shd w:fill="FFFFFF" w:val="clear"/>
            <w:tcMar>
              <w:top w:type="dxa" w:w="50"/>
              <w:left w:type="dxa" w:w="100"/>
              <w:bottom w:type="dxa" w:w="50"/>
              <w:right w:type="dxa" w:w="100"/>
            </w:tcMar>
          </w:tcPr>
          <w:p>
            <w:pPr>
              <w:spacing w:line="280"/>
            </w:pPr>
            <w:r>
              <w:rPr>
                <w:rFonts w:ascii="Times New Roman"/>
                <w:color w:val="000000"/>
                <w:sz w:val="20"/>
                <w:szCs w:val="20"/>
              </w:rPr>
              <w:t xml:space="preserve">Customer</w:t>
            </w:r>
          </w:p>
        </w:tc>
        <w:tc>
          <w:tcPr>
            <w:tcW w:type="pct" w:w="45%"/>
            <w:shd w:fill="FFFFFF" w:val="clear"/>
            <w:tcMar>
              <w:top w:type="dxa" w:w="50"/>
              <w:left w:type="dxa" w:w="100"/>
              <w:bottom w:type="dxa" w:w="50"/>
              <w:right w:type="dxa" w:w="100"/>
            </w:tcMar>
          </w:tcPr>
          <w:p>
            <w:pPr>
              <w:spacing w:line="280"/>
            </w:pPr>
            <w:r>
              <w:rPr>
                <w:rFonts w:ascii="Times New Roman"/>
                <w:color w:val="000000"/>
                <w:sz w:val="20"/>
                <w:szCs w:val="20"/>
              </w:rPr>
              <w:t xml:space="preserve">Quote uploaded to portal</w:t>
            </w:r>
          </w:p>
        </w:tc>
      </w:tr>
      <w:tr>
        <w:trPr>
          <w:cantSplit/>
        </w:trPr>
        <w:tc>
          <w:tcPr>
            <w:tcW w:type="pct" w:w="25%"/>
            <w:shd w:fill="FDF8F3" w:val="clear"/>
            <w:tcMar>
              <w:top w:type="dxa" w:w="50"/>
              <w:left w:type="dxa" w:w="100"/>
              <w:bottom w:type="dxa" w:w="50"/>
              <w:right w:type="dxa" w:w="100"/>
            </w:tcMar>
          </w:tcPr>
          <w:p>
            <w:pPr>
              <w:spacing w:line="280"/>
            </w:pPr>
            <w:r>
              <w:rPr>
                <w:rFonts w:ascii="Times New Roman"/>
                <w:color w:val="000000"/>
                <w:sz w:val="20"/>
                <w:szCs w:val="20"/>
              </w:rPr>
              <w:t xml:space="preserve">milestone-update</w:t>
            </w:r>
          </w:p>
        </w:tc>
        <w:tc>
          <w:tcPr>
            <w:tcW w:type="pct" w:w="15%"/>
            <w:shd w:fill="FDF8F3" w:val="clear"/>
            <w:tcMar>
              <w:top w:type="dxa" w:w="50"/>
              <w:left w:type="dxa" w:w="100"/>
              <w:bottom w:type="dxa" w:w="50"/>
              <w:right w:type="dxa" w:w="100"/>
            </w:tcMar>
          </w:tcPr>
          <w:p>
            <w:pPr>
              <w:spacing w:line="280"/>
            </w:pPr>
            <w:r>
              <w:rPr>
                <w:rFonts w:ascii="Times New Roman"/>
                <w:color w:val="000000"/>
                <w:sz w:val="20"/>
                <w:szCs w:val="20"/>
              </w:rPr>
              <w:t xml:space="preserve">Customer</w:t>
            </w:r>
          </w:p>
        </w:tc>
        <w:tc>
          <w:tcPr>
            <w:tcW w:type="pct" w:w="15%"/>
            <w:shd w:fill="FDF8F3" w:val="clear"/>
            <w:tcMar>
              <w:top w:type="dxa" w:w="50"/>
              <w:left w:type="dxa" w:w="100"/>
              <w:bottom w:type="dxa" w:w="50"/>
              <w:right w:type="dxa" w:w="100"/>
            </w:tcMar>
          </w:tcPr>
          <w:p>
            <w:pPr>
              <w:spacing w:line="280"/>
            </w:pPr>
            <w:r>
              <w:rPr>
                <w:rFonts w:ascii="Times New Roman"/>
                <w:color w:val="000000"/>
                <w:sz w:val="20"/>
                <w:szCs w:val="20"/>
              </w:rPr>
              <w:t xml:space="preserve">Customer</w:t>
            </w:r>
          </w:p>
        </w:tc>
        <w:tc>
          <w:tcPr>
            <w:tcW w:type="pct" w:w="45%"/>
            <w:shd w:fill="FDF8F3" w:val="clear"/>
            <w:tcMar>
              <w:top w:type="dxa" w:w="50"/>
              <w:left w:type="dxa" w:w="100"/>
              <w:bottom w:type="dxa" w:w="50"/>
              <w:right w:type="dxa" w:w="100"/>
            </w:tcMar>
          </w:tcPr>
          <w:p>
            <w:pPr>
              <w:spacing w:line="280"/>
            </w:pPr>
            <w:r>
              <w:rPr>
                <w:rFonts w:ascii="Times New Roman"/>
                <w:color w:val="000000"/>
                <w:sz w:val="20"/>
                <w:szCs w:val="20"/>
              </w:rPr>
              <w:t xml:space="preserve">Installation step completed</w:t>
            </w:r>
          </w:p>
        </w:tc>
      </w:tr>
      <w:tr>
        <w:trPr>
          <w:cantSplit/>
        </w:trPr>
        <w:tc>
          <w:tcPr>
            <w:tcW w:type="pct" w:w="25%"/>
            <w:shd w:fill="FFFFFF" w:val="clear"/>
            <w:tcMar>
              <w:top w:type="dxa" w:w="50"/>
              <w:left w:type="dxa" w:w="100"/>
              <w:bottom w:type="dxa" w:w="50"/>
              <w:right w:type="dxa" w:w="100"/>
            </w:tcMar>
          </w:tcPr>
          <w:p>
            <w:pPr>
              <w:spacing w:line="280"/>
            </w:pPr>
            <w:r>
              <w:rPr>
                <w:rFonts w:ascii="Times New Roman"/>
                <w:color w:val="000000"/>
                <w:sz w:val="20"/>
                <w:szCs w:val="20"/>
              </w:rPr>
              <w:t xml:space="preserve">newsletter</w:t>
            </w:r>
          </w:p>
        </w:tc>
        <w:tc>
          <w:tcPr>
            <w:tcW w:type="pct" w:w="15%"/>
            <w:shd w:fill="FFFFFF" w:val="clear"/>
            <w:tcMar>
              <w:top w:type="dxa" w:w="50"/>
              <w:left w:type="dxa" w:w="100"/>
              <w:bottom w:type="dxa" w:w="50"/>
              <w:right w:type="dxa" w:w="100"/>
            </w:tcMar>
          </w:tcPr>
          <w:p>
            <w:pPr>
              <w:spacing w:line="280"/>
            </w:pPr>
            <w:r>
              <w:rPr>
                <w:rFonts w:ascii="Times New Roman"/>
                <w:color w:val="000000"/>
                <w:sz w:val="20"/>
                <w:szCs w:val="20"/>
              </w:rPr>
              <w:t xml:space="preserve">Customer</w:t>
            </w:r>
          </w:p>
        </w:tc>
        <w:tc>
          <w:tcPr>
            <w:tcW w:type="pct" w:w="15%"/>
            <w:shd w:fill="FFFFFF" w:val="clear"/>
            <w:tcMar>
              <w:top w:type="dxa" w:w="50"/>
              <w:left w:type="dxa" w:w="100"/>
              <w:bottom w:type="dxa" w:w="50"/>
              <w:right w:type="dxa" w:w="100"/>
            </w:tcMar>
          </w:tcPr>
          <w:p>
            <w:pPr>
              <w:spacing w:line="280"/>
            </w:pPr>
            <w:r>
              <w:rPr>
                <w:rFonts w:ascii="Times New Roman"/>
                <w:color w:val="000000"/>
                <w:sz w:val="20"/>
                <w:szCs w:val="20"/>
              </w:rPr>
              <w:t xml:space="preserve">Subscribers</w:t>
            </w:r>
          </w:p>
        </w:tc>
        <w:tc>
          <w:tcPr>
            <w:tcW w:type="pct" w:w="45%"/>
            <w:shd w:fill="FFFFFF" w:val="clear"/>
            <w:tcMar>
              <w:top w:type="dxa" w:w="50"/>
              <w:left w:type="dxa" w:w="100"/>
              <w:bottom w:type="dxa" w:w="50"/>
              <w:right w:type="dxa" w:w="100"/>
            </w:tcMar>
          </w:tcPr>
          <w:p>
            <w:pPr>
              <w:spacing w:line="280"/>
            </w:pPr>
            <w:r>
              <w:rPr>
                <w:rFonts w:ascii="Times New Roman"/>
                <w:color w:val="000000"/>
                <w:sz w:val="20"/>
                <w:szCs w:val="20"/>
              </w:rPr>
              <w:t xml:space="preserve">Scheduled send (weekly)</w:t>
            </w:r>
          </w:p>
        </w:tc>
      </w:tr>
    </w:tbl>
    <w:p>
      <w:pPr>
        <w:pStyle w:val="Heading1"/>
        <w:spacing w:after="120" w:before="360" w:line="312"/>
      </w:pPr>
      <w:r>
        <w:rPr>
          <w:rFonts w:ascii="Times New Roman"/>
          <w:b/>
          <w:bCs/>
          <w:color w:val="2C3E50"/>
          <w:sz w:val="32"/>
          <w:szCs w:val="32"/>
        </w:rPr>
        <w:t xml:space="preserve">7. Implementation Plan</w:t>
      </w:r>
    </w:p>
    <w:p>
      <w:pPr>
        <w:pStyle w:val="Heading2"/>
        <w:spacing w:after="100" w:before="280" w:line="312"/>
      </w:pPr>
      <w:r>
        <w:rPr>
          <w:rFonts w:ascii="Times New Roman"/>
          <w:b/>
          <w:bCs/>
          <w:color w:val="2C3E50"/>
          <w:sz w:val="28"/>
          <w:szCs w:val="28"/>
        </w:rPr>
        <w:t xml:space="preserve">Phase 1: Core Setup (Day 1-2)</w:t>
      </w:r>
    </w:p>
    <w:p>
      <w:pPr>
        <w:spacing w:after="80" w:line="312"/>
        <w:jc w:val="both"/>
      </w:pPr>
      <w:r>
        <w:rPr>
          <w:rFonts w:ascii="Times New Roman"/>
          <w:color w:val="000000"/>
          <w:sz w:val="22"/>
          <w:szCs w:val="22"/>
        </w:rPr>
        <w:t xml:space="preserve">Create a Postmark account and verify the sender domain (solarireland.ie) by adding SPF, DKIM, and DMARC DNS records. Install the Postmark Node.js SDK (npm install postmark). Create the src/lib/email.ts utility module with sendEmail and sendTemplateEmail functions. Add the POSTMARK_SERVER_TOKEN and POSTMARK_WEBHOOK_SECRET environment variables to .env.local. Create the /api/webhooks/postmark route with signature verification. Test the setup by sending a test email from a standalone API route.</w:t>
      </w:r>
    </w:p>
    <w:p>
      <w:pPr>
        <w:pStyle w:val="Heading2"/>
        <w:spacing w:after="100" w:before="280" w:line="312"/>
      </w:pPr>
      <w:r>
        <w:rPr>
          <w:rFonts w:ascii="Times New Roman"/>
          <w:b/>
          <w:bCs/>
          <w:color w:val="2C3E50"/>
          <w:sz w:val="28"/>
          <w:szCs w:val="28"/>
        </w:rPr>
        <w:t xml:space="preserve">Phase 2: Critical Emails (Day 3-5)</w:t>
      </w:r>
    </w:p>
    <w:p>
      <w:pPr>
        <w:spacing w:after="80" w:line="312"/>
        <w:jc w:val="both"/>
      </w:pPr>
      <w:r>
        <w:rPr>
          <w:rFonts w:ascii="Times New Roman"/>
          <w:color w:val="000000"/>
          <w:sz w:val="22"/>
          <w:szCs w:val="22"/>
        </w:rPr>
        <w:t xml:space="preserve">Implement the two highest-priority email templates: lead notification (internal) and survey booking confirmation (customer). Create both templates in the Postmark dashboard with the Solar Ireland dark theme. Wire up the /api/contact route to send lead notifications after inserting into Supabase. Wire up the /book-survey Edge Function to send confirmations after generating the reference number. Generate and attach .ics calendar files to booking confirmations. Test end-to-end with real form submissions.</w:t>
      </w:r>
    </w:p>
    <w:p>
      <w:pPr>
        <w:pStyle w:val="Heading2"/>
        <w:spacing w:after="100" w:before="280" w:line="312"/>
      </w:pPr>
      <w:r>
        <w:rPr>
          <w:rFonts w:ascii="Times New Roman"/>
          <w:b/>
          <w:bCs/>
          <w:color w:val="2C3E50"/>
          <w:sz w:val="28"/>
          <w:szCs w:val="28"/>
        </w:rPr>
        <w:t xml:space="preserve">Phase 3: Customer Journey Emails (Day 6-8)</w:t>
      </w:r>
    </w:p>
    <w:p>
      <w:pPr>
        <w:spacing w:after="80" w:line="312"/>
        <w:jc w:val="both"/>
      </w:pPr>
      <w:r>
        <w:rPr>
          <w:rFonts w:ascii="Times New Roman"/>
          <w:color w:val="000000"/>
          <w:sz w:val="22"/>
          <w:szCs w:val="22"/>
        </w:rPr>
        <w:t xml:space="preserve">Implement the remaining customer-facing templates: bill analysis results, quote ready notification, and installation milestone update. Wire up the /api/analyse-bill route for results emails. Connect the portal document upload and milestone update flows to their respective templates. Implement the email_log table in Supabase for delivery tracking. Set up bounce handling and spam complaint suppression through the webhook endpoint.</w:t>
      </w:r>
    </w:p>
    <w:p>
      <w:pPr>
        <w:pStyle w:val="Heading2"/>
        <w:spacing w:after="100" w:before="280" w:line="312"/>
      </w:pPr>
      <w:r>
        <w:rPr>
          <w:rFonts w:ascii="Times New Roman"/>
          <w:b/>
          <w:bCs/>
          <w:color w:val="2C3E50"/>
          <w:sz w:val="28"/>
          <w:szCs w:val="28"/>
        </w:rPr>
        <w:t xml:space="preserve">Phase 4: Newsletter and Analytics (Day 9-10)</w:t>
      </w:r>
    </w:p>
    <w:p>
      <w:pPr>
        <w:spacing w:after="80" w:line="312"/>
        <w:jc w:val="both"/>
      </w:pPr>
      <w:r>
        <w:rPr>
          <w:rFonts w:ascii="Times New Roman"/>
          <w:color w:val="000000"/>
          <w:sz w:val="22"/>
          <w:szCs w:val="22"/>
        </w:rPr>
        <w:t xml:space="preserve">Implement the newsletter template and connect it to the newsletter_subscriptions table. Create a simple admin endpoint to trigger newsletter sends to all active subscribers. Set up Postmark's open and click tracking for engagement analytics. Build a basic email delivery dashboard showing send counts, delivery rates, open rates, and bounce rates. Configure automated bounce suppression and list cleanup through Postmark's suppression management features.</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07080"/>
        <w:sz w:val="16"/>
        <w:szCs w:val="16"/>
      </w:rPr>
      <w:t xml:space="preserve">Solar Ireland — Postmark Integration</w:t>
    </w:r>
    <w:r>
      <w:rPr>
        <w:rFonts w:ascii="Times New Roman"/>
        <w:color w:val="607080"/>
        <w:sz w:val="16"/>
        <w:szCs w:val="16"/>
      </w:rPr>
      <w:t xml:space="preserve">   |   Page </w:t>
    </w:r>
    <w:r>
      <w:rPr>
        <w:rFonts w:ascii="Times New Roman"/>
        <w:color w:val="607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b/>
      <w:bCs/>
      <w:color w:val="2C3E50"/>
      <w:sz w:val="32"/>
      <w:szCs w:val="32"/>
    </w:rPr>
  </w:style>
  <w:style w:type="paragraph" w:styleId="Heading2">
    <w:name w:val="Heading 2"/>
    <w:basedOn w:val="Normal"/>
    <w:next w:val="Normal"/>
    <w:qFormat/>
    <w:rPr>
      <w:rFonts w:ascii="Times New Roman"/>
      <w:b/>
      <w:bCs/>
      <w:color w:val="2C3E50"/>
      <w:sz w:val="28"/>
      <w:szCs w:val="28"/>
    </w:rPr>
  </w:style>
  <w:style w:type="paragraph" w:styleId="Heading3">
    <w:name w:val="Heading 3"/>
    <w:basedOn w:val="Normal"/>
    <w:next w:val="Normal"/>
    <w:qFormat/>
    <w:rPr>
      <w:rFonts w:ascii="Times New Roman"/>
      <w:b/>
      <w:bCs/>
      <w:color w:val="60708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2026-04-12T16:14:42.381Z</dcterms:created>
  <dcterms:modified xsi:type="dcterms:W3CDTF">2026-04-12T16:14:42.381Z</dcterms:modified>
</cp:coreProperties>
</file>

<file path=docProps/custom.xml><?xml version="1.0" encoding="utf-8"?>
<Properties xmlns="http://schemas.openxmlformats.org/officeDocument/2006/custom-properties" xmlns:vt="http://schemas.openxmlformats.org/officeDocument/2006/docPropsVTypes"/>
</file>