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rPr>
          <w:trHeight w:val="16838" w:hRule="exact"/>
        </w:trPr>
        <w:tc>
          <w:tcPr>
            <w:tcW w:type="pct" w:w="100%"/>
            <w:tcBorders>
              <w:top w:val="none" w:color="FFFFFF" w:sz="0"/>
              <w:left w:val="none" w:color="FFFFFF" w:sz="0"/>
              <w:bottom w:val="none" w:color="FFFFFF" w:sz="0"/>
              <w:right w:val="none" w:color="FFFFFF" w:sz="0"/>
            </w:tcBorders>
            <w:shd w:fill="1A2330" w:val="clear"/>
            <w:tcMar>
              <w:top w:type="dxa" w:w="0"/>
              <w:left w:type="dxa" w:w="0"/>
              <w:bottom w:type="dxa" w:w="0"/>
              <w:right w:type="dxa" w:w="0"/>
            </w:tcMar>
          </w:tcPr>
          <w:p>
            <w:pPr>
              <w:spacing w:before="4800"/>
            </w:pPr>
          </w:p>
          <w:p>
            <w:pPr>
              <w:spacing w:after="100" w:before="0" w:line="600" w:lineRule="atLeast"/>
              <w:ind w:left="1400"/>
              <w:jc w:val="left"/>
            </w:pPr>
            <w:r>
              <w:rPr>
                <w:rFonts w:ascii="Times New Roman"/>
                <w:b/>
                <w:bCs/>
                <w:color w:val="FFFFFF"/>
                <w:sz w:val="72"/>
                <w:szCs w:val="72"/>
              </w:rPr>
              <w:t xml:space="preserve">Solar Ireland</w:t>
            </w:r>
          </w:p>
          <w:p>
            <w:pPr>
              <w:spacing w:after="200" w:before="100" w:line="400" w:lineRule="atLeast"/>
              <w:ind w:left="1400"/>
              <w:jc w:val="left"/>
            </w:pPr>
            <w:r>
              <w:rPr>
                <w:rFonts w:ascii="Times New Roman"/>
                <w:color w:val="D4875A"/>
                <w:sz w:val="36"/>
                <w:szCs w:val="36"/>
              </w:rPr>
              <w:t xml:space="preserve">Supabase Backend Architecture</w:t>
            </w:r>
          </w:p>
          <w:p>
            <w:pPr>
              <w:spacing w:before="600" w:line="300"/>
              <w:ind w:left="1400"/>
              <w:jc w:val="left"/>
            </w:pPr>
            <w:r>
              <w:rPr>
                <w:rFonts w:ascii="Times New Roman"/>
                <w:color w:val="8899AA"/>
                <w:sz w:val="22"/>
                <w:szCs w:val="22"/>
              </w:rPr>
              <w:t xml:space="preserve">Updated Specification  |  April 2026</w:t>
            </w:r>
          </w:p>
          <w:p>
            <w:pPr>
              <w:spacing w:before="80" w:line="300"/>
              <w:ind w:left="1400"/>
              <w:jc w:val="left"/>
            </w:pPr>
            <w:r>
              <w:rPr>
                <w:rFonts w:ascii="Times New Roman"/>
                <w:color w:val="667788"/>
                <w:sz w:val="20"/>
                <w:szCs w:val="20"/>
              </w:rPr>
              <w:t xml:space="preserve">25 Tables  |  14 Edge Functions  |  7 Storage Buckets  |  A/B Testing</w:t>
            </w:r>
          </w:p>
        </w:tc>
      </w:tr>
    </w:tbl>
    <w:p>
      <w:pPr>
        <w:sectPr>
          <w:pgSz w:w="11906" w:h="16838" w:orient="portrait"/>
          <w:pgMar w:top="0" w:right="0" w:bottom="0" w:left="0" w:header="708" w:footer="708" w:gutter="0"/>
          <w:pgNumType/>
          <w:docGrid w:linePitch="360"/>
        </w:sectPr>
      </w:pPr>
    </w:p>
    <w:p>
      <w:pPr>
        <w:spacing w:after="200" w:before="200"/>
      </w:pPr>
      <w:r>
        <w:rPr>
          <w:rFonts w:ascii="Times New Roman"/>
          <w:b/>
          <w:bCs/>
          <w:color w:val="2C3E50"/>
          <w:sz w:val="36"/>
          <w:szCs w:val="36"/>
        </w:rPr>
        <w:t xml:space="preserve">Table of Contents</w:t>
      </w:r>
    </w:p>
    <w:sdt>
      <w:sdtPr>
        <w:alias w:val="Table of Contents"/>
      </w:sdtPr>
      <w:sdtContent>
        <w:p>
          <w:r>
            <w:fldChar w:fldCharType="begin" w:dirty="true"/>
          </w:r>
          <w:r>
            <w:instrText xml:space="preserve">TOC \h \o "1-3"</w:instrText>
          </w:r>
          <w:r>
            <w:fldChar w:fldCharType="separate"/>
          </w:r>
        </w:p>
        <w:p>
          <w:pPr>
            <w:pStyle w:val="9"/>
            <w:tabs>
              <w:tab w:val="right" w:leader="dot" w:pos="9026"/>
            </w:tabs>
            <w:spacing w:before="120" w:after="60"/>
          </w:pPr>
          <w:hyperlink w:anchor="_Toc100000" w:history="1">
            <w:r>
              <w:rPr>
                <w:rStyle w:val="Hyperlink"/>
              </w:rPr>
              <w:t>1. Executive Summary</w:t>
            </w:r>
            <w:r>
              <w:tab/>
            </w:r>
            <w:r>
              <w:fldChar w:fldCharType="begin"/>
            </w:r>
            <w:r>
              <w:instrText xml:space="preserve"> PAGEREF _Toc100000 \h </w:instrText>
            </w:r>
            <w:r>
              <w:fldChar w:fldCharType="separate"/>
            </w:r>
            <w:r>
              <w:t>1</w:t>
            </w:r>
            <w:r>
              <w:fldChar w:fldCharType="end"/>
            </w:r>
          </w:hyperlink>
        </w:p>
        <w:p>
          <w:pPr>
            <w:pStyle w:val="9"/>
            <w:tabs>
              <w:tab w:val="right" w:leader="dot" w:pos="9026"/>
            </w:tabs>
            <w:spacing w:before="120" w:after="60"/>
          </w:pPr>
          <w:hyperlink w:anchor="_Toc100001" w:history="1">
            <w:r>
              <w:rPr>
                <w:rStyle w:val="Hyperlink"/>
              </w:rPr>
              <w:t>2. Current Project State</w:t>
            </w:r>
            <w:r>
              <w:tab/>
            </w:r>
            <w:r>
              <w:fldChar w:fldCharType="begin"/>
            </w:r>
            <w:r>
              <w:instrText xml:space="preserve"> PAGEREF _Toc100001 \h </w:instrText>
            </w:r>
            <w:r>
              <w:fldChar w:fldCharType="separate"/>
            </w:r>
            <w:r>
              <w:t>1</w:t>
            </w:r>
            <w:r>
              <w:fldChar w:fldCharType="end"/>
            </w:r>
          </w:hyperlink>
        </w:p>
        <w:p>
          <w:pPr>
            <w:pStyle w:val="11"/>
            <w:ind w:left="360"/>
            <w:tabs>
              <w:tab w:val="right" w:leader="dot" w:pos="9026"/>
            </w:tabs>
            <w:spacing w:before="120" w:after="60"/>
          </w:pPr>
          <w:hyperlink w:anchor="_Toc100002" w:history="1">
            <w:r>
              <w:rPr>
                <w:rStyle w:val="Hyperlink"/>
              </w:rPr>
              <w:t>2.1 Technology Stack</w:t>
            </w:r>
            <w:r>
              <w:tab/>
            </w:r>
            <w:r>
              <w:fldChar w:fldCharType="begin"/>
            </w:r>
            <w:r>
              <w:instrText xml:space="preserve"> PAGEREF _Toc100002 \h </w:instrText>
            </w:r>
            <w:r>
              <w:fldChar w:fldCharType="separate"/>
            </w:r>
            <w:r>
              <w:t>2</w:t>
            </w:r>
            <w:r>
              <w:fldChar w:fldCharType="end"/>
            </w:r>
          </w:hyperlink>
        </w:p>
        <w:p>
          <w:pPr>
            <w:pStyle w:val="11"/>
            <w:ind w:left="360"/>
            <w:tabs>
              <w:tab w:val="right" w:leader="dot" w:pos="9026"/>
            </w:tabs>
            <w:spacing w:before="120" w:after="60"/>
          </w:pPr>
          <w:hyperlink w:anchor="_Toc100003" w:history="1">
            <w:r>
              <w:rPr>
                <w:rStyle w:val="Hyperlink"/>
              </w:rPr>
              <w:t>2.2 API Routes</w:t>
            </w:r>
            <w:r>
              <w:tab/>
            </w:r>
            <w:r>
              <w:fldChar w:fldCharType="begin"/>
            </w:r>
            <w:r>
              <w:instrText xml:space="preserve"> PAGEREF _Toc100003 \h </w:instrText>
            </w:r>
            <w:r>
              <w:fldChar w:fldCharType="separate"/>
            </w:r>
            <w:r>
              <w:t>2</w:t>
            </w:r>
            <w:r>
              <w:fldChar w:fldCharType="end"/>
            </w:r>
          </w:hyperlink>
        </w:p>
        <w:p>
          <w:pPr>
            <w:pStyle w:val="11"/>
            <w:ind w:left="360"/>
            <w:tabs>
              <w:tab w:val="right" w:leader="dot" w:pos="9026"/>
            </w:tabs>
            <w:spacing w:before="120" w:after="60"/>
          </w:pPr>
          <w:hyperlink w:anchor="_Toc100004" w:history="1">
            <w:r>
              <w:rPr>
                <w:rStyle w:val="Hyperlink"/>
              </w:rPr>
              <w:t>2.3 Integration Status</w:t>
            </w:r>
            <w:r>
              <w:tab/>
            </w:r>
            <w:r>
              <w:fldChar w:fldCharType="begin"/>
            </w:r>
            <w:r>
              <w:instrText xml:space="preserve"> PAGEREF _Toc100004 \h </w:instrText>
            </w:r>
            <w:r>
              <w:fldChar w:fldCharType="separate"/>
            </w:r>
            <w:r>
              <w:t>2</w:t>
            </w:r>
            <w:r>
              <w:fldChar w:fldCharType="end"/>
            </w:r>
          </w:hyperlink>
        </w:p>
        <w:p>
          <w:pPr>
            <w:pStyle w:val="9"/>
            <w:tabs>
              <w:tab w:val="right" w:leader="dot" w:pos="9026"/>
            </w:tabs>
            <w:spacing w:before="120" w:after="60"/>
          </w:pPr>
          <w:hyperlink w:anchor="_Toc100005" w:history="1">
            <w:r>
              <w:rPr>
                <w:rStyle w:val="Hyperlink"/>
              </w:rPr>
              <w:t>3. Database Architecture</w:t>
            </w:r>
            <w:r>
              <w:tab/>
            </w:r>
            <w:r>
              <w:fldChar w:fldCharType="begin"/>
            </w:r>
            <w:r>
              <w:instrText xml:space="preserve"> PAGEREF _Toc100005 \h </w:instrText>
            </w:r>
            <w:r>
              <w:fldChar w:fldCharType="separate"/>
            </w:r>
            <w:r>
              <w:t>2</w:t>
            </w:r>
            <w:r>
              <w:fldChar w:fldCharType="end"/>
            </w:r>
          </w:hyperlink>
        </w:p>
        <w:p>
          <w:pPr>
            <w:pStyle w:val="11"/>
            <w:ind w:left="360"/>
            <w:tabs>
              <w:tab w:val="right" w:leader="dot" w:pos="9026"/>
            </w:tabs>
            <w:spacing w:before="120" w:after="60"/>
          </w:pPr>
          <w:hyperlink w:anchor="_Toc100006" w:history="1">
            <w:r>
              <w:rPr>
                <w:rStyle w:val="Hyperlink"/>
              </w:rPr>
              <w:t>3.1 Schema Overview</w:t>
            </w:r>
            <w:r>
              <w:tab/>
            </w:r>
            <w:r>
              <w:fldChar w:fldCharType="begin"/>
            </w:r>
            <w:r>
              <w:instrText xml:space="preserve"> PAGEREF _Toc100006 \h </w:instrText>
            </w:r>
            <w:r>
              <w:fldChar w:fldCharType="separate"/>
            </w:r>
            <w:r>
              <w:t>3</w:t>
            </w:r>
            <w:r>
              <w:fldChar w:fldCharType="end"/>
            </w:r>
          </w:hyperlink>
        </w:p>
        <w:p>
          <w:pPr>
            <w:pStyle w:val="11"/>
            <w:ind w:left="360"/>
            <w:tabs>
              <w:tab w:val="right" w:leader="dot" w:pos="9026"/>
            </w:tabs>
            <w:spacing w:before="120" w:after="60"/>
          </w:pPr>
          <w:hyperlink w:anchor="_Toc100007" w:history="1">
            <w:r>
              <w:rPr>
                <w:rStyle w:val="Hyperlink"/>
              </w:rPr>
              <w:t>3.2 Domain Breakdown</w:t>
            </w:r>
            <w:r>
              <w:tab/>
            </w:r>
            <w:r>
              <w:fldChar w:fldCharType="begin"/>
            </w:r>
            <w:r>
              <w:instrText xml:space="preserve"> PAGEREF _Toc100007 \h </w:instrText>
            </w:r>
            <w:r>
              <w:fldChar w:fldCharType="separate"/>
            </w:r>
            <w:r>
              <w:t>3</w:t>
            </w:r>
            <w:r>
              <w:fldChar w:fldCharType="end"/>
            </w:r>
          </w:hyperlink>
        </w:p>
        <w:p>
          <w:pPr>
            <w:pStyle w:val="11"/>
            <w:ind w:left="360"/>
            <w:tabs>
              <w:tab w:val="right" w:leader="dot" w:pos="9026"/>
            </w:tabs>
            <w:spacing w:before="120" w:after="60"/>
          </w:pPr>
          <w:hyperlink w:anchor="_Toc100008" w:history="1">
            <w:r>
              <w:rPr>
                <w:rStyle w:val="Hyperlink"/>
              </w:rPr>
              <w:t>3.3 Entity Relationships</w:t>
            </w:r>
            <w:r>
              <w:tab/>
            </w:r>
            <w:r>
              <w:fldChar w:fldCharType="begin"/>
            </w:r>
            <w:r>
              <w:instrText xml:space="preserve"> PAGEREF _Toc100008 \h </w:instrText>
            </w:r>
            <w:r>
              <w:fldChar w:fldCharType="separate"/>
            </w:r>
            <w:r>
              <w:t>3</w:t>
            </w:r>
            <w:r>
              <w:fldChar w:fldCharType="end"/>
            </w:r>
          </w:hyperlink>
        </w:p>
        <w:p>
          <w:pPr>
            <w:pStyle w:val="9"/>
            <w:tabs>
              <w:tab w:val="right" w:leader="dot" w:pos="9026"/>
            </w:tabs>
            <w:spacing w:before="120" w:after="60"/>
          </w:pPr>
          <w:hyperlink w:anchor="_Toc100009" w:history="1">
            <w:r>
              <w:rPr>
                <w:rStyle w:val="Hyperlink"/>
              </w:rPr>
              <w:t>4. A/B Testing System</w:t>
            </w:r>
            <w:r>
              <w:tab/>
            </w:r>
            <w:r>
              <w:fldChar w:fldCharType="begin"/>
            </w:r>
            <w:r>
              <w:instrText xml:space="preserve"> PAGEREF _Toc100009 \h </w:instrText>
            </w:r>
            <w:r>
              <w:fldChar w:fldCharType="separate"/>
            </w:r>
            <w:r>
              <w:t>4</w:t>
            </w:r>
            <w:r>
              <w:fldChar w:fldCharType="end"/>
            </w:r>
          </w:hyperlink>
        </w:p>
        <w:p>
          <w:pPr>
            <w:pStyle w:val="11"/>
            <w:ind w:left="360"/>
            <w:tabs>
              <w:tab w:val="right" w:leader="dot" w:pos="9026"/>
            </w:tabs>
            <w:spacing w:before="120" w:after="60"/>
          </w:pPr>
          <w:hyperlink w:anchor="_Toc100010" w:history="1">
            <w:r>
              <w:rPr>
                <w:rStyle w:val="Hyperlink"/>
              </w:rPr>
              <w:t>4.1 Architecture</w:t>
            </w:r>
            <w:r>
              <w:tab/>
            </w:r>
            <w:r>
              <w:fldChar w:fldCharType="begin"/>
            </w:r>
            <w:r>
              <w:instrText xml:space="preserve"> PAGEREF _Toc100010 \h </w:instrText>
            </w:r>
            <w:r>
              <w:fldChar w:fldCharType="separate"/>
            </w:r>
            <w:r>
              <w:t>4</w:t>
            </w:r>
            <w:r>
              <w:fldChar w:fldCharType="end"/>
            </w:r>
          </w:hyperlink>
        </w:p>
        <w:p>
          <w:pPr>
            <w:pStyle w:val="11"/>
            <w:ind w:left="360"/>
            <w:tabs>
              <w:tab w:val="right" w:leader="dot" w:pos="9026"/>
            </w:tabs>
            <w:spacing w:before="120" w:after="60"/>
          </w:pPr>
          <w:hyperlink w:anchor="_Toc100011" w:history="1">
            <w:r>
              <w:rPr>
                <w:rStyle w:val="Hyperlink"/>
              </w:rPr>
              <w:t>4.2 Default Experiments</w:t>
            </w:r>
            <w:r>
              <w:tab/>
            </w:r>
            <w:r>
              <w:fldChar w:fldCharType="begin"/>
            </w:r>
            <w:r>
              <w:instrText xml:space="preserve"> PAGEREF _Toc100011 \h </w:instrText>
            </w:r>
            <w:r>
              <w:fldChar w:fldCharType="separate"/>
            </w:r>
            <w:r>
              <w:t>4</w:t>
            </w:r>
            <w:r>
              <w:fldChar w:fldCharType="end"/>
            </w:r>
          </w:hyperlink>
        </w:p>
        <w:p>
          <w:pPr>
            <w:pStyle w:val="11"/>
            <w:ind w:left="360"/>
            <w:tabs>
              <w:tab w:val="right" w:leader="dot" w:pos="9026"/>
            </w:tabs>
            <w:spacing w:before="120" w:after="60"/>
          </w:pPr>
          <w:hyperlink w:anchor="_Toc100012" w:history="1">
            <w:r>
              <w:rPr>
                <w:rStyle w:val="Hyperlink"/>
              </w:rPr>
              <w:t>4.3 API Endpoints</w:t>
            </w:r>
            <w:r>
              <w:tab/>
            </w:r>
            <w:r>
              <w:fldChar w:fldCharType="begin"/>
            </w:r>
            <w:r>
              <w:instrText xml:space="preserve"> PAGEREF _Toc100012 \h </w:instrText>
            </w:r>
            <w:r>
              <w:fldChar w:fldCharType="separate"/>
            </w:r>
            <w:r>
              <w:t>5</w:t>
            </w:r>
            <w:r>
              <w:fldChar w:fldCharType="end"/>
            </w:r>
          </w:hyperlink>
        </w:p>
        <w:p>
          <w:pPr>
            <w:pStyle w:val="11"/>
            <w:ind w:left="360"/>
            <w:tabs>
              <w:tab w:val="right" w:leader="dot" w:pos="9026"/>
            </w:tabs>
            <w:spacing w:before="120" w:after="60"/>
          </w:pPr>
          <w:hyperlink w:anchor="_Toc100013" w:history="1">
            <w:r>
              <w:rPr>
                <w:rStyle w:val="Hyperlink"/>
              </w:rPr>
              <w:t>4.4 Frontend Integration</w:t>
            </w:r>
            <w:r>
              <w:tab/>
            </w:r>
            <w:r>
              <w:fldChar w:fldCharType="begin"/>
            </w:r>
            <w:r>
              <w:instrText xml:space="preserve"> PAGEREF _Toc100013 \h </w:instrText>
            </w:r>
            <w:r>
              <w:fldChar w:fldCharType="separate"/>
            </w:r>
            <w:r>
              <w:t>5</w:t>
            </w:r>
            <w:r>
              <w:fldChar w:fldCharType="end"/>
            </w:r>
          </w:hyperlink>
        </w:p>
        <w:p>
          <w:pPr>
            <w:pStyle w:val="11"/>
            <w:ind w:left="360"/>
            <w:tabs>
              <w:tab w:val="right" w:leader="dot" w:pos="9026"/>
            </w:tabs>
            <w:spacing w:before="120" w:after="60"/>
          </w:pPr>
          <w:hyperlink w:anchor="_Toc100014" w:history="1">
            <w:r>
              <w:rPr>
                <w:rStyle w:val="Hyperlink"/>
              </w:rPr>
              <w:t>4.5 Migration Path to Supabase</w:t>
            </w:r>
            <w:r>
              <w:tab/>
            </w:r>
            <w:r>
              <w:fldChar w:fldCharType="begin"/>
            </w:r>
            <w:r>
              <w:instrText xml:space="preserve"> PAGEREF _Toc100014 \h </w:instrText>
            </w:r>
            <w:r>
              <w:fldChar w:fldCharType="separate"/>
            </w:r>
            <w:r>
              <w:t>5</w:t>
            </w:r>
            <w:r>
              <w:fldChar w:fldCharType="end"/>
            </w:r>
          </w:hyperlink>
        </w:p>
        <w:p>
          <w:pPr>
            <w:pStyle w:val="9"/>
            <w:tabs>
              <w:tab w:val="right" w:leader="dot" w:pos="9026"/>
            </w:tabs>
            <w:spacing w:before="120" w:after="60"/>
          </w:pPr>
          <w:hyperlink w:anchor="_Toc100015" w:history="1">
            <w:r>
              <w:rPr>
                <w:rStyle w:val="Hyperlink"/>
              </w:rPr>
              <w:t>5. Edge Functions</w:t>
            </w:r>
            <w:r>
              <w:tab/>
            </w:r>
            <w:r>
              <w:fldChar w:fldCharType="begin"/>
            </w:r>
            <w:r>
              <w:instrText xml:space="preserve"> PAGEREF _Toc100015 \h </w:instrText>
            </w:r>
            <w:r>
              <w:fldChar w:fldCharType="separate"/>
            </w:r>
            <w:r>
              <w:t>5</w:t>
            </w:r>
            <w:r>
              <w:fldChar w:fldCharType="end"/>
            </w:r>
          </w:hyperlink>
        </w:p>
        <w:p>
          <w:pPr>
            <w:pStyle w:val="9"/>
            <w:tabs>
              <w:tab w:val="right" w:leader="dot" w:pos="9026"/>
            </w:tabs>
            <w:spacing w:before="120" w:after="60"/>
          </w:pPr>
          <w:hyperlink w:anchor="_Toc100016" w:history="1">
            <w:r>
              <w:rPr>
                <w:rStyle w:val="Hyperlink"/>
              </w:rPr>
              <w:t>6. Row-Level Security</w:t>
            </w:r>
            <w:r>
              <w:tab/>
            </w:r>
            <w:r>
              <w:fldChar w:fldCharType="begin"/>
            </w:r>
            <w:r>
              <w:instrText xml:space="preserve"> PAGEREF _Toc100016 \h </w:instrText>
            </w:r>
            <w:r>
              <w:fldChar w:fldCharType="separate"/>
            </w:r>
            <w:r>
              <w:t>6</w:t>
            </w:r>
            <w:r>
              <w:fldChar w:fldCharType="end"/>
            </w:r>
          </w:hyperlink>
        </w:p>
        <w:p>
          <w:pPr>
            <w:pStyle w:val="9"/>
            <w:tabs>
              <w:tab w:val="right" w:leader="dot" w:pos="9026"/>
            </w:tabs>
            <w:spacing w:before="120" w:after="60"/>
          </w:pPr>
          <w:hyperlink w:anchor="_Toc100017" w:history="1">
            <w:r>
              <w:rPr>
                <w:rStyle w:val="Hyperlink"/>
              </w:rPr>
              <w:t>7. Storage Architecture</w:t>
            </w:r>
            <w:r>
              <w:tab/>
            </w:r>
            <w:r>
              <w:fldChar w:fldCharType="begin"/>
            </w:r>
            <w:r>
              <w:instrText xml:space="preserve"> PAGEREF _Toc100017 \h </w:instrText>
            </w:r>
            <w:r>
              <w:fldChar w:fldCharType="separate"/>
            </w:r>
            <w:r>
              <w:t>6</w:t>
            </w:r>
            <w:r>
              <w:fldChar w:fldCharType="end"/>
            </w:r>
          </w:hyperlink>
        </w:p>
        <w:p>
          <w:pPr>
            <w:pStyle w:val="9"/>
            <w:tabs>
              <w:tab w:val="right" w:leader="dot" w:pos="9026"/>
            </w:tabs>
            <w:spacing w:before="120" w:after="60"/>
          </w:pPr>
          <w:hyperlink w:anchor="_Toc100018" w:history="1">
            <w:r>
              <w:rPr>
                <w:rStyle w:val="Hyperlink"/>
              </w:rPr>
              <w:t>8. Implementation Phases</w:t>
            </w:r>
            <w:r>
              <w:tab/>
            </w:r>
            <w:r>
              <w:fldChar w:fldCharType="begin"/>
            </w:r>
            <w:r>
              <w:instrText xml:space="preserve"> PAGEREF _Toc100018 \h </w:instrText>
            </w:r>
            <w:r>
              <w:fldChar w:fldCharType="separate"/>
            </w:r>
            <w:r>
              <w:t>6</w:t>
            </w:r>
            <w:r>
              <w:fldChar w:fldCharType="end"/>
            </w:r>
          </w:hyperlink>
        </w:p>
        <w:p>
          <w:pPr>
            <w:pStyle w:val="11"/>
            <w:ind w:left="360"/>
            <w:tabs>
              <w:tab w:val="right" w:leader="dot" w:pos="9026"/>
            </w:tabs>
            <w:spacing w:before="120" w:after="60"/>
          </w:pPr>
          <w:hyperlink w:anchor="_Toc100019" w:history="1">
            <w:r>
              <w:rPr>
                <w:rStyle w:val="Hyperlink"/>
              </w:rPr>
              <w:t>Phase 1: Lead Capture (1-2 Weeks)</w:t>
            </w:r>
            <w:r>
              <w:tab/>
            </w:r>
            <w:r>
              <w:fldChar w:fldCharType="begin"/>
            </w:r>
            <w:r>
              <w:instrText xml:space="preserve"> PAGEREF _Toc100019 \h </w:instrText>
            </w:r>
            <w:r>
              <w:fldChar w:fldCharType="separate"/>
            </w:r>
            <w:r>
              <w:t>7</w:t>
            </w:r>
            <w:r>
              <w:fldChar w:fldCharType="end"/>
            </w:r>
          </w:hyperlink>
        </w:p>
        <w:p>
          <w:pPr>
            <w:pStyle w:val="11"/>
            <w:ind w:left="360"/>
            <w:tabs>
              <w:tab w:val="right" w:leader="dot" w:pos="9026"/>
            </w:tabs>
            <w:spacing w:before="120" w:after="60"/>
          </w:pPr>
          <w:hyperlink w:anchor="_Toc100020" w:history="1">
            <w:r>
              <w:rPr>
                <w:rStyle w:val="Hyperlink"/>
              </w:rPr>
              <w:t>Phase 2: Content Migration (2-3 Weeks)</w:t>
            </w:r>
            <w:r>
              <w:tab/>
            </w:r>
            <w:r>
              <w:fldChar w:fldCharType="begin"/>
            </w:r>
            <w:r>
              <w:instrText xml:space="preserve"> PAGEREF _Toc100020 \h </w:instrText>
            </w:r>
            <w:r>
              <w:fldChar w:fldCharType="separate"/>
            </w:r>
            <w:r>
              <w:t>7</w:t>
            </w:r>
            <w:r>
              <w:fldChar w:fldCharType="end"/>
            </w:r>
          </w:hyperlink>
        </w:p>
        <w:p>
          <w:pPr>
            <w:pStyle w:val="11"/>
            <w:ind w:left="360"/>
            <w:tabs>
              <w:tab w:val="right" w:leader="dot" w:pos="9026"/>
            </w:tabs>
            <w:spacing w:before="120" w:after="60"/>
          </w:pPr>
          <w:hyperlink w:anchor="_Toc100021" w:history="1">
            <w:r>
              <w:rPr>
                <w:rStyle w:val="Hyperlink"/>
              </w:rPr>
              <w:t>Phase 3: Customer Portal (2-3 Weeks)</w:t>
            </w:r>
            <w:r>
              <w:tab/>
            </w:r>
            <w:r>
              <w:fldChar w:fldCharType="begin"/>
            </w:r>
            <w:r>
              <w:instrText xml:space="preserve"> PAGEREF _Toc100021 \h </w:instrText>
            </w:r>
            <w:r>
              <w:fldChar w:fldCharType="separate"/>
            </w:r>
            <w:r>
              <w:t>7</w:t>
            </w:r>
            <w:r>
              <w:fldChar w:fldCharType="end"/>
            </w:r>
          </w:hyperlink>
        </w:p>
        <w:p>
          <w:pPr>
            <w:pStyle w:val="11"/>
            <w:ind w:left="360"/>
            <w:tabs>
              <w:tab w:val="right" w:leader="dot" w:pos="9026"/>
            </w:tabs>
            <w:spacing w:before="120" w:after="60"/>
          </w:pPr>
          <w:hyperlink w:anchor="_Toc100022" w:history="1">
            <w:r>
              <w:rPr>
                <w:rStyle w:val="Hyperlink"/>
              </w:rPr>
              <w:t>Phase 4: GDPR and Analytics (1-2 Weeks)</w:t>
            </w:r>
            <w:r>
              <w:tab/>
            </w:r>
            <w:r>
              <w:fldChar w:fldCharType="begin"/>
            </w:r>
            <w:r>
              <w:instrText xml:space="preserve"> PAGEREF _Toc100022 \h </w:instrText>
            </w:r>
            <w:r>
              <w:fldChar w:fldCharType="separate"/>
            </w:r>
            <w:r>
              <w:t>7</w:t>
            </w:r>
            <w:r>
              <w:fldChar w:fldCharType="end"/>
            </w:r>
          </w:hyperlink>
        </w:p>
        <w:p>
          <w:pPr>
            <w:pStyle w:val="11"/>
            <w:ind w:left="360"/>
            <w:tabs>
              <w:tab w:val="right" w:leader="dot" w:pos="9026"/>
            </w:tabs>
            <w:spacing w:before="120" w:after="60"/>
          </w:pPr>
          <w:hyperlink w:anchor="_Toc100023" w:history="1">
            <w:r>
              <w:rPr>
                <w:rStyle w:val="Hyperlink"/>
              </w:rPr>
              <w:t>Phase 5: Polish and A/B Testing Migration (1-2 Weeks)</w:t>
            </w:r>
            <w:r>
              <w:tab/>
            </w:r>
            <w:r>
              <w:fldChar w:fldCharType="begin"/>
            </w:r>
            <w:r>
              <w:instrText xml:space="preserve"> PAGEREF _Toc100023 \h </w:instrText>
            </w:r>
            <w:r>
              <w:fldChar w:fldCharType="separate"/>
            </w:r>
            <w:r>
              <w:t>8</w:t>
            </w:r>
            <w:r>
              <w:fldChar w:fldCharType="end"/>
            </w:r>
          </w:hyperlink>
        </w:p>
        <w:p>
          <w:pPr>
            <w:pStyle w:val="9"/>
            <w:tabs>
              <w:tab w:val="right" w:leader="dot" w:pos="9026"/>
            </w:tabs>
            <w:spacing w:before="120" w:after="60"/>
          </w:pPr>
          <w:hyperlink w:anchor="_Toc100024" w:history="1">
            <w:r>
              <w:rPr>
                <w:rStyle w:val="Hyperlink"/>
              </w:rPr>
              <w:t>9. Environment Variables</w:t>
            </w:r>
            <w:r>
              <w:tab/>
            </w:r>
            <w:r>
              <w:fldChar w:fldCharType="begin"/>
            </w:r>
            <w:r>
              <w:instrText xml:space="preserve"> PAGEREF _Toc100024 \h </w:instrText>
            </w:r>
            <w:r>
              <w:fldChar w:fldCharType="separate"/>
            </w:r>
            <w:r>
              <w:t>8</w:t>
            </w:r>
            <w:r>
              <w:fldChar w:fldCharType="end"/>
            </w:r>
          </w:hyperlink>
        </w:p>
        <w:p>
          <w:r>
            <w:fldChar w:fldCharType="end"/>
          </w:r>
        </w:p>
      </w:sdtContent>
    </w:sdt>
    <w:p>
      <w:r>
        <w:br w:type="page"/>
      </w:r>
    </w:p>
    <w:p>
      <w:pPr>
        <w:pStyle w:val="Heading1"/>
        <w:spacing w:after="120" w:before="360" w:line="312"/>
      </w:pPr>
      <w:bookmarkStart w:id="100000" w:name="_Toc100000"/>
      <w:r>
        <w:rPr>
          <w:rFonts w:ascii="Times New Roman"/>
          <w:b/>
          <w:bCs/>
          <w:color w:val="2C3E50"/>
          <w:sz w:val="32"/>
          <w:szCs w:val="32"/>
        </w:rPr>
        <w:t xml:space="preserve">1. Executive Summary</w:t>
      </w:r>
      <w:bookmarkEnd w:id="100000"/>
    </w:p>
    <w:p>
      <w:pPr>
        <w:spacing w:after="80" w:line="312"/>
        <w:jc w:val="both"/>
      </w:pPr>
      <w:r>
        <w:rPr>
          <w:rFonts w:ascii="Times New Roman"/>
          <w:color w:val="000000"/>
          <w:sz w:val="22"/>
          <w:szCs w:val="22"/>
        </w:rPr>
        <w:t xml:space="preserve">This document defines the complete Supabase backend architecture for the Solar Ireland website, a Next.js 16.1.3 application serving the Irish residential solar panel market. The backend supports lead capture, content management, customer portal access, analytics tracking, GDPR compliance, and A/B testing for conversion optimisation. The architecture leverages Supabase for its PostgreSQL database with Row-Level Security, Edge Functions for serverless logic, and Storage buckets for document management.</w:t>
      </w:r>
    </w:p>
    <w:p>
      <w:pPr>
        <w:spacing w:after="80" w:line="312"/>
        <w:jc w:val="both"/>
      </w:pPr>
      <w:r>
        <w:rPr>
          <w:rFonts w:ascii="Times New Roman"/>
          <w:color w:val="000000"/>
          <w:sz w:val="22"/>
          <w:szCs w:val="22"/>
        </w:rPr>
        <w:t xml:space="preserve">The specification covers 25 database tables organised across 6 domains, 14 Edge Functions, 7 Storage buckets, and over 20 Row-Level Security policies. The A/B testing system has been recently added using a local SQLite database with 4 tables and 5 API routes, providing experiment management, variant assignment, conversion tracking, and statistical reporting. The system is designed for phased implementation over 8 to 12 weeks, with each phase delivering standalone business value.</w:t>
      </w:r>
    </w:p>
    <w:p>
      <w:pPr>
        <w:spacing w:after="80" w:line="312"/>
        <w:jc w:val="both"/>
      </w:pPr>
      <w:r>
        <w:rPr>
          <w:rFonts w:ascii="Times New Roman"/>
          <w:color w:val="000000"/>
          <w:sz w:val="22"/>
          <w:szCs w:val="22"/>
        </w:rPr>
        <w:t xml:space="preserve">All frontend data is currently hardcoded in TypeScript files or uses local SQLite for A/B testing. The Supabase integration plan progressively replaces these static data sources with real database queries while maintaining the existing dark-theme UI and component architecture. Reference numbers follow the SI-YYYY-NNNN format for survey bookings, and the portal authentication flow uses magic links with JWT-scoped RLS policies to ensure customer data isolation.</w:t>
      </w:r>
    </w:p>
    <w:p>
      <w:pPr>
        <w:pStyle w:val="Heading1"/>
        <w:spacing w:after="120" w:before="360" w:line="312"/>
      </w:pPr>
      <w:bookmarkStart w:id="100001" w:name="_Toc100001"/>
      <w:r>
        <w:rPr>
          <w:rFonts w:ascii="Times New Roman"/>
          <w:b/>
          <w:bCs/>
          <w:color w:val="2C3E50"/>
          <w:sz w:val="32"/>
          <w:szCs w:val="32"/>
        </w:rPr>
        <w:t xml:space="preserve">2. Current Project State</w:t>
      </w:r>
      <w:bookmarkEnd w:id="100001"/>
    </w:p>
    <w:p>
      <w:pPr>
        <w:pStyle w:val="Heading2"/>
        <w:spacing w:after="100" w:before="280" w:line="312"/>
      </w:pPr>
      <w:bookmarkStart w:id="100002" w:name="_Toc100002"/>
      <w:r>
        <w:rPr>
          <w:rFonts w:ascii="Times New Roman"/>
          <w:b/>
          <w:bCs/>
          <w:color w:val="2C3E50"/>
          <w:sz w:val="28"/>
          <w:szCs w:val="28"/>
        </w:rPr>
        <w:t xml:space="preserve">2.1 Technology Stack</w:t>
      </w:r>
      <w:bookmarkEnd w:id="100002"/>
    </w:p>
    <w:p>
      <w:pPr>
        <w:spacing w:after="80" w:line="312"/>
        <w:jc w:val="both"/>
      </w:pPr>
      <w:r>
        <w:rPr>
          <w:rFonts w:ascii="Times New Roman"/>
          <w:color w:val="000000"/>
          <w:sz w:val="22"/>
          <w:szCs w:val="22"/>
        </w:rPr>
        <w:t xml:space="preserve">The Solar Ireland website is built on a modern JavaScript stack optimised for performance and developer experience. The primary framework is Next.js version 16.1.3, running on the App Router architecture with Turbopack as the bundler. The UI layer uses React 19 with server components and client-side dynamic imports for interactive elements. Styling is handled through Tailwind CSS version 4 with custom glass-morphism design patterns. Animations use a custom motion library (lib/motion.tsx) that replaces Framer Motion due to a Turbopack compatibility issue, requiring all 14 interactive components to use ssr:false dynamic imports.</w:t>
      </w:r>
    </w:p>
    <w:p>
      <w:pPr>
        <w:spacing w:after="80" w:line="312"/>
        <w:jc w:val="both"/>
      </w:pPr>
      <w:r>
        <w:rPr>
          <w:rFonts w:ascii="Times New Roman"/>
          <w:color w:val="000000"/>
          <w:sz w:val="22"/>
          <w:szCs w:val="22"/>
        </w:rPr>
        <w:t xml:space="preserve">The local development environment uses better-sqlite3 for the A/B testing database, with a Prisma ORM layer targeting SQLite. The z-ai-web-dev-sdk package provides AI capabilities for chat completions and image generation, used in the bill analyser and AI chatbot features. All 270 SVG icons are sourced from the lucide-react library. The development server runs on port 3000 with a Caddy reverse proxy on port 81 for production preview.</w:t>
      </w:r>
    </w:p>
    <w:p>
      <w:pPr>
        <w:pStyle w:val="Heading2"/>
        <w:spacing w:after="100" w:before="280" w:line="312"/>
      </w:pPr>
      <w:bookmarkStart w:id="100003" w:name="_Toc100003"/>
      <w:r>
        <w:rPr>
          <w:rFonts w:ascii="Times New Roman"/>
          <w:b/>
          <w:bCs/>
          <w:color w:val="2C3E50"/>
          <w:sz w:val="28"/>
          <w:szCs w:val="28"/>
        </w:rPr>
        <w:t xml:space="preserve">2.2 API Routes</w:t>
      </w:r>
      <w:bookmarkEnd w:id="100003"/>
    </w:p>
    <w:p>
      <w:pPr>
        <w:spacing w:after="80" w:line="312"/>
        <w:jc w:val="both"/>
      </w:pPr>
      <w:r>
        <w:rPr>
          <w:rFonts w:ascii="Times New Roman"/>
          <w:color w:val="000000"/>
          <w:sz w:val="22"/>
          <w:szCs w:val="22"/>
        </w:rPr>
        <w:t xml:space="preserve">The application currently exposes 7 API route groups. The contact route handles form submissions but currently only logs to the console with no database persistence. The chat route provides AI-powered conversation using the z-ai-web-dev-sdk for LLM completions. The analyse-bill route uses vision AI to scan electricity bills and generate financial analysis. The A/B testing routes are the most recently added, providing five endpoints for experiment management: assign, convert, experiments, results, and stats. All A/B routes use the local SQLite database with the better-sqlite3 driver.</w:t>
      </w:r>
    </w:p>
    <w:tbl>
      <w:tblPr>
        <w:tblW w:type="pct" w:w="100%"/>
        <w:tblBorders>
          <w:top w:val="single" w:color="D4875A" w:sz="2"/>
          <w:left w:val="none"/>
          <w:bottom w:val="single" w:color="D4875A" w:sz="2"/>
          <w:right w:val="none"/>
          <w:insideH w:val="none"/>
          <w:insideV w:val="none"/>
        </w:tblBorders>
      </w:tblPr>
      <w:tblGrid>
        <w:gridCol w:w="100"/>
        <w:gridCol w:w="100"/>
        <w:gridCol w:w="100"/>
        <w:gridCol w:w="100"/>
      </w:tblGrid>
      <w:tr>
        <w:trPr>
          <w:cantSplit/>
          <w:tblHeader/>
        </w:trPr>
        <w:tc>
          <w:tcPr>
            <w:tcW w:type="pct" w:w="25%"/>
            <w:shd w:fill="D4875A" w:val="clear"/>
            <w:tcMar>
              <w:top w:type="dxa" w:w="60"/>
              <w:left w:type="dxa" w:w="100"/>
              <w:bottom w:type="dxa" w:w="60"/>
              <w:right w:type="dxa" w:w="100"/>
            </w:tcMar>
          </w:tcPr>
          <w:p>
            <w:r>
              <w:rPr>
                <w:rFonts w:ascii="Times New Roman"/>
                <w:b/>
                <w:bCs/>
                <w:color w:val="FFFFFF"/>
                <w:sz w:val="20"/>
                <w:szCs w:val="20"/>
              </w:rPr>
              <w:t xml:space="preserve">Route</w:t>
            </w:r>
          </w:p>
        </w:tc>
        <w:tc>
          <w:tcPr>
            <w:tcW w:type="pct" w:w="35%"/>
            <w:shd w:fill="D4875A" w:val="clear"/>
            <w:tcMar>
              <w:top w:type="dxa" w:w="60"/>
              <w:left w:type="dxa" w:w="100"/>
              <w:bottom w:type="dxa" w:w="60"/>
              <w:right w:type="dxa" w:w="100"/>
            </w:tcMar>
          </w:tcPr>
          <w:p>
            <w:r>
              <w:rPr>
                <w:rFonts w:ascii="Times New Roman"/>
                <w:b/>
                <w:bCs/>
                <w:color w:val="FFFFFF"/>
                <w:sz w:val="20"/>
                <w:szCs w:val="20"/>
              </w:rPr>
              <w:t xml:space="preserve">Purpose</w:t>
            </w:r>
          </w:p>
        </w:tc>
        <w:tc>
          <w:tcPr>
            <w:tcW w:type="pct" w:w="15%"/>
            <w:shd w:fill="D4875A" w:val="clear"/>
            <w:tcMar>
              <w:top w:type="dxa" w:w="60"/>
              <w:left w:type="dxa" w:w="100"/>
              <w:bottom w:type="dxa" w:w="60"/>
              <w:right w:type="dxa" w:w="100"/>
            </w:tcMar>
          </w:tcPr>
          <w:p>
            <w:r>
              <w:rPr>
                <w:rFonts w:ascii="Times New Roman"/>
                <w:b/>
                <w:bCs/>
                <w:color w:val="FFFFFF"/>
                <w:sz w:val="20"/>
                <w:szCs w:val="20"/>
              </w:rPr>
              <w:t xml:space="preserve">Database</w:t>
            </w:r>
          </w:p>
        </w:tc>
        <w:tc>
          <w:tcPr>
            <w:tcW w:type="pct" w:w="25%"/>
            <w:shd w:fill="D4875A" w:val="clear"/>
            <w:tcMar>
              <w:top w:type="dxa" w:w="60"/>
              <w:left w:type="dxa" w:w="100"/>
              <w:bottom w:type="dxa" w:w="60"/>
              <w:right w:type="dxa" w:w="100"/>
            </w:tcMar>
          </w:tcPr>
          <w:p>
            <w:r>
              <w:rPr>
                <w:rFonts w:ascii="Times New Roman"/>
                <w:b/>
                <w:bCs/>
                <w:color w:val="FFFFFF"/>
                <w:sz w:val="20"/>
                <w:szCs w:val="20"/>
              </w:rPr>
              <w:t xml:space="preserve">Status</w:t>
            </w:r>
          </w:p>
        </w:tc>
      </w:tr>
      <w:tr>
        <w:trPr>
          <w:cantSplit/>
        </w:trPr>
        <w:tc>
          <w:tcPr>
            <w:tcW w:type="pct" w:w="25%"/>
            <w:shd w:fill="FDF8F3" w:val="clear"/>
            <w:tcMar>
              <w:top w:type="dxa" w:w="50"/>
              <w:left w:type="dxa" w:w="100"/>
              <w:bottom w:type="dxa" w:w="50"/>
              <w:right w:type="dxa" w:w="100"/>
            </w:tcMar>
          </w:tcPr>
          <w:p>
            <w:pPr>
              <w:spacing w:line="280"/>
            </w:pPr>
            <w:r>
              <w:rPr>
                <w:rFonts w:ascii="Times New Roman"/>
                <w:color w:val="000000"/>
                <w:sz w:val="20"/>
                <w:szCs w:val="20"/>
              </w:rPr>
              <w:t xml:space="preserve">/api/contact</w:t>
            </w:r>
          </w:p>
        </w:tc>
        <w:tc>
          <w:tcPr>
            <w:tcW w:type="pct" w:w="35%"/>
            <w:shd w:fill="FDF8F3" w:val="clear"/>
            <w:tcMar>
              <w:top w:type="dxa" w:w="50"/>
              <w:left w:type="dxa" w:w="100"/>
              <w:bottom w:type="dxa" w:w="50"/>
              <w:right w:type="dxa" w:w="100"/>
            </w:tcMar>
          </w:tcPr>
          <w:p>
            <w:pPr>
              <w:spacing w:line="280"/>
            </w:pPr>
            <w:r>
              <w:rPr>
                <w:rFonts w:ascii="Times New Roman"/>
                <w:color w:val="000000"/>
                <w:sz w:val="20"/>
                <w:szCs w:val="20"/>
              </w:rPr>
              <w:t xml:space="preserve">Form submission handler</w:t>
            </w:r>
          </w:p>
        </w:tc>
        <w:tc>
          <w:tcPr>
            <w:tcW w:type="pct" w:w="15%"/>
            <w:shd w:fill="FDF8F3" w:val="clear"/>
            <w:tcMar>
              <w:top w:type="dxa" w:w="50"/>
              <w:left w:type="dxa" w:w="100"/>
              <w:bottom w:type="dxa" w:w="50"/>
              <w:right w:type="dxa" w:w="100"/>
            </w:tcMar>
          </w:tcPr>
          <w:p>
            <w:pPr>
              <w:spacing w:line="280"/>
            </w:pPr>
            <w:r>
              <w:rPr>
                <w:rFonts w:ascii="Times New Roman"/>
                <w:color w:val="000000"/>
                <w:sz w:val="20"/>
                <w:szCs w:val="20"/>
              </w:rPr>
              <w:t xml:space="preserve">None</w:t>
            </w:r>
          </w:p>
        </w:tc>
        <w:tc>
          <w:tcPr>
            <w:tcW w:type="pct" w:w="25%"/>
            <w:shd w:fill="FDF8F3" w:val="clear"/>
            <w:tcMar>
              <w:top w:type="dxa" w:w="50"/>
              <w:left w:type="dxa" w:w="100"/>
              <w:bottom w:type="dxa" w:w="50"/>
              <w:right w:type="dxa" w:w="100"/>
            </w:tcMar>
          </w:tcPr>
          <w:p>
            <w:pPr>
              <w:spacing w:line="280"/>
            </w:pPr>
            <w:r>
              <w:rPr>
                <w:rFonts w:ascii="Times New Roman"/>
                <w:color w:val="000000"/>
                <w:sz w:val="20"/>
                <w:szCs w:val="20"/>
              </w:rPr>
              <w:t xml:space="preserve">console.log only</w:t>
            </w:r>
          </w:p>
        </w:tc>
      </w:tr>
      <w:tr>
        <w:trPr>
          <w:cantSplit/>
        </w:trPr>
        <w:tc>
          <w:tcPr>
            <w:tcW w:type="pct" w:w="25%"/>
            <w:shd w:fill="FFFFFF" w:val="clear"/>
            <w:tcMar>
              <w:top w:type="dxa" w:w="50"/>
              <w:left w:type="dxa" w:w="100"/>
              <w:bottom w:type="dxa" w:w="50"/>
              <w:right w:type="dxa" w:w="100"/>
            </w:tcMar>
          </w:tcPr>
          <w:p>
            <w:pPr>
              <w:spacing w:line="280"/>
            </w:pPr>
            <w:r>
              <w:rPr>
                <w:rFonts w:ascii="Times New Roman"/>
                <w:color w:val="000000"/>
                <w:sz w:val="20"/>
                <w:szCs w:val="20"/>
              </w:rPr>
              <w:t xml:space="preserve">/api/chat</w:t>
            </w:r>
          </w:p>
        </w:tc>
        <w:tc>
          <w:tcPr>
            <w:tcW w:type="pct" w:w="35%"/>
            <w:shd w:fill="FFFFFF" w:val="clear"/>
            <w:tcMar>
              <w:top w:type="dxa" w:w="50"/>
              <w:left w:type="dxa" w:w="100"/>
              <w:bottom w:type="dxa" w:w="50"/>
              <w:right w:type="dxa" w:w="100"/>
            </w:tcMar>
          </w:tcPr>
          <w:p>
            <w:pPr>
              <w:spacing w:line="280"/>
            </w:pPr>
            <w:r>
              <w:rPr>
                <w:rFonts w:ascii="Times New Roman"/>
                <w:color w:val="000000"/>
                <w:sz w:val="20"/>
                <w:szCs w:val="20"/>
              </w:rPr>
              <w:t xml:space="preserve">AI chatbot completions</w:t>
            </w:r>
          </w:p>
        </w:tc>
        <w:tc>
          <w:tcPr>
            <w:tcW w:type="pct" w:w="15%"/>
            <w:shd w:fill="FFFFFF" w:val="clear"/>
            <w:tcMar>
              <w:top w:type="dxa" w:w="50"/>
              <w:left w:type="dxa" w:w="100"/>
              <w:bottom w:type="dxa" w:w="50"/>
              <w:right w:type="dxa" w:w="100"/>
            </w:tcMar>
          </w:tcPr>
          <w:p>
            <w:pPr>
              <w:spacing w:line="280"/>
            </w:pPr>
            <w:r>
              <w:rPr>
                <w:rFonts w:ascii="Times New Roman"/>
                <w:color w:val="000000"/>
                <w:sz w:val="20"/>
                <w:szCs w:val="20"/>
              </w:rPr>
              <w:t xml:space="preserve">None</w:t>
            </w:r>
          </w:p>
        </w:tc>
        <w:tc>
          <w:tcPr>
            <w:tcW w:type="pct" w:w="25%"/>
            <w:shd w:fill="FFFFFF" w:val="clear"/>
            <w:tcMar>
              <w:top w:type="dxa" w:w="50"/>
              <w:left w:type="dxa" w:w="100"/>
              <w:bottom w:type="dxa" w:w="50"/>
              <w:right w:type="dxa" w:w="100"/>
            </w:tcMar>
          </w:tcPr>
          <w:p>
            <w:pPr>
              <w:spacing w:line="280"/>
            </w:pPr>
            <w:r>
              <w:rPr>
                <w:rFonts w:ascii="Times New Roman"/>
                <w:color w:val="000000"/>
                <w:sz w:val="20"/>
                <w:szCs w:val="20"/>
              </w:rPr>
              <w:t xml:space="preserve">Operational</w:t>
            </w:r>
          </w:p>
        </w:tc>
      </w:tr>
      <w:tr>
        <w:trPr>
          <w:cantSplit/>
        </w:trPr>
        <w:tc>
          <w:tcPr>
            <w:tcW w:type="pct" w:w="25%"/>
            <w:shd w:fill="FDF8F3" w:val="clear"/>
            <w:tcMar>
              <w:top w:type="dxa" w:w="50"/>
              <w:left w:type="dxa" w:w="100"/>
              <w:bottom w:type="dxa" w:w="50"/>
              <w:right w:type="dxa" w:w="100"/>
            </w:tcMar>
          </w:tcPr>
          <w:p>
            <w:pPr>
              <w:spacing w:line="280"/>
            </w:pPr>
            <w:r>
              <w:rPr>
                <w:rFonts w:ascii="Times New Roman"/>
                <w:color w:val="000000"/>
                <w:sz w:val="20"/>
                <w:szCs w:val="20"/>
              </w:rPr>
              <w:t xml:space="preserve">/api/analyse-bill</w:t>
            </w:r>
          </w:p>
        </w:tc>
        <w:tc>
          <w:tcPr>
            <w:tcW w:type="pct" w:w="35%"/>
            <w:shd w:fill="FDF8F3" w:val="clear"/>
            <w:tcMar>
              <w:top w:type="dxa" w:w="50"/>
              <w:left w:type="dxa" w:w="100"/>
              <w:bottom w:type="dxa" w:w="50"/>
              <w:right w:type="dxa" w:w="100"/>
            </w:tcMar>
          </w:tcPr>
          <w:p>
            <w:pPr>
              <w:spacing w:line="280"/>
            </w:pPr>
            <w:r>
              <w:rPr>
                <w:rFonts w:ascii="Times New Roman"/>
                <w:color w:val="000000"/>
                <w:sz w:val="20"/>
                <w:szCs w:val="20"/>
              </w:rPr>
              <w:t xml:space="preserve">Bill OCR + financial analysis</w:t>
            </w:r>
          </w:p>
        </w:tc>
        <w:tc>
          <w:tcPr>
            <w:tcW w:type="pct" w:w="15%"/>
            <w:shd w:fill="FDF8F3" w:val="clear"/>
            <w:tcMar>
              <w:top w:type="dxa" w:w="50"/>
              <w:left w:type="dxa" w:w="100"/>
              <w:bottom w:type="dxa" w:w="50"/>
              <w:right w:type="dxa" w:w="100"/>
            </w:tcMar>
          </w:tcPr>
          <w:p>
            <w:pPr>
              <w:spacing w:line="280"/>
            </w:pPr>
            <w:r>
              <w:rPr>
                <w:rFonts w:ascii="Times New Roman"/>
                <w:color w:val="000000"/>
                <w:sz w:val="20"/>
                <w:szCs w:val="20"/>
              </w:rPr>
              <w:t xml:space="preserve">None</w:t>
            </w:r>
          </w:p>
        </w:tc>
        <w:tc>
          <w:tcPr>
            <w:tcW w:type="pct" w:w="25%"/>
            <w:shd w:fill="FDF8F3" w:val="clear"/>
            <w:tcMar>
              <w:top w:type="dxa" w:w="50"/>
              <w:left w:type="dxa" w:w="100"/>
              <w:bottom w:type="dxa" w:w="50"/>
              <w:right w:type="dxa" w:w="100"/>
            </w:tcMar>
          </w:tcPr>
          <w:p>
            <w:pPr>
              <w:spacing w:line="280"/>
            </w:pPr>
            <w:r>
              <w:rPr>
                <w:rFonts w:ascii="Times New Roman"/>
                <w:color w:val="000000"/>
                <w:sz w:val="20"/>
                <w:szCs w:val="20"/>
              </w:rPr>
              <w:t xml:space="preserve">Operational</w:t>
            </w:r>
          </w:p>
        </w:tc>
      </w:tr>
      <w:tr>
        <w:trPr>
          <w:cantSplit/>
        </w:trPr>
        <w:tc>
          <w:tcPr>
            <w:tcW w:type="pct" w:w="25%"/>
            <w:shd w:fill="FFFFFF" w:val="clear"/>
            <w:tcMar>
              <w:top w:type="dxa" w:w="50"/>
              <w:left w:type="dxa" w:w="100"/>
              <w:bottom w:type="dxa" w:w="50"/>
              <w:right w:type="dxa" w:w="100"/>
            </w:tcMar>
          </w:tcPr>
          <w:p>
            <w:pPr>
              <w:spacing w:line="280"/>
            </w:pPr>
            <w:r>
              <w:rPr>
                <w:rFonts w:ascii="Times New Roman"/>
                <w:color w:val="000000"/>
                <w:sz w:val="20"/>
                <w:szCs w:val="20"/>
              </w:rPr>
              <w:t xml:space="preserve">/api/ab/assign</w:t>
            </w:r>
          </w:p>
        </w:tc>
        <w:tc>
          <w:tcPr>
            <w:tcW w:type="pct" w:w="35%"/>
            <w:shd w:fill="FFFFFF" w:val="clear"/>
            <w:tcMar>
              <w:top w:type="dxa" w:w="50"/>
              <w:left w:type="dxa" w:w="100"/>
              <w:bottom w:type="dxa" w:w="50"/>
              <w:right w:type="dxa" w:w="100"/>
            </w:tcMar>
          </w:tcPr>
          <w:p>
            <w:pPr>
              <w:spacing w:line="280"/>
            </w:pPr>
            <w:r>
              <w:rPr>
                <w:rFonts w:ascii="Times New Roman"/>
                <w:color w:val="000000"/>
                <w:sz w:val="20"/>
                <w:szCs w:val="20"/>
              </w:rPr>
              <w:t xml:space="preserve">A/B variant assignment</w:t>
            </w:r>
          </w:p>
        </w:tc>
        <w:tc>
          <w:tcPr>
            <w:tcW w:type="pct" w:w="15%"/>
            <w:shd w:fill="FFFFFF" w:val="clear"/>
            <w:tcMar>
              <w:top w:type="dxa" w:w="50"/>
              <w:left w:type="dxa" w:w="100"/>
              <w:bottom w:type="dxa" w:w="50"/>
              <w:right w:type="dxa" w:w="100"/>
            </w:tcMar>
          </w:tcPr>
          <w:p>
            <w:pPr>
              <w:spacing w:line="280"/>
            </w:pPr>
            <w:r>
              <w:rPr>
                <w:rFonts w:ascii="Times New Roman"/>
                <w:color w:val="000000"/>
                <w:sz w:val="20"/>
                <w:szCs w:val="20"/>
              </w:rPr>
              <w:t xml:space="preserve">SQLite</w:t>
            </w:r>
          </w:p>
        </w:tc>
        <w:tc>
          <w:tcPr>
            <w:tcW w:type="pct" w:w="25%"/>
            <w:shd w:fill="FFFFFF" w:val="clear"/>
            <w:tcMar>
              <w:top w:type="dxa" w:w="50"/>
              <w:left w:type="dxa" w:w="100"/>
              <w:bottom w:type="dxa" w:w="50"/>
              <w:right w:type="dxa" w:w="100"/>
            </w:tcMar>
          </w:tcPr>
          <w:p>
            <w:pPr>
              <w:spacing w:line="280"/>
            </w:pPr>
            <w:r>
              <w:rPr>
                <w:rFonts w:ascii="Times New Roman"/>
                <w:color w:val="000000"/>
                <w:sz w:val="20"/>
                <w:szCs w:val="20"/>
              </w:rPr>
              <w:t xml:space="preserve">Operational</w:t>
            </w:r>
          </w:p>
        </w:tc>
      </w:tr>
      <w:tr>
        <w:trPr>
          <w:cantSplit/>
        </w:trPr>
        <w:tc>
          <w:tcPr>
            <w:tcW w:type="pct" w:w="25%"/>
            <w:shd w:fill="FDF8F3" w:val="clear"/>
            <w:tcMar>
              <w:top w:type="dxa" w:w="50"/>
              <w:left w:type="dxa" w:w="100"/>
              <w:bottom w:type="dxa" w:w="50"/>
              <w:right w:type="dxa" w:w="100"/>
            </w:tcMar>
          </w:tcPr>
          <w:p>
            <w:pPr>
              <w:spacing w:line="280"/>
            </w:pPr>
            <w:r>
              <w:rPr>
                <w:rFonts w:ascii="Times New Roman"/>
                <w:color w:val="000000"/>
                <w:sz w:val="20"/>
                <w:szCs w:val="20"/>
              </w:rPr>
              <w:t xml:space="preserve">/api/ab/convert</w:t>
            </w:r>
          </w:p>
        </w:tc>
        <w:tc>
          <w:tcPr>
            <w:tcW w:type="pct" w:w="35%"/>
            <w:shd w:fill="FDF8F3" w:val="clear"/>
            <w:tcMar>
              <w:top w:type="dxa" w:w="50"/>
              <w:left w:type="dxa" w:w="100"/>
              <w:bottom w:type="dxa" w:w="50"/>
              <w:right w:type="dxa" w:w="100"/>
            </w:tcMar>
          </w:tcPr>
          <w:p>
            <w:pPr>
              <w:spacing w:line="280"/>
            </w:pPr>
            <w:r>
              <w:rPr>
                <w:rFonts w:ascii="Times New Roman"/>
                <w:color w:val="000000"/>
                <w:sz w:val="20"/>
                <w:szCs w:val="20"/>
              </w:rPr>
              <w:t xml:space="preserve">A/B conversion tracking</w:t>
            </w:r>
          </w:p>
        </w:tc>
        <w:tc>
          <w:tcPr>
            <w:tcW w:type="pct" w:w="15%"/>
            <w:shd w:fill="FDF8F3" w:val="clear"/>
            <w:tcMar>
              <w:top w:type="dxa" w:w="50"/>
              <w:left w:type="dxa" w:w="100"/>
              <w:bottom w:type="dxa" w:w="50"/>
              <w:right w:type="dxa" w:w="100"/>
            </w:tcMar>
          </w:tcPr>
          <w:p>
            <w:pPr>
              <w:spacing w:line="280"/>
            </w:pPr>
            <w:r>
              <w:rPr>
                <w:rFonts w:ascii="Times New Roman"/>
                <w:color w:val="000000"/>
                <w:sz w:val="20"/>
                <w:szCs w:val="20"/>
              </w:rPr>
              <w:t xml:space="preserve">SQLite</w:t>
            </w:r>
          </w:p>
        </w:tc>
        <w:tc>
          <w:tcPr>
            <w:tcW w:type="pct" w:w="25%"/>
            <w:shd w:fill="FDF8F3" w:val="clear"/>
            <w:tcMar>
              <w:top w:type="dxa" w:w="50"/>
              <w:left w:type="dxa" w:w="100"/>
              <w:bottom w:type="dxa" w:w="50"/>
              <w:right w:type="dxa" w:w="100"/>
            </w:tcMar>
          </w:tcPr>
          <w:p>
            <w:pPr>
              <w:spacing w:line="280"/>
            </w:pPr>
            <w:r>
              <w:rPr>
                <w:rFonts w:ascii="Times New Roman"/>
                <w:color w:val="000000"/>
                <w:sz w:val="20"/>
                <w:szCs w:val="20"/>
              </w:rPr>
              <w:t xml:space="preserve">Operational</w:t>
            </w:r>
          </w:p>
        </w:tc>
      </w:tr>
      <w:tr>
        <w:trPr>
          <w:cantSplit/>
        </w:trPr>
        <w:tc>
          <w:tcPr>
            <w:tcW w:type="pct" w:w="25%"/>
            <w:shd w:fill="FFFFFF" w:val="clear"/>
            <w:tcMar>
              <w:top w:type="dxa" w:w="50"/>
              <w:left w:type="dxa" w:w="100"/>
              <w:bottom w:type="dxa" w:w="50"/>
              <w:right w:type="dxa" w:w="100"/>
            </w:tcMar>
          </w:tcPr>
          <w:p>
            <w:pPr>
              <w:spacing w:line="280"/>
            </w:pPr>
            <w:r>
              <w:rPr>
                <w:rFonts w:ascii="Times New Roman"/>
                <w:color w:val="000000"/>
                <w:sz w:val="20"/>
                <w:szCs w:val="20"/>
              </w:rPr>
              <w:t xml:space="preserve">/api/ab/experiments</w:t>
            </w:r>
          </w:p>
        </w:tc>
        <w:tc>
          <w:tcPr>
            <w:tcW w:type="pct" w:w="35%"/>
            <w:shd w:fill="FFFFFF" w:val="clear"/>
            <w:tcMar>
              <w:top w:type="dxa" w:w="50"/>
              <w:left w:type="dxa" w:w="100"/>
              <w:bottom w:type="dxa" w:w="50"/>
              <w:right w:type="dxa" w:w="100"/>
            </w:tcMar>
          </w:tcPr>
          <w:p>
            <w:pPr>
              <w:spacing w:line="280"/>
            </w:pPr>
            <w:r>
              <w:rPr>
                <w:rFonts w:ascii="Times New Roman"/>
                <w:color w:val="000000"/>
                <w:sz w:val="20"/>
                <w:szCs w:val="20"/>
              </w:rPr>
              <w:t xml:space="preserve">List all experiments</w:t>
            </w:r>
          </w:p>
        </w:tc>
        <w:tc>
          <w:tcPr>
            <w:tcW w:type="pct" w:w="15%"/>
            <w:shd w:fill="FFFFFF" w:val="clear"/>
            <w:tcMar>
              <w:top w:type="dxa" w:w="50"/>
              <w:left w:type="dxa" w:w="100"/>
              <w:bottom w:type="dxa" w:w="50"/>
              <w:right w:type="dxa" w:w="100"/>
            </w:tcMar>
          </w:tcPr>
          <w:p>
            <w:pPr>
              <w:spacing w:line="280"/>
            </w:pPr>
            <w:r>
              <w:rPr>
                <w:rFonts w:ascii="Times New Roman"/>
                <w:color w:val="000000"/>
                <w:sz w:val="20"/>
                <w:szCs w:val="20"/>
              </w:rPr>
              <w:t xml:space="preserve">SQLite</w:t>
            </w:r>
          </w:p>
        </w:tc>
        <w:tc>
          <w:tcPr>
            <w:tcW w:type="pct" w:w="25%"/>
            <w:shd w:fill="FFFFFF" w:val="clear"/>
            <w:tcMar>
              <w:top w:type="dxa" w:w="50"/>
              <w:left w:type="dxa" w:w="100"/>
              <w:bottom w:type="dxa" w:w="50"/>
              <w:right w:type="dxa" w:w="100"/>
            </w:tcMar>
          </w:tcPr>
          <w:p>
            <w:pPr>
              <w:spacing w:line="280"/>
            </w:pPr>
            <w:r>
              <w:rPr>
                <w:rFonts w:ascii="Times New Roman"/>
                <w:color w:val="000000"/>
                <w:sz w:val="20"/>
                <w:szCs w:val="20"/>
              </w:rPr>
              <w:t xml:space="preserve">Operational</w:t>
            </w:r>
          </w:p>
        </w:tc>
      </w:tr>
      <w:tr>
        <w:trPr>
          <w:cantSplit/>
        </w:trPr>
        <w:tc>
          <w:tcPr>
            <w:tcW w:type="pct" w:w="25%"/>
            <w:shd w:fill="FDF8F3" w:val="clear"/>
            <w:tcMar>
              <w:top w:type="dxa" w:w="50"/>
              <w:left w:type="dxa" w:w="100"/>
              <w:bottom w:type="dxa" w:w="50"/>
              <w:right w:type="dxa" w:w="100"/>
            </w:tcMar>
          </w:tcPr>
          <w:p>
            <w:pPr>
              <w:spacing w:line="280"/>
            </w:pPr>
            <w:r>
              <w:rPr>
                <w:rFonts w:ascii="Times New Roman"/>
                <w:color w:val="000000"/>
                <w:sz w:val="20"/>
                <w:szCs w:val="20"/>
              </w:rPr>
              <w:t xml:space="preserve">/api/ab/results</w:t>
            </w:r>
          </w:p>
        </w:tc>
        <w:tc>
          <w:tcPr>
            <w:tcW w:type="pct" w:w="35%"/>
            <w:shd w:fill="FDF8F3" w:val="clear"/>
            <w:tcMar>
              <w:top w:type="dxa" w:w="50"/>
              <w:left w:type="dxa" w:w="100"/>
              <w:bottom w:type="dxa" w:w="50"/>
              <w:right w:type="dxa" w:w="100"/>
            </w:tcMar>
          </w:tcPr>
          <w:p>
            <w:pPr>
              <w:spacing w:line="280"/>
            </w:pPr>
            <w:r>
              <w:rPr>
                <w:rFonts w:ascii="Times New Roman"/>
                <w:color w:val="000000"/>
                <w:sz w:val="20"/>
                <w:szCs w:val="20"/>
              </w:rPr>
              <w:t xml:space="preserve">Experiment results by ID</w:t>
            </w:r>
          </w:p>
        </w:tc>
        <w:tc>
          <w:tcPr>
            <w:tcW w:type="pct" w:w="15%"/>
            <w:shd w:fill="FDF8F3" w:val="clear"/>
            <w:tcMar>
              <w:top w:type="dxa" w:w="50"/>
              <w:left w:type="dxa" w:w="100"/>
              <w:bottom w:type="dxa" w:w="50"/>
              <w:right w:type="dxa" w:w="100"/>
            </w:tcMar>
          </w:tcPr>
          <w:p>
            <w:pPr>
              <w:spacing w:line="280"/>
            </w:pPr>
            <w:r>
              <w:rPr>
                <w:rFonts w:ascii="Times New Roman"/>
                <w:color w:val="000000"/>
                <w:sz w:val="20"/>
                <w:szCs w:val="20"/>
              </w:rPr>
              <w:t xml:space="preserve">SQLite</w:t>
            </w:r>
          </w:p>
        </w:tc>
        <w:tc>
          <w:tcPr>
            <w:tcW w:type="pct" w:w="25%"/>
            <w:shd w:fill="FDF8F3" w:val="clear"/>
            <w:tcMar>
              <w:top w:type="dxa" w:w="50"/>
              <w:left w:type="dxa" w:w="100"/>
              <w:bottom w:type="dxa" w:w="50"/>
              <w:right w:type="dxa" w:w="100"/>
            </w:tcMar>
          </w:tcPr>
          <w:p>
            <w:pPr>
              <w:spacing w:line="280"/>
            </w:pPr>
            <w:r>
              <w:rPr>
                <w:rFonts w:ascii="Times New Roman"/>
                <w:color w:val="000000"/>
                <w:sz w:val="20"/>
                <w:szCs w:val="20"/>
              </w:rPr>
              <w:t xml:space="preserve">Operational</w:t>
            </w:r>
          </w:p>
        </w:tc>
      </w:tr>
      <w:tr>
        <w:trPr>
          <w:cantSplit/>
        </w:trPr>
        <w:tc>
          <w:tcPr>
            <w:tcW w:type="pct" w:w="25%"/>
            <w:shd w:fill="FFFFFF" w:val="clear"/>
            <w:tcMar>
              <w:top w:type="dxa" w:w="50"/>
              <w:left w:type="dxa" w:w="100"/>
              <w:bottom w:type="dxa" w:w="50"/>
              <w:right w:type="dxa" w:w="100"/>
            </w:tcMar>
          </w:tcPr>
          <w:p>
            <w:pPr>
              <w:spacing w:line="280"/>
            </w:pPr>
            <w:r>
              <w:rPr>
                <w:rFonts w:ascii="Times New Roman"/>
                <w:color w:val="000000"/>
                <w:sz w:val="20"/>
                <w:szCs w:val="20"/>
              </w:rPr>
              <w:t xml:space="preserve">/api/ab/stats</w:t>
            </w:r>
          </w:p>
        </w:tc>
        <w:tc>
          <w:tcPr>
            <w:tcW w:type="pct" w:w="35%"/>
            <w:shd w:fill="FFFFFF" w:val="clear"/>
            <w:tcMar>
              <w:top w:type="dxa" w:w="50"/>
              <w:left w:type="dxa" w:w="100"/>
              <w:bottom w:type="dxa" w:w="50"/>
              <w:right w:type="dxa" w:w="100"/>
            </w:tcMar>
          </w:tcPr>
          <w:p>
            <w:pPr>
              <w:spacing w:line="280"/>
            </w:pPr>
            <w:r>
              <w:rPr>
                <w:rFonts w:ascii="Times New Roman"/>
                <w:color w:val="000000"/>
                <w:sz w:val="20"/>
                <w:szCs w:val="20"/>
              </w:rPr>
              <w:t xml:space="preserve">A/B system overview stats</w:t>
            </w:r>
          </w:p>
        </w:tc>
        <w:tc>
          <w:tcPr>
            <w:tcW w:type="pct" w:w="15%"/>
            <w:shd w:fill="FFFFFF" w:val="clear"/>
            <w:tcMar>
              <w:top w:type="dxa" w:w="50"/>
              <w:left w:type="dxa" w:w="100"/>
              <w:bottom w:type="dxa" w:w="50"/>
              <w:right w:type="dxa" w:w="100"/>
            </w:tcMar>
          </w:tcPr>
          <w:p>
            <w:pPr>
              <w:spacing w:line="280"/>
            </w:pPr>
            <w:r>
              <w:rPr>
                <w:rFonts w:ascii="Times New Roman"/>
                <w:color w:val="000000"/>
                <w:sz w:val="20"/>
                <w:szCs w:val="20"/>
              </w:rPr>
              <w:t xml:space="preserve">SQLite</w:t>
            </w:r>
          </w:p>
        </w:tc>
        <w:tc>
          <w:tcPr>
            <w:tcW w:type="pct" w:w="25%"/>
            <w:shd w:fill="FFFFFF" w:val="clear"/>
            <w:tcMar>
              <w:top w:type="dxa" w:w="50"/>
              <w:left w:type="dxa" w:w="100"/>
              <w:bottom w:type="dxa" w:w="50"/>
              <w:right w:type="dxa" w:w="100"/>
            </w:tcMar>
          </w:tcPr>
          <w:p>
            <w:pPr>
              <w:spacing w:line="280"/>
            </w:pPr>
            <w:r>
              <w:rPr>
                <w:rFonts w:ascii="Times New Roman"/>
                <w:color w:val="000000"/>
                <w:sz w:val="20"/>
                <w:szCs w:val="20"/>
              </w:rPr>
              <w:t xml:space="preserve">Operational</w:t>
            </w:r>
          </w:p>
        </w:tc>
      </w:tr>
    </w:tbl>
    <w:p>
      <w:pPr>
        <w:pStyle w:val="Heading2"/>
        <w:spacing w:after="100" w:before="280" w:line="312"/>
      </w:pPr>
      <w:bookmarkStart w:id="100004" w:name="_Toc100004"/>
      <w:r>
        <w:rPr>
          <w:rFonts w:ascii="Times New Roman"/>
          <w:b/>
          <w:bCs/>
          <w:color w:val="2C3E50"/>
          <w:sz w:val="28"/>
          <w:szCs w:val="28"/>
        </w:rPr>
        <w:t xml:space="preserve">2.3 Integration Status</w:t>
      </w:r>
      <w:bookmarkEnd w:id="100004"/>
    </w:p>
    <w:p>
      <w:pPr>
        <w:spacing w:after="80" w:line="312"/>
        <w:jc w:val="both"/>
      </w:pPr>
      <w:r>
        <w:rPr>
          <w:rFonts w:ascii="Times New Roman"/>
          <w:color w:val="000000"/>
          <w:sz w:val="22"/>
          <w:szCs w:val="22"/>
        </w:rPr>
        <w:t xml:space="preserve">As of April 2026, the Supabase backend has not been integrated into the live application. The planning artefacts are complete: a full SQL schema with 25 tables exists in supabase/schema.sql, two documentation files describe the architecture, and the SUPABASE_GUIDE.md provides implementation instructions. However, the @supabase/supabase-js package is not installed, the src/lib/db.ts file exports null with a TODO comment, no Supabase environment variables are configured, and none of the API routes reference Supabase. The A/B testing system was recently implemented using local SQLite as a standalone module, independent of the planned Supabase integration.</w:t>
      </w:r>
    </w:p>
    <w:p>
      <w:pPr>
        <w:pStyle w:val="Heading1"/>
        <w:spacing w:after="120" w:before="360" w:line="312"/>
      </w:pPr>
      <w:bookmarkStart w:id="100005" w:name="_Toc100005"/>
      <w:r>
        <w:rPr>
          <w:rFonts w:ascii="Times New Roman"/>
          <w:b/>
          <w:bCs/>
          <w:color w:val="2C3E50"/>
          <w:sz w:val="32"/>
          <w:szCs w:val="32"/>
        </w:rPr>
        <w:t xml:space="preserve">3. Database Architecture</w:t>
      </w:r>
      <w:bookmarkEnd w:id="100005"/>
    </w:p>
    <w:p>
      <w:pPr>
        <w:pStyle w:val="Heading2"/>
        <w:spacing w:after="100" w:before="280" w:line="312"/>
      </w:pPr>
      <w:bookmarkStart w:id="100006" w:name="_Toc100006"/>
      <w:r>
        <w:rPr>
          <w:rFonts w:ascii="Times New Roman"/>
          <w:b/>
          <w:bCs/>
          <w:color w:val="2C3E50"/>
          <w:sz w:val="28"/>
          <w:szCs w:val="28"/>
        </w:rPr>
        <w:t xml:space="preserve">3.1 Schema Overview</w:t>
      </w:r>
      <w:bookmarkEnd w:id="100006"/>
    </w:p>
    <w:p>
      <w:pPr>
        <w:spacing w:after="80" w:line="312"/>
        <w:jc w:val="both"/>
      </w:pPr>
      <w:r>
        <w:rPr>
          <w:rFonts w:ascii="Times New Roman"/>
          <w:color w:val="000000"/>
          <w:sz w:val="22"/>
          <w:szCs w:val="22"/>
        </w:rPr>
        <w:t xml:space="preserve">The Supabase schema defines 25 tables across 6 functional domains, supported by 11 custom PostgreSQL enum types, 1 sequence for reference number generation, 3 database functions, 7 triggers, over 20 Row-Level Security policies, and 15 indexes including GIN indexes for JSONB columns. The schema uses PostgreSQL extensions uuid-ossp and pgcrypto for UUID generation and cryptographic operations.</w:t>
      </w:r>
    </w:p>
    <w:p>
      <w:pPr>
        <w:pStyle w:val="Heading2"/>
        <w:spacing w:after="100" w:before="280" w:line="312"/>
      </w:pPr>
      <w:bookmarkStart w:id="100007" w:name="_Toc100007"/>
      <w:r>
        <w:rPr>
          <w:rFonts w:ascii="Times New Roman"/>
          <w:b/>
          <w:bCs/>
          <w:color w:val="2C3E50"/>
          <w:sz w:val="28"/>
          <w:szCs w:val="28"/>
        </w:rPr>
        <w:t xml:space="preserve">3.2 Domain Breakdown</w:t>
      </w:r>
      <w:bookmarkEnd w:id="100007"/>
    </w:p>
    <w:p>
      <w:pPr>
        <w:spacing w:after="80" w:line="312"/>
        <w:jc w:val="both"/>
      </w:pPr>
      <w:r>
        <w:rPr>
          <w:rFonts w:ascii="Times New Roman"/>
          <w:color w:val="000000"/>
          <w:sz w:val="22"/>
          <w:szCs w:val="22"/>
        </w:rPr>
        <w:t xml:space="preserve">The Lead Capture domain contains 4 tables: contact_submissions for the /contact form, survey_bookings for the /book-survey 4-step wizard with SI-YYYY-NNNN reference generation, bill_analyses for AI-powered electricity bill analysis results, and lead_sources for unified UTM attribution across all entry points. This domain has the highest revenue impact because every lead currently goes to console.log or WhatsApp only, with no persistence for follow-up or reporting.</w:t>
      </w:r>
    </w:p>
    <w:p>
      <w:pPr>
        <w:spacing w:after="80" w:line="312"/>
        <w:jc w:val="both"/>
      </w:pPr>
      <w:r>
        <w:rPr>
          <w:rFonts w:ascii="Times New Roman"/>
          <w:color w:val="000000"/>
          <w:sz w:val="22"/>
          <w:szCs w:val="22"/>
        </w:rPr>
        <w:t xml:space="preserve">The Content Management System domain contains 6 tables: blog_posts and blog_content_sections replace the 1000-line hardcoded blog-data.ts file, blog_categories provide filter taxonomy, counties and county_faqs replace the 32 hardcoded county entries, and site_settings replaces the solar-data.ts constants with a dynamic key-value store supporting grant amounts, savings figures, contact details, and social media links.</w:t>
      </w:r>
    </w:p>
    <w:p>
      <w:pPr>
        <w:spacing w:after="80" w:line="312"/>
        <w:jc w:val="both"/>
      </w:pPr>
      <w:r>
        <w:rPr>
          <w:rFonts w:ascii="Times New Roman"/>
          <w:color w:val="000000"/>
          <w:sz w:val="22"/>
          <w:szCs w:val="22"/>
        </w:rPr>
        <w:t xml:space="preserve">The Service and Pricing domain contains 4 tables: service_packages stores the Essential, Popular, and Premium tiers currently hardcoded on the /services page, financing_options covers Green Loan, Upfront, and Mortgage Top-Up options, testimonials manages customer reviews, and team_members handles the /about page staff profiles. The Customer Portal domain contains 5 tables: customers for portal records, customer_installation_steps for the 11-step installation timeline, documents for portal files, notifications for project updates, and profiles extending auth.users with role-based access.</w:t>
      </w:r>
    </w:p>
    <w:p>
      <w:pPr>
        <w:spacing w:after="80" w:line="312"/>
        <w:jc w:val="both"/>
      </w:pPr>
      <w:r>
        <w:rPr>
          <w:rFonts w:ascii="Times New Roman"/>
          <w:color w:val="000000"/>
          <w:sz w:val="22"/>
          <w:szCs w:val="22"/>
        </w:rPr>
        <w:t xml:space="preserve">The Analytics and GDPR domain contains 5 tables: cookie_consent_records for DPC audit trails, newsletter_subscriptions to replace the fake frontend subscription flow, exit_intent_conversions for popup tracking, whatsapp_lead_sources for click attribution, and chat_conversations for AI chatbot history.</w:t>
      </w:r>
    </w:p>
    <w:p>
      <w:pPr>
        <w:pStyle w:val="Heading2"/>
        <w:spacing w:after="100" w:before="280" w:line="312"/>
      </w:pPr>
      <w:bookmarkStart w:id="100008" w:name="_Toc100008"/>
      <w:r>
        <w:rPr>
          <w:rFonts w:ascii="Times New Roman"/>
          <w:b/>
          <w:bCs/>
          <w:color w:val="2C3E50"/>
          <w:sz w:val="28"/>
          <w:szCs w:val="28"/>
        </w:rPr>
        <w:t xml:space="preserve">3.3 Entity Relationships</w:t>
      </w:r>
      <w:bookmarkEnd w:id="100008"/>
    </w:p>
    <w:p>
      <w:pPr>
        <w:spacing w:after="80" w:line="312"/>
        <w:jc w:val="both"/>
      </w:pPr>
      <w:r>
        <w:rPr>
          <w:rFonts w:ascii="Times New Roman"/>
          <w:color w:val="000000"/>
          <w:sz w:val="22"/>
          <w:szCs w:val="22"/>
        </w:rPr>
        <w:t xml:space="preserve">The auth.users table has a one-to-one relationship with profiles via a CASCADE delete. The profiles table then branches into admin and customer roles. Admin users have full CRUD access to all tables through RLS policies that check for the admin role. Customer users are restricted to their own data through profile_id foreign keys on the customers table, which cascades to customer_installation_steps, documents, and notifications.</w:t>
      </w:r>
    </w:p>
    <w:p>
      <w:pPr>
        <w:spacing w:after="80" w:line="312"/>
        <w:jc w:val="both"/>
      </w:pPr>
      <w:r>
        <w:rPr>
          <w:rFonts w:ascii="Times New Roman"/>
          <w:color w:val="000000"/>
          <w:sz w:val="22"/>
          <w:szCs w:val="22"/>
        </w:rPr>
        <w:t xml:space="preserve">Lead capture tables (contact_submissions, survey_bookings, bill_analyses) each have a loose relationship to lead_sources via a related_id UUID column. The blog system has a proper relational structure: blog_categories one-to-many blog_posts one-to-many blog_content_sections, all with CASCADE deletes. Counties one-to-many county_faqs follows the same pattern. The site_settings table is a standalone key-value store with no foreign keys.</w:t>
      </w:r>
    </w:p>
    <w:p>
      <w:pPr>
        <w:pStyle w:val="Heading1"/>
        <w:spacing w:after="120" w:before="360" w:line="312"/>
      </w:pPr>
      <w:bookmarkStart w:id="100009" w:name="_Toc100009"/>
      <w:r>
        <w:rPr>
          <w:rFonts w:ascii="Times New Roman"/>
          <w:b/>
          <w:bCs/>
          <w:color w:val="2C3E50"/>
          <w:sz w:val="32"/>
          <w:szCs w:val="32"/>
        </w:rPr>
        <w:t xml:space="preserve">4. A/B Testing System</w:t>
      </w:r>
      <w:bookmarkEnd w:id="100009"/>
    </w:p>
    <w:p>
      <w:pPr>
        <w:pStyle w:val="Heading2"/>
        <w:spacing w:after="100" w:before="280" w:line="312"/>
      </w:pPr>
      <w:bookmarkStart w:id="100010" w:name="_Toc100010"/>
      <w:r>
        <w:rPr>
          <w:rFonts w:ascii="Times New Roman"/>
          <w:b/>
          <w:bCs/>
          <w:color w:val="2C3E50"/>
          <w:sz w:val="28"/>
          <w:szCs w:val="28"/>
        </w:rPr>
        <w:t xml:space="preserve">4.1 Architecture</w:t>
      </w:r>
      <w:bookmarkEnd w:id="100010"/>
    </w:p>
    <w:p>
      <w:pPr>
        <w:spacing w:after="80" w:line="312"/>
        <w:jc w:val="both"/>
      </w:pPr>
      <w:r>
        <w:rPr>
          <w:rFonts w:ascii="Times New Roman"/>
          <w:color w:val="000000"/>
          <w:sz w:val="22"/>
          <w:szCs w:val="22"/>
        </w:rPr>
        <w:t xml:space="preserve">The A/B testing system is a self-contained module that currently operates on a local SQLite database rather than Supabase. It was implemented as a standalone feature to enable conversion optimisation experiments without waiting for the full Supabase migration. The system consists of a database layer in src/lib/ab-testing/db.ts with 4 tables, a React context provider and hook in src/lib/ab-testing/hooks.tsx, and 5 API routes under /api/ab/.</w:t>
      </w:r>
    </w:p>
    <w:p>
      <w:pPr>
        <w:spacing w:after="80" w:line="312"/>
        <w:jc w:val="both"/>
      </w:pPr>
      <w:r>
        <w:rPr>
          <w:rFonts w:ascii="Times New Roman"/>
          <w:color w:val="000000"/>
          <w:sz w:val="22"/>
          <w:szCs w:val="22"/>
        </w:rPr>
        <w:t xml:space="preserve">The database layer uses better-sqlite3 with WAL journal mode and a 5-second busy timeout for concurrency safety. It creates 4 tables: ab_experiments for experiment definitions, ab_variants for variant configurations with traffic weights, ab_assignments for visitor-to-variant mappings, and ab_conversions for conversion events. Each table has appropriate indexes for query performance on experiment IDs, visitor IDs, and conversion types.</w:t>
      </w:r>
    </w:p>
    <w:p>
      <w:pPr>
        <w:pStyle w:val="Heading2"/>
        <w:spacing w:after="100" w:before="280" w:line="312"/>
      </w:pPr>
      <w:bookmarkStart w:id="100011" w:name="_Toc100011"/>
      <w:r>
        <w:rPr>
          <w:rFonts w:ascii="Times New Roman"/>
          <w:b/>
          <w:bCs/>
          <w:color w:val="2C3E50"/>
          <w:sz w:val="28"/>
          <w:szCs w:val="28"/>
        </w:rPr>
        <w:t xml:space="preserve">4.2 Default Experiments</w:t>
      </w:r>
      <w:bookmarkEnd w:id="100011"/>
    </w:p>
    <w:p>
      <w:pPr>
        <w:spacing w:after="80" w:line="312"/>
        <w:jc w:val="both"/>
      </w:pPr>
      <w:r>
        <w:rPr>
          <w:rFonts w:ascii="Times New Roman"/>
          <w:color w:val="000000"/>
          <w:sz w:val="22"/>
          <w:szCs w:val="22"/>
        </w:rPr>
        <w:t xml:space="preserve">Three experiments are seeded by default. The Hero CTA Text experiment tests two primary call-to-action button texts: 'Analyse My Bill - Free' as the control and 'Get Your Free Solar Quote' as the variant, using 50/50 traffic splitting. The Hero Headline experiment tests two headline copy variants: 'Your Energy. Your Asset.' as control and 'Stop Renting Your Energy.' as variant. The Social Proof Display experiment tests two presentation styles for the hero trust section: 'Badge + Trust Row' as control and 'Compact Stats Row' as variant.</w:t>
      </w:r>
    </w:p>
    <w:tbl>
      <w:tblPr>
        <w:tblW w:type="pct" w:w="100%"/>
        <w:tblBorders>
          <w:top w:val="single" w:color="D4875A" w:sz="2"/>
          <w:left w:val="none"/>
          <w:bottom w:val="single" w:color="D4875A" w:sz="2"/>
          <w:right w:val="none"/>
          <w:insideH w:val="none"/>
          <w:insideV w:val="none"/>
        </w:tblBorders>
      </w:tblPr>
      <w:tblGrid>
        <w:gridCol w:w="100"/>
        <w:gridCol w:w="100"/>
        <w:gridCol w:w="100"/>
        <w:gridCol w:w="100"/>
        <w:gridCol w:w="100"/>
      </w:tblGrid>
      <w:tr>
        <w:trPr>
          <w:cantSplit/>
          <w:tblHeader/>
        </w:trPr>
        <w:tc>
          <w:tcPr>
            <w:tcW w:type="pct" w:w="22%"/>
            <w:shd w:fill="D4875A" w:val="clear"/>
            <w:tcMar>
              <w:top w:type="dxa" w:w="60"/>
              <w:left w:type="dxa" w:w="100"/>
              <w:bottom w:type="dxa" w:w="60"/>
              <w:right w:type="dxa" w:w="100"/>
            </w:tcMar>
          </w:tcPr>
          <w:p>
            <w:r>
              <w:rPr>
                <w:rFonts w:ascii="Times New Roman"/>
                <w:b/>
                <w:bCs/>
                <w:color w:val="FFFFFF"/>
                <w:sz w:val="20"/>
                <w:szCs w:val="20"/>
              </w:rPr>
              <w:t xml:space="preserve">Experiment ID</w:t>
            </w:r>
          </w:p>
        </w:tc>
        <w:tc>
          <w:tcPr>
            <w:tcW w:type="pct" w:w="22%"/>
            <w:shd w:fill="D4875A" w:val="clear"/>
            <w:tcMar>
              <w:top w:type="dxa" w:w="60"/>
              <w:left w:type="dxa" w:w="100"/>
              <w:bottom w:type="dxa" w:w="60"/>
              <w:right w:type="dxa" w:w="100"/>
            </w:tcMar>
          </w:tcPr>
          <w:p>
            <w:r>
              <w:rPr>
                <w:rFonts w:ascii="Times New Roman"/>
                <w:b/>
                <w:bCs/>
                <w:color w:val="FFFFFF"/>
                <w:sz w:val="20"/>
                <w:szCs w:val="20"/>
              </w:rPr>
              <w:t xml:space="preserve">Name</w:t>
            </w:r>
          </w:p>
        </w:tc>
        <w:tc>
          <w:tcPr>
            <w:tcW w:type="pct" w:w="22%"/>
            <w:shd w:fill="D4875A" w:val="clear"/>
            <w:tcMar>
              <w:top w:type="dxa" w:w="60"/>
              <w:left w:type="dxa" w:w="100"/>
              <w:bottom w:type="dxa" w:w="60"/>
              <w:right w:type="dxa" w:w="100"/>
            </w:tcMar>
          </w:tcPr>
          <w:p>
            <w:r>
              <w:rPr>
                <w:rFonts w:ascii="Times New Roman"/>
                <w:b/>
                <w:bCs/>
                <w:color w:val="FFFFFF"/>
                <w:sz w:val="20"/>
                <w:szCs w:val="20"/>
              </w:rPr>
              <w:t xml:space="preserve">Control</w:t>
            </w:r>
          </w:p>
        </w:tc>
        <w:tc>
          <w:tcPr>
            <w:tcW w:type="pct" w:w="22%"/>
            <w:shd w:fill="D4875A" w:val="clear"/>
            <w:tcMar>
              <w:top w:type="dxa" w:w="60"/>
              <w:left w:type="dxa" w:w="100"/>
              <w:bottom w:type="dxa" w:w="60"/>
              <w:right w:type="dxa" w:w="100"/>
            </w:tcMar>
          </w:tcPr>
          <w:p>
            <w:r>
              <w:rPr>
                <w:rFonts w:ascii="Times New Roman"/>
                <w:b/>
                <w:bCs/>
                <w:color w:val="FFFFFF"/>
                <w:sz w:val="20"/>
                <w:szCs w:val="20"/>
              </w:rPr>
              <w:t xml:space="preserve">Variant</w:t>
            </w:r>
          </w:p>
        </w:tc>
        <w:tc>
          <w:tcPr>
            <w:tcW w:type="pct" w:w="12%"/>
            <w:shd w:fill="D4875A" w:val="clear"/>
            <w:tcMar>
              <w:top w:type="dxa" w:w="60"/>
              <w:left w:type="dxa" w:w="100"/>
              <w:bottom w:type="dxa" w:w="60"/>
              <w:right w:type="dxa" w:w="100"/>
            </w:tcMar>
          </w:tcPr>
          <w:p>
            <w:r>
              <w:rPr>
                <w:rFonts w:ascii="Times New Roman"/>
                <w:b/>
                <w:bCs/>
                <w:color w:val="FFFFFF"/>
                <w:sz w:val="20"/>
                <w:szCs w:val="20"/>
              </w:rPr>
              <w:t xml:space="preserve">Split</w:t>
            </w:r>
          </w:p>
        </w:tc>
      </w:tr>
      <w:tr>
        <w:trPr>
          <w:cantSplit/>
        </w:trPr>
        <w:tc>
          <w:tcPr>
            <w:tcW w:type="pct" w:w="22%"/>
            <w:shd w:fill="FDF8F3" w:val="clear"/>
            <w:tcMar>
              <w:top w:type="dxa" w:w="50"/>
              <w:left w:type="dxa" w:w="100"/>
              <w:bottom w:type="dxa" w:w="50"/>
              <w:right w:type="dxa" w:w="100"/>
            </w:tcMar>
          </w:tcPr>
          <w:p>
            <w:pPr>
              <w:spacing w:line="280"/>
            </w:pPr>
            <w:r>
              <w:rPr>
                <w:rFonts w:ascii="Times New Roman"/>
                <w:color w:val="000000"/>
                <w:sz w:val="20"/>
                <w:szCs w:val="20"/>
              </w:rPr>
              <w:t xml:space="preserve">hero-cta-text</w:t>
            </w:r>
          </w:p>
        </w:tc>
        <w:tc>
          <w:tcPr>
            <w:tcW w:type="pct" w:w="22%"/>
            <w:shd w:fill="FDF8F3" w:val="clear"/>
            <w:tcMar>
              <w:top w:type="dxa" w:w="50"/>
              <w:left w:type="dxa" w:w="100"/>
              <w:bottom w:type="dxa" w:w="50"/>
              <w:right w:type="dxa" w:w="100"/>
            </w:tcMar>
          </w:tcPr>
          <w:p>
            <w:pPr>
              <w:spacing w:line="280"/>
            </w:pPr>
            <w:r>
              <w:rPr>
                <w:rFonts w:ascii="Times New Roman"/>
                <w:color w:val="000000"/>
                <w:sz w:val="20"/>
                <w:szCs w:val="20"/>
              </w:rPr>
              <w:t xml:space="preserve">Hero CTA Text</w:t>
            </w:r>
          </w:p>
        </w:tc>
        <w:tc>
          <w:tcPr>
            <w:tcW w:type="pct" w:w="22%"/>
            <w:shd w:fill="FDF8F3" w:val="clear"/>
            <w:tcMar>
              <w:top w:type="dxa" w:w="50"/>
              <w:left w:type="dxa" w:w="100"/>
              <w:bottom w:type="dxa" w:w="50"/>
              <w:right w:type="dxa" w:w="100"/>
            </w:tcMar>
          </w:tcPr>
          <w:p>
            <w:pPr>
              <w:spacing w:line="280"/>
            </w:pPr>
            <w:r>
              <w:rPr>
                <w:rFonts w:ascii="Times New Roman"/>
                <w:color w:val="000000"/>
                <w:sz w:val="20"/>
                <w:szCs w:val="20"/>
              </w:rPr>
              <w:t xml:space="preserve">Analyse My Bill - Free</w:t>
            </w:r>
          </w:p>
        </w:tc>
        <w:tc>
          <w:tcPr>
            <w:tcW w:type="pct" w:w="22%"/>
            <w:shd w:fill="FDF8F3" w:val="clear"/>
            <w:tcMar>
              <w:top w:type="dxa" w:w="50"/>
              <w:left w:type="dxa" w:w="100"/>
              <w:bottom w:type="dxa" w:w="50"/>
              <w:right w:type="dxa" w:w="100"/>
            </w:tcMar>
          </w:tcPr>
          <w:p>
            <w:pPr>
              <w:spacing w:line="280"/>
            </w:pPr>
            <w:r>
              <w:rPr>
                <w:rFonts w:ascii="Times New Roman"/>
                <w:color w:val="000000"/>
                <w:sz w:val="20"/>
                <w:szCs w:val="20"/>
              </w:rPr>
              <w:t xml:space="preserve">Get Your Free Solar Quote</w:t>
            </w:r>
          </w:p>
        </w:tc>
        <w:tc>
          <w:tcPr>
            <w:tcW w:type="pct" w:w="12%"/>
            <w:shd w:fill="FDF8F3" w:val="clear"/>
            <w:tcMar>
              <w:top w:type="dxa" w:w="50"/>
              <w:left w:type="dxa" w:w="100"/>
              <w:bottom w:type="dxa" w:w="50"/>
              <w:right w:type="dxa" w:w="100"/>
            </w:tcMar>
          </w:tcPr>
          <w:p>
            <w:pPr>
              <w:spacing w:line="280"/>
            </w:pPr>
            <w:r>
              <w:rPr>
                <w:rFonts w:ascii="Times New Roman"/>
                <w:color w:val="000000"/>
                <w:sz w:val="20"/>
                <w:szCs w:val="20"/>
              </w:rPr>
              <w:t xml:space="preserve">50/50</w:t>
            </w:r>
          </w:p>
        </w:tc>
      </w:tr>
      <w:tr>
        <w:trPr>
          <w:cantSplit/>
        </w:trPr>
        <w:tc>
          <w:tcPr>
            <w:tcW w:type="pct" w:w="22%"/>
            <w:shd w:fill="FFFFFF" w:val="clear"/>
            <w:tcMar>
              <w:top w:type="dxa" w:w="50"/>
              <w:left w:type="dxa" w:w="100"/>
              <w:bottom w:type="dxa" w:w="50"/>
              <w:right w:type="dxa" w:w="100"/>
            </w:tcMar>
          </w:tcPr>
          <w:p>
            <w:pPr>
              <w:spacing w:line="280"/>
            </w:pPr>
            <w:r>
              <w:rPr>
                <w:rFonts w:ascii="Times New Roman"/>
                <w:color w:val="000000"/>
                <w:sz w:val="20"/>
                <w:szCs w:val="20"/>
              </w:rPr>
              <w:t xml:space="preserve">hero-headline</w:t>
            </w:r>
          </w:p>
        </w:tc>
        <w:tc>
          <w:tcPr>
            <w:tcW w:type="pct" w:w="22%"/>
            <w:shd w:fill="FFFFFF" w:val="clear"/>
            <w:tcMar>
              <w:top w:type="dxa" w:w="50"/>
              <w:left w:type="dxa" w:w="100"/>
              <w:bottom w:type="dxa" w:w="50"/>
              <w:right w:type="dxa" w:w="100"/>
            </w:tcMar>
          </w:tcPr>
          <w:p>
            <w:pPr>
              <w:spacing w:line="280"/>
            </w:pPr>
            <w:r>
              <w:rPr>
                <w:rFonts w:ascii="Times New Roman"/>
                <w:color w:val="000000"/>
                <w:sz w:val="20"/>
                <w:szCs w:val="20"/>
              </w:rPr>
              <w:t xml:space="preserve">Hero Headline</w:t>
            </w:r>
          </w:p>
        </w:tc>
        <w:tc>
          <w:tcPr>
            <w:tcW w:type="pct" w:w="22%"/>
            <w:shd w:fill="FFFFFF" w:val="clear"/>
            <w:tcMar>
              <w:top w:type="dxa" w:w="50"/>
              <w:left w:type="dxa" w:w="100"/>
              <w:bottom w:type="dxa" w:w="50"/>
              <w:right w:type="dxa" w:w="100"/>
            </w:tcMar>
          </w:tcPr>
          <w:p>
            <w:pPr>
              <w:spacing w:line="280"/>
            </w:pPr>
            <w:r>
              <w:rPr>
                <w:rFonts w:ascii="Times New Roman"/>
                <w:color w:val="000000"/>
                <w:sz w:val="20"/>
                <w:szCs w:val="20"/>
              </w:rPr>
              <w:t xml:space="preserve">Your Energy. Your Asset.</w:t>
            </w:r>
          </w:p>
        </w:tc>
        <w:tc>
          <w:tcPr>
            <w:tcW w:type="pct" w:w="22%"/>
            <w:shd w:fill="FFFFFF" w:val="clear"/>
            <w:tcMar>
              <w:top w:type="dxa" w:w="50"/>
              <w:left w:type="dxa" w:w="100"/>
              <w:bottom w:type="dxa" w:w="50"/>
              <w:right w:type="dxa" w:w="100"/>
            </w:tcMar>
          </w:tcPr>
          <w:p>
            <w:pPr>
              <w:spacing w:line="280"/>
            </w:pPr>
            <w:r>
              <w:rPr>
                <w:rFonts w:ascii="Times New Roman"/>
                <w:color w:val="000000"/>
                <w:sz w:val="20"/>
                <w:szCs w:val="20"/>
              </w:rPr>
              <w:t xml:space="preserve">Stop Renting Your Energy.</w:t>
            </w:r>
          </w:p>
        </w:tc>
        <w:tc>
          <w:tcPr>
            <w:tcW w:type="pct" w:w="12%"/>
            <w:shd w:fill="FFFFFF" w:val="clear"/>
            <w:tcMar>
              <w:top w:type="dxa" w:w="50"/>
              <w:left w:type="dxa" w:w="100"/>
              <w:bottom w:type="dxa" w:w="50"/>
              <w:right w:type="dxa" w:w="100"/>
            </w:tcMar>
          </w:tcPr>
          <w:p>
            <w:pPr>
              <w:spacing w:line="280"/>
            </w:pPr>
            <w:r>
              <w:rPr>
                <w:rFonts w:ascii="Times New Roman"/>
                <w:color w:val="000000"/>
                <w:sz w:val="20"/>
                <w:szCs w:val="20"/>
              </w:rPr>
              <w:t xml:space="preserve">50/50</w:t>
            </w:r>
          </w:p>
        </w:tc>
      </w:tr>
      <w:tr>
        <w:trPr>
          <w:cantSplit/>
        </w:trPr>
        <w:tc>
          <w:tcPr>
            <w:tcW w:type="pct" w:w="22%"/>
            <w:shd w:fill="FDF8F3" w:val="clear"/>
            <w:tcMar>
              <w:top w:type="dxa" w:w="50"/>
              <w:left w:type="dxa" w:w="100"/>
              <w:bottom w:type="dxa" w:w="50"/>
              <w:right w:type="dxa" w:w="100"/>
            </w:tcMar>
          </w:tcPr>
          <w:p>
            <w:pPr>
              <w:spacing w:line="280"/>
            </w:pPr>
            <w:r>
              <w:rPr>
                <w:rFonts w:ascii="Times New Roman"/>
                <w:color w:val="000000"/>
                <w:sz w:val="20"/>
                <w:szCs w:val="20"/>
              </w:rPr>
              <w:t xml:space="preserve">social-proof-style</w:t>
            </w:r>
          </w:p>
        </w:tc>
        <w:tc>
          <w:tcPr>
            <w:tcW w:type="pct" w:w="22%"/>
            <w:shd w:fill="FDF8F3" w:val="clear"/>
            <w:tcMar>
              <w:top w:type="dxa" w:w="50"/>
              <w:left w:type="dxa" w:w="100"/>
              <w:bottom w:type="dxa" w:w="50"/>
              <w:right w:type="dxa" w:w="100"/>
            </w:tcMar>
          </w:tcPr>
          <w:p>
            <w:pPr>
              <w:spacing w:line="280"/>
            </w:pPr>
            <w:r>
              <w:rPr>
                <w:rFonts w:ascii="Times New Roman"/>
                <w:color w:val="000000"/>
                <w:sz w:val="20"/>
                <w:szCs w:val="20"/>
              </w:rPr>
              <w:t xml:space="preserve">Social Proof Display</w:t>
            </w:r>
          </w:p>
        </w:tc>
        <w:tc>
          <w:tcPr>
            <w:tcW w:type="pct" w:w="22%"/>
            <w:shd w:fill="FDF8F3" w:val="clear"/>
            <w:tcMar>
              <w:top w:type="dxa" w:w="50"/>
              <w:left w:type="dxa" w:w="100"/>
              <w:bottom w:type="dxa" w:w="50"/>
              <w:right w:type="dxa" w:w="100"/>
            </w:tcMar>
          </w:tcPr>
          <w:p>
            <w:pPr>
              <w:spacing w:line="280"/>
            </w:pPr>
            <w:r>
              <w:rPr>
                <w:rFonts w:ascii="Times New Roman"/>
                <w:color w:val="000000"/>
                <w:sz w:val="20"/>
                <w:szCs w:val="20"/>
              </w:rPr>
              <w:t xml:space="preserve">Badge + Trust Row</w:t>
            </w:r>
          </w:p>
        </w:tc>
        <w:tc>
          <w:tcPr>
            <w:tcW w:type="pct" w:w="22%"/>
            <w:shd w:fill="FDF8F3" w:val="clear"/>
            <w:tcMar>
              <w:top w:type="dxa" w:w="50"/>
              <w:left w:type="dxa" w:w="100"/>
              <w:bottom w:type="dxa" w:w="50"/>
              <w:right w:type="dxa" w:w="100"/>
            </w:tcMar>
          </w:tcPr>
          <w:p>
            <w:pPr>
              <w:spacing w:line="280"/>
            </w:pPr>
            <w:r>
              <w:rPr>
                <w:rFonts w:ascii="Times New Roman"/>
                <w:color w:val="000000"/>
                <w:sz w:val="20"/>
                <w:szCs w:val="20"/>
              </w:rPr>
              <w:t xml:space="preserve">Compact Stats Row</w:t>
            </w:r>
          </w:p>
        </w:tc>
        <w:tc>
          <w:tcPr>
            <w:tcW w:type="pct" w:w="12%"/>
            <w:shd w:fill="FDF8F3" w:val="clear"/>
            <w:tcMar>
              <w:top w:type="dxa" w:w="50"/>
              <w:left w:type="dxa" w:w="100"/>
              <w:bottom w:type="dxa" w:w="50"/>
              <w:right w:type="dxa" w:w="100"/>
            </w:tcMar>
          </w:tcPr>
          <w:p>
            <w:pPr>
              <w:spacing w:line="280"/>
            </w:pPr>
            <w:r>
              <w:rPr>
                <w:rFonts w:ascii="Times New Roman"/>
                <w:color w:val="000000"/>
                <w:sz w:val="20"/>
                <w:szCs w:val="20"/>
              </w:rPr>
              <w:t xml:space="preserve">50/50</w:t>
            </w:r>
          </w:p>
        </w:tc>
      </w:tr>
    </w:tbl>
    <w:p>
      <w:pPr>
        <w:pStyle w:val="Heading2"/>
        <w:spacing w:after="100" w:before="280" w:line="312"/>
      </w:pPr>
      <w:bookmarkStart w:id="100012" w:name="_Toc100012"/>
      <w:r>
        <w:rPr>
          <w:rFonts w:ascii="Times New Roman"/>
          <w:b/>
          <w:bCs/>
          <w:color w:val="2C3E50"/>
          <w:sz w:val="28"/>
          <w:szCs w:val="28"/>
        </w:rPr>
        <w:t xml:space="preserve">4.3 API Endpoints</w:t>
      </w:r>
      <w:bookmarkEnd w:id="100012"/>
    </w:p>
    <w:p>
      <w:pPr>
        <w:spacing w:after="80" w:line="312"/>
        <w:jc w:val="both"/>
      </w:pPr>
      <w:r>
        <w:rPr>
          <w:rFonts w:ascii="Times New Roman"/>
          <w:color w:val="000000"/>
          <w:sz w:val="22"/>
          <w:szCs w:val="22"/>
        </w:rPr>
        <w:t xml:space="preserve">The assign endpoint (POST /api/ab/assign) accepts a visitorId and returns variant assignments for all running experiments. It uses weighted random selection to assign new visitors while returning existing assignments for returning visitors. The convert endpoint (POST /api/ab/convert) records conversion events tied to a specific experiment and visitor, supporting custom conversion types and metadata.</w:t>
      </w:r>
    </w:p>
    <w:p>
      <w:pPr>
        <w:spacing w:after="80" w:line="312"/>
        <w:jc w:val="both"/>
      </w:pPr>
      <w:r>
        <w:rPr>
          <w:rFonts w:ascii="Times New Roman"/>
          <w:color w:val="000000"/>
          <w:sz w:val="22"/>
          <w:szCs w:val="22"/>
        </w:rPr>
        <w:t xml:space="preserve">The experiments endpoint (GET /api/ab/experiments) returns all experiments with their current status and results. The results endpoint (GET /api/ab/results?experiment=ID) provides detailed results for a single experiment including per-variant visitor counts, conversion counts, conversion rates, and a breakdown by conversion type. The stats endpoint (GET /api/ab/stats) returns an overview of the entire A/B testing system including total experiments, running count, assignments, and conversions.</w:t>
      </w:r>
    </w:p>
    <w:p>
      <w:pPr>
        <w:pStyle w:val="Heading2"/>
        <w:spacing w:after="100" w:before="280" w:line="312"/>
      </w:pPr>
      <w:bookmarkStart w:id="100013" w:name="_Toc100013"/>
      <w:r>
        <w:rPr>
          <w:rFonts w:ascii="Times New Roman"/>
          <w:b/>
          <w:bCs/>
          <w:color w:val="2C3E50"/>
          <w:sz w:val="28"/>
          <w:szCs w:val="28"/>
        </w:rPr>
        <w:t xml:space="preserve">4.4 Frontend Integration</w:t>
      </w:r>
      <w:bookmarkEnd w:id="100013"/>
    </w:p>
    <w:p>
      <w:pPr>
        <w:spacing w:after="80" w:line="312"/>
        <w:jc w:val="both"/>
      </w:pPr>
      <w:r>
        <w:rPr>
          <w:rFonts w:ascii="Times New Roman"/>
          <w:color w:val="000000"/>
          <w:sz w:val="22"/>
          <w:szCs w:val="22"/>
        </w:rPr>
        <w:t xml:space="preserve">The ABTestProvider component wraps the application and manages visitor identity through localStorage. Each visitor receives a persistent anonymous ID (v_timestamp_random8) that survives page reloads. On mount, the provider fetches all variant assignments in a single POST request and exposes them through React context. The useABTest hook provides per-experiment access to variant ID, variant name, control status, conversion tracking, and loading state.</w:t>
      </w:r>
    </w:p>
    <w:p>
      <w:pPr>
        <w:pStyle w:val="Heading2"/>
        <w:spacing w:after="100" w:before="280" w:line="312"/>
      </w:pPr>
      <w:bookmarkStart w:id="100014" w:name="_Toc100014"/>
      <w:r>
        <w:rPr>
          <w:rFonts w:ascii="Times New Roman"/>
          <w:b/>
          <w:bCs/>
          <w:color w:val="2C3E50"/>
          <w:sz w:val="28"/>
          <w:szCs w:val="28"/>
        </w:rPr>
        <w:t xml:space="preserve">4.5 Migration Path to Supabase</w:t>
      </w:r>
      <w:bookmarkEnd w:id="100014"/>
    </w:p>
    <w:p>
      <w:pPr>
        <w:spacing w:after="80" w:line="312"/>
        <w:jc w:val="both"/>
      </w:pPr>
      <w:r>
        <w:rPr>
          <w:rFonts w:ascii="Times New Roman"/>
          <w:color w:val="000000"/>
          <w:sz w:val="22"/>
          <w:szCs w:val="22"/>
        </w:rPr>
        <w:t xml:space="preserve">When the Supabase integration is completed, the A/B testing tables should be migrated from SQLite to PostgreSQL. The four tables map directly to equivalent Supabase tables with PostgreSQL types replacing SQLite types: TEXT becomes TEXT, INTEGER becomes BIGINT or INTEGER, and JSON strings become proper JSONB columns. The API route logic remains unchanged since the db.ts module abstracts all database operations behind exported functions. The seed data should be preserved during migration, and the weighted random selection algorithm works identically in PostgreSQL.</w:t>
      </w:r>
    </w:p>
    <w:p>
      <w:pPr>
        <w:pStyle w:val="Heading1"/>
        <w:spacing w:after="120" w:before="360" w:line="312"/>
      </w:pPr>
      <w:bookmarkStart w:id="100015" w:name="_Toc100015"/>
      <w:r>
        <w:rPr>
          <w:rFonts w:ascii="Times New Roman"/>
          <w:b/>
          <w:bCs/>
          <w:color w:val="2C3E50"/>
          <w:sz w:val="32"/>
          <w:szCs w:val="32"/>
        </w:rPr>
        <w:t xml:space="preserve">5. Edge Functions</w:t>
      </w:r>
      <w:bookmarkEnd w:id="100015"/>
    </w:p>
    <w:p>
      <w:pPr>
        <w:spacing w:after="80" w:line="312"/>
        <w:jc w:val="both"/>
      </w:pPr>
      <w:r>
        <w:rPr>
          <w:rFonts w:ascii="Times New Roman"/>
          <w:color w:val="000000"/>
          <w:sz w:val="22"/>
          <w:szCs w:val="22"/>
        </w:rPr>
        <w:t xml:space="preserve">The architecture specifies 14 Supabase Edge Functions that handle all server-side business logic. Public functions require no authentication and handle form submissions, analytics tracking, and portal access. Customer functions require JWT authentication and provide portal data access scoped through RLS policies. Admin functions require the admin role and provide full CRUD operations on all content.</w:t>
      </w:r>
    </w:p>
    <w:p>
      <w:pPr>
        <w:spacing w:after="80" w:line="312"/>
        <w:jc w:val="both"/>
      </w:pPr>
      <w:r>
        <w:rPr>
          <w:rFonts w:ascii="Times New Roman"/>
          <w:color w:val="000000"/>
          <w:sz w:val="22"/>
          <w:szCs w:val="22"/>
        </w:rPr>
        <w:t xml:space="preserve">The submit-contact function (POST) inserts contact form data into contact_submissions and triggers a sales team notification via Postmark email. The book-survey function (POST) validates the 4-step form, generates a unique SI-YYYY-NNNN reference, inserts the booking, and sends confirmation emails. The analyse-bill function (POST) runs the AI financial analysis and persists results for lead capture. The admin-blog-crud function (POST/PUT/DELETE) manages blog posts and content sections with draft/published workflow control.</w:t>
      </w:r>
    </w:p>
    <w:p>
      <w:pPr>
        <w:pStyle w:val="Heading1"/>
        <w:spacing w:after="120" w:before="360" w:line="312"/>
      </w:pPr>
      <w:bookmarkStart w:id="100016" w:name="_Toc100016"/>
      <w:r>
        <w:rPr>
          <w:rFonts w:ascii="Times New Roman"/>
          <w:b/>
          <w:bCs/>
          <w:color w:val="2C3E50"/>
          <w:sz w:val="32"/>
          <w:szCs w:val="32"/>
        </w:rPr>
        <w:t xml:space="preserve">6. Row-Level Security</w:t>
      </w:r>
      <w:bookmarkEnd w:id="100016"/>
    </w:p>
    <w:p>
      <w:pPr>
        <w:spacing w:after="80" w:line="312"/>
        <w:jc w:val="both"/>
      </w:pPr>
      <w:r>
        <w:rPr>
          <w:rFonts w:ascii="Times New Roman"/>
          <w:color w:val="000000"/>
          <w:sz w:val="22"/>
          <w:szCs w:val="22"/>
        </w:rPr>
        <w:t xml:space="preserve">Every table in the Supabase schema has Row-Level Security enabled. The policy matrix defines three access tiers: anonymous visitors, authenticated customers, and admin users. Anonymous visitors can INSERT into lead capture tables and SELECT from published content. Customer users can SELECT their own data through profile_id foreign keys. Admin users have full CRUD access to all tables, enforced by EXISTS subqueries checking the admin role on the profiles table.</w:t>
      </w:r>
    </w:p>
    <w:p>
      <w:pPr>
        <w:spacing w:after="80" w:line="312"/>
        <w:jc w:val="both"/>
      </w:pPr>
      <w:r>
        <w:rPr>
          <w:rFonts w:ascii="Times New Roman"/>
          <w:color w:val="000000"/>
          <w:sz w:val="22"/>
          <w:szCs w:val="22"/>
        </w:rPr>
        <w:t xml:space="preserve">Special policies include the bill_analyses session-based SELECT which allows anonymous access via a custom header (x-session-id), and the newsletter unsubscribe policy which allows UPDATE but only to set status to 'unsubscribed'. IP addresses on contact_submissions are annotated for 30-day anonymisation to comply with GDPR requirements. Bill uploads in Storage are restricted to Edge Function access only and auto-deleted after processing.</w:t>
      </w:r>
    </w:p>
    <w:p>
      <w:pPr>
        <w:pStyle w:val="Heading1"/>
        <w:spacing w:after="120" w:before="360" w:line="312"/>
      </w:pPr>
      <w:bookmarkStart w:id="100017" w:name="_Toc100017"/>
      <w:r>
        <w:rPr>
          <w:rFonts w:ascii="Times New Roman"/>
          <w:b/>
          <w:bCs/>
          <w:color w:val="2C3E50"/>
          <w:sz w:val="32"/>
          <w:szCs w:val="32"/>
        </w:rPr>
        <w:t xml:space="preserve">7. Storage Architecture</w:t>
      </w:r>
      <w:bookmarkEnd w:id="100017"/>
    </w:p>
    <w:p>
      <w:pPr>
        <w:spacing w:after="80" w:line="312"/>
        <w:jc w:val="both"/>
      </w:pPr>
      <w:r>
        <w:rPr>
          <w:rFonts w:ascii="Times New Roman"/>
          <w:color w:val="000000"/>
          <w:sz w:val="22"/>
          <w:szCs w:val="22"/>
        </w:rPr>
        <w:t xml:space="preserve">Seven Storage buckets organise all file assets. Public buckets serve blog images, installation photographs, county hero images, and team photos directly to visitors. The portal-documents bucket requires authentication and implements per-customer policies so customers can only access their own files. The bill-uploads bucket is restricted to Edge Function access only for temporary electricity bill images that are automatically deleted after AI processing. The admin-assets bucket is restricted to admin users for internal documents and templates.</w:t>
      </w:r>
    </w:p>
    <w:p>
      <w:pPr>
        <w:pStyle w:val="Heading1"/>
        <w:spacing w:after="120" w:before="360" w:line="312"/>
      </w:pPr>
      <w:bookmarkStart w:id="100018" w:name="_Toc100018"/>
      <w:r>
        <w:rPr>
          <w:rFonts w:ascii="Times New Roman"/>
          <w:b/>
          <w:bCs/>
          <w:color w:val="2C3E50"/>
          <w:sz w:val="32"/>
          <w:szCs w:val="32"/>
        </w:rPr>
        <w:t xml:space="preserve">8. Implementation Phases</w:t>
      </w:r>
      <w:bookmarkEnd w:id="100018"/>
    </w:p>
    <w:p>
      <w:pPr>
        <w:pStyle w:val="Heading2"/>
        <w:spacing w:after="100" w:before="280" w:line="312"/>
      </w:pPr>
      <w:bookmarkStart w:id="100019" w:name="_Toc100019"/>
      <w:r>
        <w:rPr>
          <w:rFonts w:ascii="Times New Roman"/>
          <w:b/>
          <w:bCs/>
          <w:color w:val="2C3E50"/>
          <w:sz w:val="28"/>
          <w:szCs w:val="28"/>
        </w:rPr>
        <w:t xml:space="preserve">Phase 1: Lead Capture (1-2 Weeks)</w:t>
      </w:r>
      <w:bookmarkEnd w:id="100019"/>
    </w:p>
    <w:p>
      <w:pPr>
        <w:spacing w:after="80" w:line="312"/>
        <w:jc w:val="both"/>
      </w:pPr>
      <w:r>
        <w:rPr>
          <w:rFonts w:ascii="Times New Roman"/>
          <w:color w:val="000000"/>
          <w:sz w:val="22"/>
          <w:szCs w:val="22"/>
        </w:rPr>
        <w:t xml:space="preserve">Wire up all contact forms to Supabase. Replace console.log in the contact route with INSERT to contact_submissions. Connect the /book-survey form to the book-survey Edge Function for reference generation and email notifications. Persist bill analysis results from the /solar-calculator to bill_analyses. Implement UTM parameter capture in lead_sources across all entry points. This phase has the highest revenue impact because every lead currently goes to console.log or WhatsApp with no database persistence.</w:t>
      </w:r>
    </w:p>
    <w:p>
      <w:pPr>
        <w:pStyle w:val="Heading2"/>
        <w:spacing w:after="100" w:before="280" w:line="312"/>
      </w:pPr>
      <w:bookmarkStart w:id="100020" w:name="_Toc100020"/>
      <w:r>
        <w:rPr>
          <w:rFonts w:ascii="Times New Roman"/>
          <w:b/>
          <w:bCs/>
          <w:color w:val="2C3E50"/>
          <w:sz w:val="28"/>
          <w:szCs w:val="28"/>
        </w:rPr>
        <w:t xml:space="preserve">Phase 2: Content Migration (2-3 Weeks)</w:t>
      </w:r>
      <w:bookmarkEnd w:id="100020"/>
    </w:p>
    <w:p>
      <w:pPr>
        <w:spacing w:after="80" w:line="312"/>
        <w:jc w:val="both"/>
      </w:pPr>
      <w:r>
        <w:rPr>
          <w:rFonts w:ascii="Times New Roman"/>
          <w:color w:val="000000"/>
          <w:sz w:val="22"/>
          <w:szCs w:val="22"/>
        </w:rPr>
        <w:t xml:space="preserve">Migrate all hardcoded content from TypeScript files to Supabase tables. Move the 1000-line blog-data.ts to blog_posts and blog_content_sections. Transfer the 32 county entries from CountiesClient.tsx to the counties table. Convert the solar-data.ts constants to site_settings rows. Update all frontend components to fetch from Supabase instead of importing static data. This phase reduces maintenance burden and enables content updates through the Supabase Dashboard without code deployments.</w:t>
      </w:r>
    </w:p>
    <w:p>
      <w:pPr>
        <w:pStyle w:val="Heading2"/>
        <w:spacing w:after="100" w:before="280" w:line="312"/>
      </w:pPr>
      <w:bookmarkStart w:id="100021" w:name="_Toc100021"/>
      <w:r>
        <w:rPr>
          <w:rFonts w:ascii="Times New Roman"/>
          <w:b/>
          <w:bCs/>
          <w:color w:val="2C3E50"/>
          <w:sz w:val="28"/>
          <w:szCs w:val="28"/>
        </w:rPr>
        <w:t xml:space="preserve">Phase 3: Customer Portal (2-3 Weeks)</w:t>
      </w:r>
      <w:bookmarkEnd w:id="100021"/>
    </w:p>
    <w:p>
      <w:pPr>
        <w:spacing w:after="80" w:line="312"/>
        <w:jc w:val="both"/>
      </w:pPr>
      <w:r>
        <w:rPr>
          <w:rFonts w:ascii="Times New Roman"/>
          <w:color w:val="000000"/>
          <w:sz w:val="22"/>
          <w:szCs w:val="22"/>
        </w:rPr>
        <w:t xml:space="preserve">Replace all demo data in the customer portal with real Supabase queries. Implement the reference lookup flow through the validate-portal-reference Edge Function. Connect the portal dashboard to fetch real installation steps, documents, and notifications. Set up magic link authentication with JWT-scoped RLS policies. Deploy the portal behind a feature flag for gradual rollout to real customers.</w:t>
      </w:r>
    </w:p>
    <w:p>
      <w:pPr>
        <w:pStyle w:val="Heading2"/>
        <w:spacing w:after="100" w:before="280" w:line="312"/>
      </w:pPr>
      <w:bookmarkStart w:id="100022" w:name="_Toc100022"/>
      <w:r>
        <w:rPr>
          <w:rFonts w:ascii="Times New Roman"/>
          <w:b/>
          <w:bCs/>
          <w:color w:val="2C3E50"/>
          <w:sz w:val="28"/>
          <w:szCs w:val="28"/>
        </w:rPr>
        <w:t xml:space="preserve">Phase 4: GDPR and Analytics (1-2 Weeks)</w:t>
      </w:r>
      <w:bookmarkEnd w:id="100022"/>
    </w:p>
    <w:p>
      <w:pPr>
        <w:spacing w:after="80" w:line="312"/>
        <w:jc w:val="both"/>
      </w:pPr>
      <w:r>
        <w:rPr>
          <w:rFonts w:ascii="Times New Roman"/>
          <w:color w:val="000000"/>
          <w:sz w:val="22"/>
          <w:szCs w:val="22"/>
        </w:rPr>
        <w:t xml:space="preserve">Wire up cookie consent records to provide a DPC-compliant audit trail. Make the newsletter subscription form functional by connecting to newsletter_subscriptions. Track exit intent conversions and WhatsApp click attribution. Save AI chatbot conversation history for quality monitoring and lead identification.</w:t>
      </w:r>
    </w:p>
    <w:p>
      <w:pPr>
        <w:pStyle w:val="Heading2"/>
        <w:spacing w:after="100" w:before="280" w:line="312"/>
      </w:pPr>
      <w:bookmarkStart w:id="100023" w:name="_Toc100023"/>
      <w:r>
        <w:rPr>
          <w:rFonts w:ascii="Times New Roman"/>
          <w:b/>
          <w:bCs/>
          <w:color w:val="2C3E50"/>
          <w:sz w:val="28"/>
          <w:szCs w:val="28"/>
        </w:rPr>
        <w:t xml:space="preserve">Phase 5: Polish and A/B Testing Migration (1-2 Weeks)</w:t>
      </w:r>
      <w:bookmarkEnd w:id="100023"/>
    </w:p>
    <w:p>
      <w:pPr>
        <w:spacing w:after="80" w:line="312"/>
        <w:jc w:val="both"/>
      </w:pPr>
      <w:r>
        <w:rPr>
          <w:rFonts w:ascii="Times New Roman"/>
          <w:color w:val="000000"/>
          <w:sz w:val="22"/>
          <w:szCs w:val="22"/>
        </w:rPr>
        <w:t xml:space="preserve">Migrate the A/B testing SQLite tables to Supabase PostgreSQL. Set up Realtime subscriptions for the portal to show live installation progress updates. Configure Storage bucket image transforms for blog thumbnails. Build the foundation for an admin dashboard that surfaces lead counts, conversion rates, and A/B experiment results.</w:t>
      </w:r>
    </w:p>
    <w:p>
      <w:pPr>
        <w:pStyle w:val="Heading1"/>
        <w:spacing w:after="120" w:before="360" w:line="312"/>
      </w:pPr>
      <w:bookmarkStart w:id="100024" w:name="_Toc100024"/>
      <w:r>
        <w:rPr>
          <w:rFonts w:ascii="Times New Roman"/>
          <w:b/>
          <w:bCs/>
          <w:color w:val="2C3E50"/>
          <w:sz w:val="32"/>
          <w:szCs w:val="32"/>
        </w:rPr>
        <w:t xml:space="preserve">9. Environment Variables</w:t>
      </w:r>
      <w:bookmarkEnd w:id="100024"/>
    </w:p>
    <w:p>
      <w:pPr>
        <w:spacing w:after="80" w:line="312"/>
        <w:jc w:val="both"/>
      </w:pPr>
      <w:r>
        <w:rPr>
          <w:rFonts w:ascii="Times New Roman"/>
          <w:color w:val="000000"/>
          <w:sz w:val="22"/>
          <w:szCs w:val="22"/>
        </w:rPr>
        <w:t xml:space="preserve">Three environment variables are required for the Supabase integration. NEXT_PUBLIC_SUPABASE_URL is the project endpoint URL (https://your-project.supabase.co) and is safe to expose to the client. NEXT_PUBLIC_SUPABASE_ANON_KEY is the anonymous key for client-side operations and is also safe to expose. SUPABASE_SERVICE_ROLE_KEY is the service role key that bypasses RLS and must NEVER be exposed to the client; it should only be used in Edge Functions and server-side API routes. The current .env file contains only a SQLite DATABASE_URL for the A/B testing system.</w:t>
      </w:r>
    </w:p>
    <w:sectPr>
      <w:footerReference w:type="default" r:id="rId7"/>
      <w:pgSz w:w="11906" w:h="16838" w:orient="portrait"/>
      <w:pgMar w:top="1440" w:right="1417" w:bottom="1440"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olor w:val="607080"/>
        <w:sz w:val="16"/>
        <w:szCs w:val="16"/>
      </w:rPr>
      <w:t xml:space="preserve">Solar Ireland — Supabase Architecture</w:t>
    </w:r>
    <w:r>
      <w:rPr>
        <w:rFonts w:ascii="Times New Roman"/>
        <w:color w:val="607080"/>
        <w:sz w:val="16"/>
        <w:szCs w:val="16"/>
      </w:rPr>
      <w:t xml:space="preserve">   |   Page </w:t>
    </w:r>
    <w:r>
      <w:rPr>
        <w:rFonts w:ascii="Times New Roman"/>
        <w:color w:val="607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480" w:hanging="4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olor w:val="000000"/>
        <w:sz w:val="22"/>
        <w:szCs w:val="22"/>
      </w:rPr>
    </w:rPrDefault>
    <w:pPrDefault>
      <w:pPr>
        <w:spacing w:line="312"/>
      </w:pPr>
    </w:pPrDefault>
  </w:docDefaults>
  <w:style w:type="paragraph" w:styleId="Title">
    <w:name w:val="Title"/>
    <w:basedOn w:val="Normal"/>
    <w:next w:val="Normal"/>
    <w:qFormat/>
    <w:rPr>
      <w:sz w:val="56"/>
      <w:szCs w:val="56"/>
    </w:rPr>
  </w:style>
  <w:style w:type="paragraph" w:styleId="Heading1">
    <w:pPr>
      <w:outlineLvl w:val="0"/>
    </w:pPr>
    <w:name w:val="Heading 1"/>
    <w:basedOn w:val="Normal"/>
    <w:next w:val="Normal"/>
    <w:qFormat/>
    <w:rPr>
      <w:rFonts w:ascii="Times New Roman"/>
      <w:b/>
      <w:bCs/>
      <w:color w:val="2C3E50"/>
      <w:sz w:val="32"/>
      <w:szCs w:val="32"/>
    </w:rPr>
  </w:style>
  <w:style w:type="paragraph" w:styleId="Heading2">
    <w:pPr>
      <w:outlineLvl w:val="1"/>
    </w:pPr>
    <w:name w:val="Heading 2"/>
    <w:basedOn w:val="Normal"/>
    <w:next w:val="Normal"/>
    <w:qFormat/>
    <w:rPr>
      <w:rFonts w:ascii="Times New Roman"/>
      <w:b/>
      <w:bCs/>
      <w:color w:val="2C3E50"/>
      <w:sz w:val="28"/>
      <w:szCs w:val="28"/>
    </w:rPr>
  </w:style>
  <w:style w:type="paragraph" w:styleId="Heading3">
    <w:pPr>
      <w:outlineLvl w:val="2"/>
    </w:pPr>
    <w:name w:val="Heading 3"/>
    <w:basedOn w:val="Normal"/>
    <w:next w:val="Normal"/>
    <w:qFormat/>
    <w:rPr>
      <w:rFonts w:ascii="Times New Roman"/>
      <w:b/>
      <w:bCs/>
      <w:color w:val="607080"/>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2026-04-12T16:14:42.301Z</dcterms:created>
  <dcterms:modified xsi:type="dcterms:W3CDTF">2026-04-12T16:14:42.301Z</dcterms:modified>
</cp:coreProperties>
</file>

<file path=docProps/custom.xml><?xml version="1.0" encoding="utf-8"?>
<Properties xmlns="http://schemas.openxmlformats.org/officeDocument/2006/custom-properties" xmlns:vt="http://schemas.openxmlformats.org/officeDocument/2006/docPropsVTypes"/>
</file>