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800" w:hRule="exact"/>
        </w:trPr>
        <w:tc>
          <w:tcPr>
            <w:tcBorders>
              <w:top w:val="none" w:color="FFFFFF" w:sz="0"/>
              <w:left w:val="none" w:color="FFFFFF" w:sz="0"/>
              <w:bottom w:val="none" w:color="FFFFFF" w:sz="0"/>
              <w:right w:val="none" w:color="FFFFFF" w:sz="0"/>
            </w:tcBorders>
            <w:shd w:fill="162235" w:val="clear"/>
            <w:tcMar>
              <w:top w:type="dxa" w:w="0"/>
              <w:left w:type="dxa" w:w="1200"/>
              <w:bottom w:type="dxa" w:w="0"/>
              <w:right w:type="dxa" w:w="1200"/>
            </w:tcMar>
            <w:vAlign w:val="top"/>
          </w:tcPr>
          <w:p>
            <w:pPr>
              <w:spacing w:before="1200"/>
            </w:pPr>
          </w:p>
          <w:p>
            <w:pPr>
              <w:spacing w:after="200" w:line="500"/>
            </w:pPr>
            <w:r>
              <w:rPr>
                <w:rFonts w:ascii="Calibri"/>
                <w:b/>
                <w:bCs/>
                <w:color w:val="FFFFFF"/>
                <w:sz w:val="52"/>
                <w:szCs w:val="52"/>
              </w:rPr>
              <w:t xml:space="preserve">SUPABASE BACKEND ARCHITECTURE</w:t>
            </w:r>
          </w:p>
          <w:p>
            <w:pPr>
              <w:spacing w:after="100" w:line="380"/>
            </w:pPr>
            <w:r>
              <w:rPr>
                <w:rFonts w:ascii="Times New Roman"/>
                <w:color w:val="B0B8C0"/>
                <w:sz w:val="40"/>
                <w:szCs w:val="40"/>
              </w:rPr>
              <w:t xml:space="preserve">Solar Ireland</w:t>
            </w:r>
          </w:p>
          <w:p>
            <w:pPr>
              <w:pBdr>
                <w:bottom w:val="single" w:color="37DCF2" w:sz="6" w:space="8"/>
              </w:pBdr>
              <w:spacing w:after="200"/>
              <w:ind w:left="0"/>
            </w:pPr>
          </w:p>
          <w:p>
            <w:pPr>
              <w:spacing w:after="80" w:line="312"/>
            </w:pPr>
            <w:r>
              <w:rPr>
                <w:rFonts w:ascii="Calibri"/>
                <w:color w:val="B0B8C0"/>
                <w:sz w:val="24"/>
                <w:szCs w:val="24"/>
              </w:rPr>
              <w:t xml:space="preserve">Complete Database Schema &amp; Implementation Guide</w:t>
            </w:r>
          </w:p>
          <w:p>
            <w:pPr>
              <w:spacing w:after="60" w:line="312"/>
            </w:pPr>
            <w:r>
              <w:rPr>
                <w:rFonts w:ascii="Calibri"/>
                <w:color w:val="90989F"/>
                <w:sz w:val="20"/>
                <w:szCs w:val="20"/>
              </w:rPr>
              <w:t xml:space="preserve">25 Tables  |  RLS Policies  |  Edge Functions  |  Storage Buckets</w:t>
            </w:r>
          </w:p>
          <w:p>
            <w:pPr>
              <w:spacing w:after="60" w:line="312"/>
            </w:pPr>
            <w:r>
              <w:rPr>
                <w:rFonts w:ascii="Calibri"/>
                <w:color w:val="90989F"/>
                <w:sz w:val="20"/>
                <w:szCs w:val="20"/>
              </w:rPr>
              <w:t xml:space="preserve">April 2026</w:t>
            </w:r>
          </w:p>
        </w:tc>
      </w:tr>
    </w:tbl>
    <w:p>
      <w:pPr>
        <w:sectPr>
          <w:pgSz w:w="11906" w:h="16838" w:orient="portrait"/>
          <w:pgMar w:top="0" w:right="0" w:bottom="0" w:left="0" w:header="708" w:footer="708" w:gutter="0"/>
          <w:pgNumType/>
          <w:docGrid w:linePitch="360"/>
        </w:sectPr>
      </w:pPr>
    </w:p>
    <w:p>
      <w:pPr>
        <w:spacing w:after="200" w:before="400" w:line="312"/>
      </w:pPr>
      <w:r>
        <w:rPr>
          <w:rFonts w:ascii="Times New Roman"/>
          <w:b/>
          <w:bCs/>
          <w:color w:val="0A1628"/>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Architecture Overview</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Why Supabase</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Domain Organisation</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Design Principles</w:t>
            </w:r>
            <w:r>
              <w:tab/>
            </w:r>
            <w:r>
              <w:fldChar w:fldCharType="begin"/>
            </w:r>
            <w:r>
              <w:instrText xml:space="preserve"> PAGEREF _Toc100004 \h </w:instrText>
            </w:r>
            <w:r>
              <w:fldChar w:fldCharType="separate"/>
            </w:r>
            <w:r>
              <w:t>3</w:t>
            </w:r>
            <w:r>
              <w:fldChar w:fldCharType="end"/>
            </w:r>
          </w:hyperlink>
        </w:p>
        <w:p>
          <w:pPr>
            <w:pStyle w:val="9"/>
            <w:tabs>
              <w:tab w:val="right" w:leader="dot" w:pos="9026"/>
            </w:tabs>
            <w:spacing w:before="120" w:after="60"/>
          </w:pPr>
          <w:hyperlink w:anchor="_Toc100005" w:history="1">
            <w:r>
              <w:rPr>
                <w:rStyle w:val="Hyperlink"/>
              </w:rPr>
              <w:t>3. Authentication &amp; User Management</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3.1 profiles</w:t>
            </w:r>
            <w:r>
              <w:tab/>
            </w:r>
            <w:r>
              <w:fldChar w:fldCharType="begin"/>
            </w:r>
            <w:r>
              <w:instrText xml:space="preserve"> PAGEREF _Toc100006 \h </w:instrText>
            </w:r>
            <w:r>
              <w:fldChar w:fldCharType="separate"/>
            </w:r>
            <w:r>
              <w:t>4</w:t>
            </w:r>
            <w:r>
              <w:fldChar w:fldCharType="end"/>
            </w:r>
          </w:hyperlink>
        </w:p>
        <w:p>
          <w:pPr>
            <w:pStyle w:val="9"/>
            <w:tabs>
              <w:tab w:val="right" w:leader="dot" w:pos="9026"/>
            </w:tabs>
            <w:spacing w:before="120" w:after="60"/>
          </w:pPr>
          <w:hyperlink w:anchor="_Toc100007" w:history="1">
            <w:r>
              <w:rPr>
                <w:rStyle w:val="Hyperlink"/>
              </w:rPr>
              <w:t>4. Lead Capture System</w:t>
            </w:r>
            <w:r>
              <w:tab/>
            </w:r>
            <w:r>
              <w:fldChar w:fldCharType="begin"/>
            </w:r>
            <w:r>
              <w:instrText xml:space="preserve"> PAGEREF _Toc100007 \h </w:instrText>
            </w:r>
            <w:r>
              <w:fldChar w:fldCharType="separate"/>
            </w:r>
            <w:r>
              <w:t>7</w:t>
            </w:r>
            <w:r>
              <w:fldChar w:fldCharType="end"/>
            </w:r>
          </w:hyperlink>
        </w:p>
        <w:p>
          <w:pPr>
            <w:pStyle w:val="11"/>
            <w:ind w:left="360"/>
            <w:tabs>
              <w:tab w:val="right" w:leader="dot" w:pos="9026"/>
            </w:tabs>
            <w:spacing w:before="120" w:after="60"/>
          </w:pPr>
          <w:hyperlink w:anchor="_Toc100008" w:history="1">
            <w:r>
              <w:rPr>
                <w:rStyle w:val="Hyperlink"/>
              </w:rPr>
              <w:t>4.1 contact_submissions</w:t>
            </w:r>
            <w:r>
              <w:tab/>
            </w:r>
            <w:r>
              <w:fldChar w:fldCharType="begin"/>
            </w:r>
            <w:r>
              <w:instrText xml:space="preserve"> PAGEREF _Toc100008 \h </w:instrText>
            </w:r>
            <w:r>
              <w:fldChar w:fldCharType="separate"/>
            </w:r>
            <w:r>
              <w:t>8</w:t>
            </w:r>
            <w:r>
              <w:fldChar w:fldCharType="end"/>
            </w:r>
          </w:hyperlink>
        </w:p>
        <w:p>
          <w:pPr>
            <w:pStyle w:val="11"/>
            <w:ind w:left="360"/>
            <w:tabs>
              <w:tab w:val="right" w:leader="dot" w:pos="9026"/>
            </w:tabs>
            <w:spacing w:before="120" w:after="60"/>
          </w:pPr>
          <w:hyperlink w:anchor="_Toc100009" w:history="1">
            <w:r>
              <w:rPr>
                <w:rStyle w:val="Hyperlink"/>
              </w:rPr>
              <w:t>4.2 survey_bookings</w:t>
            </w:r>
            <w:r>
              <w:tab/>
            </w:r>
            <w:r>
              <w:fldChar w:fldCharType="begin"/>
            </w:r>
            <w:r>
              <w:instrText xml:space="preserve"> PAGEREF _Toc100009 \h </w:instrText>
            </w:r>
            <w:r>
              <w:fldChar w:fldCharType="separate"/>
            </w:r>
            <w:r>
              <w:t>8</w:t>
            </w:r>
            <w:r>
              <w:fldChar w:fldCharType="end"/>
            </w:r>
          </w:hyperlink>
        </w:p>
        <w:p>
          <w:pPr>
            <w:pStyle w:val="11"/>
            <w:ind w:left="360"/>
            <w:tabs>
              <w:tab w:val="right" w:leader="dot" w:pos="9026"/>
            </w:tabs>
            <w:spacing w:before="120" w:after="60"/>
          </w:pPr>
          <w:hyperlink w:anchor="_Toc100010" w:history="1">
            <w:r>
              <w:rPr>
                <w:rStyle w:val="Hyperlink"/>
              </w:rPr>
              <w:t>4.3 bill_analyses</w:t>
            </w:r>
            <w:r>
              <w:tab/>
            </w:r>
            <w:r>
              <w:fldChar w:fldCharType="begin"/>
            </w:r>
            <w:r>
              <w:instrText xml:space="preserve"> PAGEREF _Toc100010 \h </w:instrText>
            </w:r>
            <w:r>
              <w:fldChar w:fldCharType="separate"/>
            </w:r>
            <w:r>
              <w:t>9</w:t>
            </w:r>
            <w:r>
              <w:fldChar w:fldCharType="end"/>
            </w:r>
          </w:hyperlink>
        </w:p>
        <w:p>
          <w:pPr>
            <w:pStyle w:val="11"/>
            <w:ind w:left="360"/>
            <w:tabs>
              <w:tab w:val="right" w:leader="dot" w:pos="9026"/>
            </w:tabs>
            <w:spacing w:before="120" w:after="60"/>
          </w:pPr>
          <w:hyperlink w:anchor="_Toc100011" w:history="1">
            <w:r>
              <w:rPr>
                <w:rStyle w:val="Hyperlink"/>
              </w:rPr>
              <w:t>4.4 lead_sources</w:t>
            </w:r>
            <w:r>
              <w:tab/>
            </w:r>
            <w:r>
              <w:fldChar w:fldCharType="begin"/>
            </w:r>
            <w:r>
              <w:instrText xml:space="preserve"> PAGEREF _Toc100011 \h </w:instrText>
            </w:r>
            <w:r>
              <w:fldChar w:fldCharType="separate"/>
            </w:r>
            <w:r>
              <w:t>9</w:t>
            </w:r>
            <w:r>
              <w:fldChar w:fldCharType="end"/>
            </w:r>
          </w:hyperlink>
        </w:p>
        <w:p>
          <w:pPr>
            <w:pStyle w:val="9"/>
            <w:tabs>
              <w:tab w:val="right" w:leader="dot" w:pos="9026"/>
            </w:tabs>
            <w:spacing w:before="120" w:after="60"/>
          </w:pPr>
          <w:hyperlink w:anchor="_Toc100012" w:history="1">
            <w:r>
              <w:rPr>
                <w:rStyle w:val="Hyperlink"/>
              </w:rPr>
              <w:t>5. Content Management System</w:t>
            </w:r>
            <w:r>
              <w:tab/>
            </w:r>
            <w:r>
              <w:fldChar w:fldCharType="begin"/>
            </w:r>
            <w:r>
              <w:instrText xml:space="preserve"> PAGEREF _Toc100012 \h </w:instrText>
            </w:r>
            <w:r>
              <w:fldChar w:fldCharType="separate"/>
            </w:r>
            <w:r>
              <w:t>9</w:t>
            </w:r>
            <w:r>
              <w:fldChar w:fldCharType="end"/>
            </w:r>
          </w:hyperlink>
        </w:p>
        <w:p>
          <w:pPr>
            <w:pStyle w:val="11"/>
            <w:ind w:left="360"/>
            <w:tabs>
              <w:tab w:val="right" w:leader="dot" w:pos="9026"/>
            </w:tabs>
            <w:spacing w:before="120" w:after="60"/>
          </w:pPr>
          <w:hyperlink w:anchor="_Toc100013" w:history="1">
            <w:r>
              <w:rPr>
                <w:rStyle w:val="Hyperlink"/>
              </w:rPr>
              <w:t>5.1 blog_posts</w:t>
            </w:r>
            <w:r>
              <w:tab/>
            </w:r>
            <w:r>
              <w:fldChar w:fldCharType="begin"/>
            </w:r>
            <w:r>
              <w:instrText xml:space="preserve"> PAGEREF _Toc100013 \h </w:instrText>
            </w:r>
            <w:r>
              <w:fldChar w:fldCharType="separate"/>
            </w:r>
            <w:r>
              <w:t>10</w:t>
            </w:r>
            <w:r>
              <w:fldChar w:fldCharType="end"/>
            </w:r>
          </w:hyperlink>
        </w:p>
        <w:p>
          <w:pPr>
            <w:pStyle w:val="11"/>
            <w:ind w:left="360"/>
            <w:tabs>
              <w:tab w:val="right" w:leader="dot" w:pos="9026"/>
            </w:tabs>
            <w:spacing w:before="120" w:after="60"/>
          </w:pPr>
          <w:hyperlink w:anchor="_Toc100014" w:history="1">
            <w:r>
              <w:rPr>
                <w:rStyle w:val="Hyperlink"/>
              </w:rPr>
              <w:t>5.2 blog_content_sections</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5.3 blog_categories</w:t>
            </w:r>
            <w:r>
              <w:tab/>
            </w:r>
            <w:r>
              <w:fldChar w:fldCharType="begin"/>
            </w:r>
            <w:r>
              <w:instrText xml:space="preserve"> PAGEREF _Toc100015 \h </w:instrText>
            </w:r>
            <w:r>
              <w:fldChar w:fldCharType="separate"/>
            </w:r>
            <w:r>
              <w:t>10</w:t>
            </w:r>
            <w:r>
              <w:fldChar w:fldCharType="end"/>
            </w:r>
          </w:hyperlink>
        </w:p>
        <w:p>
          <w:pPr>
            <w:pStyle w:val="11"/>
            <w:ind w:left="360"/>
            <w:tabs>
              <w:tab w:val="right" w:leader="dot" w:pos="9026"/>
            </w:tabs>
            <w:spacing w:before="120" w:after="60"/>
          </w:pPr>
          <w:hyperlink w:anchor="_Toc100016" w:history="1">
            <w:r>
              <w:rPr>
                <w:rStyle w:val="Hyperlink"/>
              </w:rPr>
              <w:t>5.4 counties</w:t>
            </w:r>
            <w:r>
              <w:tab/>
            </w:r>
            <w:r>
              <w:fldChar w:fldCharType="begin"/>
            </w:r>
            <w:r>
              <w:instrText xml:space="preserve"> PAGEREF _Toc100016 \h </w:instrText>
            </w:r>
            <w:r>
              <w:fldChar w:fldCharType="separate"/>
            </w:r>
            <w:r>
              <w:t>10</w:t>
            </w:r>
            <w:r>
              <w:fldChar w:fldCharType="end"/>
            </w:r>
          </w:hyperlink>
        </w:p>
        <w:p>
          <w:pPr>
            <w:pStyle w:val="11"/>
            <w:ind w:left="360"/>
            <w:tabs>
              <w:tab w:val="right" w:leader="dot" w:pos="9026"/>
            </w:tabs>
            <w:spacing w:before="120" w:after="60"/>
          </w:pPr>
          <w:hyperlink w:anchor="_Toc100017" w:history="1">
            <w:r>
              <w:rPr>
                <w:rStyle w:val="Hyperlink"/>
              </w:rPr>
              <w:t>5.5 site_settings</w:t>
            </w:r>
            <w:r>
              <w:tab/>
            </w:r>
            <w:r>
              <w:fldChar w:fldCharType="begin"/>
            </w:r>
            <w:r>
              <w:instrText xml:space="preserve"> PAGEREF _Toc100017 \h </w:instrText>
            </w:r>
            <w:r>
              <w:fldChar w:fldCharType="separate"/>
            </w:r>
            <w:r>
              <w:t>10</w:t>
            </w:r>
            <w:r>
              <w:fldChar w:fldCharType="end"/>
            </w:r>
          </w:hyperlink>
        </w:p>
        <w:p>
          <w:pPr>
            <w:pStyle w:val="9"/>
            <w:tabs>
              <w:tab w:val="right" w:leader="dot" w:pos="9026"/>
            </w:tabs>
            <w:spacing w:before="120" w:after="60"/>
          </w:pPr>
          <w:hyperlink w:anchor="_Toc100018" w:history="1">
            <w:r>
              <w:rPr>
                <w:rStyle w:val="Hyperlink"/>
              </w:rPr>
              <w:t>6. Service &amp; Pricing Configuration</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6.1 service_packages</w:t>
            </w:r>
            <w:r>
              <w:tab/>
            </w:r>
            <w:r>
              <w:fldChar w:fldCharType="begin"/>
            </w:r>
            <w:r>
              <w:instrText xml:space="preserve"> PAGEREF _Toc100019 \h </w:instrText>
            </w:r>
            <w:r>
              <w:fldChar w:fldCharType="separate"/>
            </w:r>
            <w:r>
              <w:t>11</w:t>
            </w:r>
            <w:r>
              <w:fldChar w:fldCharType="end"/>
            </w:r>
          </w:hyperlink>
        </w:p>
        <w:p>
          <w:pPr>
            <w:pStyle w:val="11"/>
            <w:ind w:left="360"/>
            <w:tabs>
              <w:tab w:val="right" w:leader="dot" w:pos="9026"/>
            </w:tabs>
            <w:spacing w:before="120" w:after="60"/>
          </w:pPr>
          <w:hyperlink w:anchor="_Toc100020" w:history="1">
            <w:r>
              <w:rPr>
                <w:rStyle w:val="Hyperlink"/>
              </w:rPr>
              <w:t>6.2 testimonials</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6.3 team_members</w:t>
            </w:r>
            <w:r>
              <w:tab/>
            </w:r>
            <w:r>
              <w:fldChar w:fldCharType="begin"/>
            </w:r>
            <w:r>
              <w:instrText xml:space="preserve"> PAGEREF _Toc100021 \h </w:instrText>
            </w:r>
            <w:r>
              <w:fldChar w:fldCharType="separate"/>
            </w:r>
            <w:r>
              <w:t>11</w:t>
            </w:r>
            <w:r>
              <w:fldChar w:fldCharType="end"/>
            </w:r>
          </w:hyperlink>
        </w:p>
        <w:p>
          <w:pPr>
            <w:pStyle w:val="9"/>
            <w:tabs>
              <w:tab w:val="right" w:leader="dot" w:pos="9026"/>
            </w:tabs>
            <w:spacing w:before="120" w:after="60"/>
          </w:pPr>
          <w:hyperlink w:anchor="_Toc100022" w:history="1">
            <w:r>
              <w:rPr>
                <w:rStyle w:val="Hyperlink"/>
              </w:rPr>
              <w:t>7. Customer Portal</w:t>
            </w:r>
            <w:r>
              <w:tab/>
            </w:r>
            <w:r>
              <w:fldChar w:fldCharType="begin"/>
            </w:r>
            <w:r>
              <w:instrText xml:space="preserve"> PAGEREF _Toc100022 \h </w:instrText>
            </w:r>
            <w:r>
              <w:fldChar w:fldCharType="separate"/>
            </w:r>
            <w:r>
              <w:t>11</w:t>
            </w:r>
            <w:r>
              <w:fldChar w:fldCharType="end"/>
            </w:r>
          </w:hyperlink>
        </w:p>
        <w:p>
          <w:pPr>
            <w:pStyle w:val="11"/>
            <w:ind w:left="360"/>
            <w:tabs>
              <w:tab w:val="right" w:leader="dot" w:pos="9026"/>
            </w:tabs>
            <w:spacing w:before="120" w:after="60"/>
          </w:pPr>
          <w:hyperlink w:anchor="_Toc100023" w:history="1">
            <w:r>
              <w:rPr>
                <w:rStyle w:val="Hyperlink"/>
              </w:rPr>
              <w:t>7.1 customers</w:t>
            </w:r>
            <w:r>
              <w:tab/>
            </w:r>
            <w:r>
              <w:fldChar w:fldCharType="begin"/>
            </w:r>
            <w:r>
              <w:instrText xml:space="preserve"> PAGEREF _Toc100023 \h </w:instrText>
            </w:r>
            <w:r>
              <w:fldChar w:fldCharType="separate"/>
            </w:r>
            <w:r>
              <w:t>11</w:t>
            </w:r>
            <w:r>
              <w:fldChar w:fldCharType="end"/>
            </w:r>
          </w:hyperlink>
        </w:p>
        <w:p>
          <w:pPr>
            <w:pStyle w:val="11"/>
            <w:ind w:left="360"/>
            <w:tabs>
              <w:tab w:val="right" w:leader="dot" w:pos="9026"/>
            </w:tabs>
            <w:spacing w:before="120" w:after="60"/>
          </w:pPr>
          <w:hyperlink w:anchor="_Toc100024" w:history="1">
            <w:r>
              <w:rPr>
                <w:rStyle w:val="Hyperlink"/>
              </w:rPr>
              <w:t>7.2 installations (Installation Steps per Customer)</w:t>
            </w:r>
            <w:r>
              <w:tab/>
            </w:r>
            <w:r>
              <w:fldChar w:fldCharType="begin"/>
            </w:r>
            <w:r>
              <w:instrText xml:space="preserve"> PAGEREF _Toc100024 \h </w:instrText>
            </w:r>
            <w:r>
              <w:fldChar w:fldCharType="separate"/>
            </w:r>
            <w:r>
              <w:t>12</w:t>
            </w:r>
            <w:r>
              <w:fldChar w:fldCharType="end"/>
            </w:r>
          </w:hyperlink>
        </w:p>
        <w:p>
          <w:pPr>
            <w:pStyle w:val="11"/>
            <w:ind w:left="360"/>
            <w:tabs>
              <w:tab w:val="right" w:leader="dot" w:pos="9026"/>
            </w:tabs>
            <w:spacing w:before="120" w:after="60"/>
          </w:pPr>
          <w:hyperlink w:anchor="_Toc100025" w:history="1">
            <w:r>
              <w:rPr>
                <w:rStyle w:val="Hyperlink"/>
              </w:rPr>
              <w:t>7.3 documents</w:t>
            </w:r>
            <w:r>
              <w:tab/>
            </w:r>
            <w:r>
              <w:fldChar w:fldCharType="begin"/>
            </w:r>
            <w:r>
              <w:instrText xml:space="preserve"> PAGEREF _Toc100025 \h </w:instrText>
            </w:r>
            <w:r>
              <w:fldChar w:fldCharType="separate"/>
            </w:r>
            <w:r>
              <w:t>12</w:t>
            </w:r>
            <w:r>
              <w:fldChar w:fldCharType="end"/>
            </w:r>
          </w:hyperlink>
        </w:p>
        <w:p>
          <w:pPr>
            <w:pStyle w:val="11"/>
            <w:ind w:left="360"/>
            <w:tabs>
              <w:tab w:val="right" w:leader="dot" w:pos="9026"/>
            </w:tabs>
            <w:spacing w:before="120" w:after="60"/>
          </w:pPr>
          <w:hyperlink w:anchor="_Toc100026" w:history="1">
            <w:r>
              <w:rPr>
                <w:rStyle w:val="Hyperlink"/>
              </w:rPr>
              <w:t>7.4 notifications</w:t>
            </w:r>
            <w:r>
              <w:tab/>
            </w:r>
            <w:r>
              <w:fldChar w:fldCharType="begin"/>
            </w:r>
            <w:r>
              <w:instrText xml:space="preserve"> PAGEREF _Toc100026 \h </w:instrText>
            </w:r>
            <w:r>
              <w:fldChar w:fldCharType="separate"/>
            </w:r>
            <w:r>
              <w:t>12</w:t>
            </w:r>
            <w:r>
              <w:fldChar w:fldCharType="end"/>
            </w:r>
          </w:hyperlink>
        </w:p>
        <w:p>
          <w:pPr>
            <w:pStyle w:val="11"/>
            <w:ind w:left="360"/>
            <w:tabs>
              <w:tab w:val="right" w:leader="dot" w:pos="9026"/>
            </w:tabs>
            <w:spacing w:before="120" w:after="60"/>
          </w:pPr>
          <w:hyperlink w:anchor="_Toc100027" w:history="1">
            <w:r>
              <w:rPr>
                <w:rStyle w:val="Hyperlink"/>
              </w:rPr>
              <w:t>7.5 Portal Access Flow</w:t>
            </w:r>
            <w:r>
              <w:tab/>
            </w:r>
            <w:r>
              <w:fldChar w:fldCharType="begin"/>
            </w:r>
            <w:r>
              <w:instrText xml:space="preserve"> PAGEREF _Toc100027 \h </w:instrText>
            </w:r>
            <w:r>
              <w:fldChar w:fldCharType="separate"/>
            </w:r>
            <w:r>
              <w:t>12</w:t>
            </w:r>
            <w:r>
              <w:fldChar w:fldCharType="end"/>
            </w:r>
          </w:hyperlink>
        </w:p>
        <w:p>
          <w:pPr>
            <w:pStyle w:val="9"/>
            <w:tabs>
              <w:tab w:val="right" w:leader="dot" w:pos="9026"/>
            </w:tabs>
            <w:spacing w:before="120" w:after="60"/>
          </w:pPr>
          <w:hyperlink w:anchor="_Toc100028" w:history="1">
            <w:r>
              <w:rPr>
                <w:rStyle w:val="Hyperlink"/>
              </w:rPr>
              <w:t>8. Analytics &amp; GDPR Compliance</w:t>
            </w:r>
            <w:r>
              <w:tab/>
            </w:r>
            <w:r>
              <w:fldChar w:fldCharType="begin"/>
            </w:r>
            <w:r>
              <w:instrText xml:space="preserve"> PAGEREF _Toc100028 \h </w:instrText>
            </w:r>
            <w:r>
              <w:fldChar w:fldCharType="separate"/>
            </w:r>
            <w:r>
              <w:t>13</w:t>
            </w:r>
            <w:r>
              <w:fldChar w:fldCharType="end"/>
            </w:r>
          </w:hyperlink>
        </w:p>
        <w:p>
          <w:pPr>
            <w:pStyle w:val="11"/>
            <w:ind w:left="360"/>
            <w:tabs>
              <w:tab w:val="right" w:leader="dot" w:pos="9026"/>
            </w:tabs>
            <w:spacing w:before="120" w:after="60"/>
          </w:pPr>
          <w:hyperlink w:anchor="_Toc100029" w:history="1">
            <w:r>
              <w:rPr>
                <w:rStyle w:val="Hyperlink"/>
              </w:rPr>
              <w:t>8.1 cookie_consent_records</w:t>
            </w:r>
            <w:r>
              <w:tab/>
            </w:r>
            <w:r>
              <w:fldChar w:fldCharType="begin"/>
            </w:r>
            <w:r>
              <w:instrText xml:space="preserve"> PAGEREF _Toc100029 \h </w:instrText>
            </w:r>
            <w:r>
              <w:fldChar w:fldCharType="separate"/>
            </w:r>
            <w:r>
              <w:t>13</w:t>
            </w:r>
            <w:r>
              <w:fldChar w:fldCharType="end"/>
            </w:r>
          </w:hyperlink>
        </w:p>
        <w:p>
          <w:pPr>
            <w:pStyle w:val="11"/>
            <w:ind w:left="360"/>
            <w:tabs>
              <w:tab w:val="right" w:leader="dot" w:pos="9026"/>
            </w:tabs>
            <w:spacing w:before="120" w:after="60"/>
          </w:pPr>
          <w:hyperlink w:anchor="_Toc100030" w:history="1">
            <w:r>
              <w:rPr>
                <w:rStyle w:val="Hyperlink"/>
              </w:rPr>
              <w:t>8.2 newsletter_subscriptions</w:t>
            </w:r>
            <w:r>
              <w:tab/>
            </w:r>
            <w:r>
              <w:fldChar w:fldCharType="begin"/>
            </w:r>
            <w:r>
              <w:instrText xml:space="preserve"> PAGEREF _Toc100030 \h </w:instrText>
            </w:r>
            <w:r>
              <w:fldChar w:fldCharType="separate"/>
            </w:r>
            <w:r>
              <w:t>13</w:t>
            </w:r>
            <w:r>
              <w:fldChar w:fldCharType="end"/>
            </w:r>
          </w:hyperlink>
        </w:p>
        <w:p>
          <w:pPr>
            <w:pStyle w:val="11"/>
            <w:ind w:left="360"/>
            <w:tabs>
              <w:tab w:val="right" w:leader="dot" w:pos="9026"/>
            </w:tabs>
            <w:spacing w:before="120" w:after="60"/>
          </w:pPr>
          <w:hyperlink w:anchor="_Toc100031" w:history="1">
            <w:r>
              <w:rPr>
                <w:rStyle w:val="Hyperlink"/>
              </w:rPr>
              <w:t>8.3 exit_intent_conversions</w:t>
            </w:r>
            <w:r>
              <w:tab/>
            </w:r>
            <w:r>
              <w:fldChar w:fldCharType="begin"/>
            </w:r>
            <w:r>
              <w:instrText xml:space="preserve"> PAGEREF _Toc100031 \h </w:instrText>
            </w:r>
            <w:r>
              <w:fldChar w:fldCharType="separate"/>
            </w:r>
            <w:r>
              <w:t>13</w:t>
            </w:r>
            <w:r>
              <w:fldChar w:fldCharType="end"/>
            </w:r>
          </w:hyperlink>
        </w:p>
        <w:p>
          <w:pPr>
            <w:pStyle w:val="11"/>
            <w:ind w:left="360"/>
            <w:tabs>
              <w:tab w:val="right" w:leader="dot" w:pos="9026"/>
            </w:tabs>
            <w:spacing w:before="120" w:after="60"/>
          </w:pPr>
          <w:hyperlink w:anchor="_Toc100032" w:history="1">
            <w:r>
              <w:rPr>
                <w:rStyle w:val="Hyperlink"/>
              </w:rPr>
              <w:t>8.4 whatsapp_lead_sources</w:t>
            </w:r>
            <w:r>
              <w:tab/>
            </w:r>
            <w:r>
              <w:fldChar w:fldCharType="begin"/>
            </w:r>
            <w:r>
              <w:instrText xml:space="preserve"> PAGEREF _Toc100032 \h </w:instrText>
            </w:r>
            <w:r>
              <w:fldChar w:fldCharType="separate"/>
            </w:r>
            <w:r>
              <w:t>13</w:t>
            </w:r>
            <w:r>
              <w:fldChar w:fldCharType="end"/>
            </w:r>
          </w:hyperlink>
        </w:p>
        <w:p>
          <w:pPr>
            <w:pStyle w:val="11"/>
            <w:ind w:left="360"/>
            <w:tabs>
              <w:tab w:val="right" w:leader="dot" w:pos="9026"/>
            </w:tabs>
            <w:spacing w:before="120" w:after="60"/>
          </w:pPr>
          <w:hyperlink w:anchor="_Toc100033" w:history="1">
            <w:r>
              <w:rPr>
                <w:rStyle w:val="Hyperlink"/>
              </w:rPr>
              <w:t>8.5 chat_conversations</w:t>
            </w:r>
            <w:r>
              <w:tab/>
            </w:r>
            <w:r>
              <w:fldChar w:fldCharType="begin"/>
            </w:r>
            <w:r>
              <w:instrText xml:space="preserve"> PAGEREF _Toc100033 \h </w:instrText>
            </w:r>
            <w:r>
              <w:fldChar w:fldCharType="separate"/>
            </w:r>
            <w:r>
              <w:t>14</w:t>
            </w:r>
            <w:r>
              <w:fldChar w:fldCharType="end"/>
            </w:r>
          </w:hyperlink>
        </w:p>
        <w:p>
          <w:pPr>
            <w:pStyle w:val="9"/>
            <w:tabs>
              <w:tab w:val="right" w:leader="dot" w:pos="9026"/>
            </w:tabs>
            <w:spacing w:before="120" w:after="60"/>
          </w:pPr>
          <w:hyperlink w:anchor="_Toc100034" w:history="1">
            <w:r>
              <w:rPr>
                <w:rStyle w:val="Hyperlink"/>
              </w:rPr>
              <w:t>9. Row Level Security Policies</w:t>
            </w:r>
            <w:r>
              <w:tab/>
            </w:r>
            <w:r>
              <w:fldChar w:fldCharType="begin"/>
            </w:r>
            <w:r>
              <w:instrText xml:space="preserve"> PAGEREF _Toc100034 \h </w:instrText>
            </w:r>
            <w:r>
              <w:fldChar w:fldCharType="separate"/>
            </w:r>
            <w:r>
              <w:t>14</w:t>
            </w:r>
            <w:r>
              <w:fldChar w:fldCharType="end"/>
            </w:r>
          </w:hyperlink>
        </w:p>
        <w:p>
          <w:pPr>
            <w:pStyle w:val="9"/>
            <w:tabs>
              <w:tab w:val="right" w:leader="dot" w:pos="9026"/>
            </w:tabs>
            <w:spacing w:before="120" w:after="60"/>
          </w:pPr>
          <w:hyperlink w:anchor="_Toc100035" w:history="1">
            <w:r>
              <w:rPr>
                <w:rStyle w:val="Hyperlink"/>
              </w:rPr>
              <w:t>10. Supabase Edge Functions</w:t>
            </w:r>
            <w:r>
              <w:tab/>
            </w:r>
            <w:r>
              <w:fldChar w:fldCharType="begin"/>
            </w:r>
            <w:r>
              <w:instrText xml:space="preserve"> PAGEREF _Toc100035 \h </w:instrText>
            </w:r>
            <w:r>
              <w:fldChar w:fldCharType="separate"/>
            </w:r>
            <w:r>
              <w:t>17</w:t>
            </w:r>
            <w:r>
              <w:fldChar w:fldCharType="end"/>
            </w:r>
          </w:hyperlink>
        </w:p>
        <w:p>
          <w:pPr>
            <w:pStyle w:val="9"/>
            <w:tabs>
              <w:tab w:val="right" w:leader="dot" w:pos="9026"/>
            </w:tabs>
            <w:spacing w:before="120" w:after="60"/>
          </w:pPr>
          <w:hyperlink w:anchor="_Toc100036" w:history="1">
            <w:r>
              <w:rPr>
                <w:rStyle w:val="Hyperlink"/>
              </w:rPr>
              <w:t>11. Storage Buckets</w:t>
            </w:r>
            <w:r>
              <w:tab/>
            </w:r>
            <w:r>
              <w:fldChar w:fldCharType="begin"/>
            </w:r>
            <w:r>
              <w:instrText xml:space="preserve"> PAGEREF _Toc100036 \h </w:instrText>
            </w:r>
            <w:r>
              <w:fldChar w:fldCharType="separate"/>
            </w:r>
            <w:r>
              <w:t>17</w:t>
            </w:r>
            <w:r>
              <w:fldChar w:fldCharType="end"/>
            </w:r>
          </w:hyperlink>
        </w:p>
        <w:p>
          <w:pPr>
            <w:pStyle w:val="9"/>
            <w:tabs>
              <w:tab w:val="right" w:leader="dot" w:pos="9026"/>
            </w:tabs>
            <w:spacing w:before="120" w:after="60"/>
          </w:pPr>
          <w:hyperlink w:anchor="_Toc100037" w:history="1">
            <w:r>
              <w:rPr>
                <w:rStyle w:val="Hyperlink"/>
              </w:rPr>
              <w:t>12. Implementation Roadmap</w:t>
            </w:r>
            <w:r>
              <w:tab/>
            </w:r>
            <w:r>
              <w:fldChar w:fldCharType="begin"/>
            </w:r>
            <w:r>
              <w:instrText xml:space="preserve"> PAGEREF _Toc100037 \h </w:instrText>
            </w:r>
            <w:r>
              <w:fldChar w:fldCharType="separate"/>
            </w:r>
            <w:r>
              <w:t>18</w:t>
            </w:r>
            <w:r>
              <w:fldChar w:fldCharType="end"/>
            </w:r>
          </w:hyperlink>
        </w:p>
        <w:p>
          <w:r>
            <w:fldChar w:fldCharType="end"/>
          </w:r>
        </w:p>
      </w:sdtContent>
    </w:sdt>
    <w:p>
      <w:r>
        <w:br w:type="page"/>
      </w:r>
    </w:p>
    <w:p>
      <w:pPr>
        <w:sectPr>
          <w:headerReference w:type="default" r:id="rId7"/>
          <w:footerReference w:type="default" r:id="rId8"/>
          <w:pgSz w:w="11906" w:h="16838" w:orient="portrait"/>
          <w:pgMar w:top="1417" w:right="1417" w:bottom="1417" w:left="1701" w:header="708" w:footer="708" w:gutter="0"/>
          <w:pgNumType/>
          <w:docGrid w:linePitch="360"/>
        </w:sectPr>
      </w:pPr>
    </w:p>
    <w:p>
      <w:pPr>
        <w:pStyle w:val="Heading1"/>
        <w:spacing w:after="200" w:before="480" w:line="312"/>
      </w:pPr>
      <w:bookmarkStart w:id="100000" w:name="_Toc100000"/>
      <w:r>
        <w:rPr>
          <w:rFonts w:ascii="Times New Roman"/>
          <w:b/>
          <w:bCs/>
          <w:color w:val="0A1628"/>
          <w:sz w:val="36"/>
          <w:szCs w:val="36"/>
        </w:rPr>
        <w:t xml:space="preserve">1. Executive Summary</w:t>
      </w:r>
      <w:bookmarkEnd w:id="100000"/>
    </w:p>
    <w:p>
      <w:pPr>
        <w:spacing w:after="120" w:line="312"/>
        <w:jc w:val="both"/>
      </w:pPr>
      <w:r>
        <w:rPr>
          <w:rFonts w:ascii="Calibri"/>
          <w:color w:val="1A2B40"/>
          <w:sz w:val="22"/>
          <w:szCs w:val="22"/>
        </w:rPr>
        <w:t xml:space="preserve">This document presents the complete Supabase backend architecture for the Solar Ireland website, a leading solar energy provider serving all 32 counties across the Republic of Ireland and Northern Ireland. The database schema has been designed to support every interactive feature, form submission, content management need, and customer-facing portal functionality identified through a comprehensive audit of the website's frontend codebase, comprising over 30 pages and 50+ React components.</w:t>
      </w:r>
    </w:p>
    <w:p>
      <w:pPr>
        <w:spacing w:after="120" w:line="312"/>
        <w:jc w:val="both"/>
      </w:pPr>
      <w:r>
        <w:rPr>
          <w:rFonts w:ascii="Calibri"/>
          <w:color w:val="1A2B40"/>
          <w:sz w:val="22"/>
          <w:szCs w:val="22"/>
        </w:rPr>
        <w:t xml:space="preserve">The architecture is built on Supabase, an open-source Firebase alternative built on PostgreSQL, providing a robust foundation for relational data, real-time subscriptions, row-level security, serverless edge functions, and authenticated file storage. The schema consists of 25 purpose-built tables organised into six logical domains: Lead Capture, Content Management, Service Configuration, Customer Portal, Analytics and GDPR Compliance, and System Configuration.</w:t>
      </w:r>
    </w:p>
    <w:p>
      <w:pPr>
        <w:spacing w:after="120" w:line="312"/>
        <w:jc w:val="both"/>
      </w:pPr>
      <w:r>
        <w:rPr>
          <w:rFonts w:ascii="Calibri"/>
          <w:color w:val="1A2B40"/>
          <w:sz w:val="22"/>
          <w:szCs w:val="22"/>
        </w:rPr>
        <w:t xml:space="preserve">Key design decisions underpinning this architecture include a Row-Level Security (RLS) first approach to ensure that customers can only access their own portal data while public content remains readable by all visitors. The lead capture system replaces the current WhatsApp-only form submissions with proper database persistence, generating unique reference numbers for every survey booking and enabling full lead lifecycle tracking from initial contact through to installation completion. The content management tables enable migration of all hardcoded blog posts, county data, and site configuration from TypeScript files into a database-backed CMS that non-technical team members can update without code deployments.</w:t>
      </w:r>
    </w:p>
    <w:p>
      <w:pPr>
        <w:spacing w:after="120" w:line="312"/>
        <w:jc w:val="both"/>
      </w:pPr>
      <w:r>
        <w:rPr>
          <w:rFonts w:ascii="Calibri"/>
          <w:color w:val="1A2B40"/>
          <w:sz w:val="22"/>
          <w:szCs w:val="22"/>
        </w:rPr>
        <w:t xml:space="preserve">The Customer Portal, which currently renders entirely hardcoded demo data, will be fully backed by real database records, giving each customer a live installation timeline, downloadable documents, project notifications, and direct messaging to their assigned project manager. GDPR compliance is addressed through dedicated tables for cookie consent records, newsletter subscription management with unsubscribe tracking, and comprehensive UTM parameter capture across all lead sources for marketing attribution.</w:t>
      </w:r>
    </w:p>
    <w:p>
      <w:pPr>
        <w:pStyle w:val="Heading1"/>
        <w:spacing w:after="200" w:before="480" w:line="312"/>
      </w:pPr>
      <w:bookmarkStart w:id="100001" w:name="_Toc100001"/>
      <w:r>
        <w:rPr>
          <w:rFonts w:ascii="Times New Roman"/>
          <w:b/>
          <w:bCs/>
          <w:color w:val="0A1628"/>
          <w:sz w:val="36"/>
          <w:szCs w:val="36"/>
        </w:rPr>
        <w:t xml:space="preserve">2. Architecture Overview</w:t>
      </w:r>
      <w:bookmarkEnd w:id="100001"/>
    </w:p>
    <w:p>
      <w:pPr>
        <w:pStyle w:val="Heading2"/>
        <w:spacing w:after="160" w:before="360" w:line="312"/>
      </w:pPr>
      <w:bookmarkStart w:id="100002" w:name="_Toc100002"/>
      <w:r>
        <w:rPr>
          <w:rFonts w:ascii="Times New Roman"/>
          <w:b/>
          <w:bCs/>
          <w:color w:val="0A1628"/>
          <w:sz w:val="28"/>
          <w:szCs w:val="28"/>
        </w:rPr>
        <w:t xml:space="preserve">2.1 Why Supabase</w:t>
      </w:r>
      <w:bookmarkEnd w:id="100002"/>
    </w:p>
    <w:p>
      <w:pPr>
        <w:spacing w:after="120" w:line="312"/>
        <w:jc w:val="both"/>
      </w:pPr>
      <w:r>
        <w:rPr>
          <w:rFonts w:ascii="Calibri"/>
          <w:color w:val="1A2B40"/>
          <w:sz w:val="22"/>
          <w:szCs w:val="22"/>
        </w:rPr>
        <w:t xml:space="preserve">Supabase was selected as the backend platform for Solar Ireland based on several compelling advantages over alternatives such as Firebase, PlanetScale, or a custom PostgreSQL deployment. As a fully managed PostgreSQL database service, Supabase provides the relational data modelling capabilities essential for the complex relationships between customers, installations, documents, and notifications that the portal requires. Unlike Firebase's NoSQL approach, PostgreSQL's foreign key constraints, join queries, and transactional guarantees ensure data integrity across the entire customer lifecycle.</w:t>
      </w:r>
    </w:p>
    <w:p>
      <w:pPr>
        <w:spacing w:after="120" w:line="312"/>
        <w:jc w:val="both"/>
      </w:pPr>
      <w:r>
        <w:rPr>
          <w:rFonts w:ascii="Calibri"/>
          <w:color w:val="1A2B40"/>
          <w:sz w:val="22"/>
          <w:szCs w:val="22"/>
        </w:rPr>
        <w:t xml:space="preserve">Supabase's built-in authentication system supports email/password login, magic links, and OAuth providers, which directly serves the Customer Portal's requirement for secure customer access. Row-Level Security (RLS) policies integrate at the database layer, meaning that even if a bug in application code were to expose an API endpoint, the database itself would prevent unauthorised data access. Edge Functions, built on Deno Deploy, provide a serverless environment for handling form submissions, sending notifications, and interfacing with external services such as the SEAI grant API or WhatsApp Business API.</w:t>
      </w:r>
    </w:p>
    <w:p>
      <w:pPr>
        <w:spacing w:after="120" w:line="312"/>
        <w:jc w:val="both"/>
      </w:pPr>
      <w:r>
        <w:rPr>
          <w:rFonts w:ascii="Calibri"/>
          <w:color w:val="1A2B40"/>
          <w:sz w:val="22"/>
          <w:szCs w:val="22"/>
        </w:rPr>
        <w:t xml:space="preserve">The real-time subscription feature enables live updates in the Customer Portal, so when a project manager marks an installation step as completed, the customer's dashboard updates instantly without requiring a page refresh. Supabase Storage provides authenticated file uploads and downloads for installation photographs, survey reports, and completion certificates, with automatic image transformations for thumbnail generation.</w:t>
      </w:r>
    </w:p>
    <w:p>
      <w:pPr>
        <w:pStyle w:val="Heading2"/>
        <w:spacing w:after="160" w:before="360" w:line="312"/>
      </w:pPr>
      <w:bookmarkStart w:id="100003" w:name="_Toc100003"/>
      <w:r>
        <w:rPr>
          <w:rFonts w:ascii="Times New Roman"/>
          <w:b/>
          <w:bCs/>
          <w:color w:val="0A1628"/>
          <w:sz w:val="28"/>
          <w:szCs w:val="28"/>
        </w:rPr>
        <w:t xml:space="preserve">2.2 Domain Organisation</w:t>
      </w:r>
      <w:bookmarkEnd w:id="100003"/>
    </w:p>
    <w:p>
      <w:pPr>
        <w:spacing w:after="120" w:line="312"/>
        <w:jc w:val="both"/>
      </w:pPr>
      <w:r>
        <w:rPr>
          <w:rFonts w:ascii="Calibri"/>
          <w:color w:val="1A2B40"/>
          <w:sz w:val="22"/>
          <w:szCs w:val="22"/>
        </w:rPr>
        <w:t xml:space="preserve">The 25 tables are organised into six logical domains, each serving a distinct business function within the Solar Ireland ecosystem. This separation of concerns ensures that the schema remains maintainable as the platform grows, and allows different team members to work on different domains without creating conflicts.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tcW w:type="dxa" w:w="3000"/>
            <w:shd w:fill="1B6B7A" w:val="clear"/>
            <w:tcMar>
              <w:top w:type="dxa" w:w="50"/>
              <w:left w:type="dxa" w:w="100"/>
              <w:bottom w:type="dxa" w:w="50"/>
              <w:right w:type="dxa" w:w="100"/>
            </w:tcMar>
          </w:tcPr>
          <w:p>
            <w:r>
              <w:rPr>
                <w:rFonts w:ascii="Calibri"/>
                <w:b/>
                <w:bCs/>
                <w:color w:val="FFFFFF"/>
                <w:sz w:val="20"/>
                <w:szCs w:val="20"/>
              </w:rPr>
              <w:t xml:space="preserve">Domain</w:t>
            </w:r>
          </w:p>
        </w:tc>
        <w:tc>
          <w:tcPr>
            <w:tcW w:type="dxa" w:w="3000"/>
            <w:shd w:fill="1B6B7A" w:val="clear"/>
            <w:tcMar>
              <w:top w:type="dxa" w:w="50"/>
              <w:left w:type="dxa" w:w="100"/>
              <w:bottom w:type="dxa" w:w="50"/>
              <w:right w:type="dxa" w:w="100"/>
            </w:tcMar>
          </w:tcPr>
          <w:p>
            <w:r>
              <w:rPr>
                <w:rFonts w:ascii="Calibri"/>
                <w:b/>
                <w:bCs/>
                <w:color w:val="FFFFFF"/>
                <w:sz w:val="20"/>
                <w:szCs w:val="20"/>
              </w:rPr>
              <w:t xml:space="preserve">Tables</w:t>
            </w:r>
          </w:p>
        </w:tc>
        <w:tc>
          <w:tcPr>
            <w:tcW w:type="dxa" w:w="3000"/>
            <w:shd w:fill="1B6B7A" w:val="clear"/>
            <w:tcMar>
              <w:top w:type="dxa" w:w="50"/>
              <w:left w:type="dxa" w:w="100"/>
              <w:bottom w:type="dxa" w:w="50"/>
              <w:right w:type="dxa" w:w="100"/>
            </w:tcMar>
          </w:tcPr>
          <w:p>
            <w:r>
              <w:rPr>
                <w:rFonts w:ascii="Calibri"/>
                <w:b/>
                <w:bCs/>
                <w:color w:val="FFFFFF"/>
                <w:sz w:val="20"/>
                <w:szCs w:val="20"/>
              </w:rPr>
              <w:t xml:space="preserve">Purpose</w:t>
            </w:r>
          </w:p>
        </w:tc>
      </w:tr>
      <w:tr>
        <w:trPr>
          <w:cantSplit/>
        </w:trPr>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Lead Capture</w:t>
            </w:r>
          </w:p>
        </w:tc>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contact_submissions, survey_bookings, bill_analyses, lead_sources</w:t>
            </w:r>
          </w:p>
        </w:tc>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Capture and track all incoming enquiries, survey requests, and bill analysis interactions</w:t>
            </w:r>
          </w:p>
        </w:tc>
      </w:tr>
      <w:tr>
        <w:trPr>
          <w:cantSplit/>
        </w:trPr>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Content Management</w:t>
            </w:r>
          </w:p>
        </w:tc>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blog_posts, blog_content_sections, blog_categories, counties, county_faqs, site_settings</w:t>
            </w:r>
          </w:p>
        </w:tc>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Manage all website content including blog articles, county pages, and global configuration</w:t>
            </w:r>
          </w:p>
        </w:tc>
      </w:tr>
      <w:tr>
        <w:trPr>
          <w:cantSplit/>
        </w:trPr>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Service &amp; Pricing</w:t>
            </w:r>
          </w:p>
        </w:tc>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service_packages, financing_options, testimonials, team_members</w:t>
            </w:r>
          </w:p>
        </w:tc>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Configure service offerings, pricing tiers, customer testimonials, and team profiles</w:t>
            </w:r>
          </w:p>
        </w:tc>
      </w:tr>
      <w:tr>
        <w:trPr>
          <w:cantSplit/>
        </w:trPr>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Customer Portal</w:t>
            </w:r>
          </w:p>
        </w:tc>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customers, installations, installation_steps, documents, notifications</w:t>
            </w:r>
          </w:p>
        </w:tc>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Power the customer-facing project tracking dashboard with live updates</w:t>
            </w:r>
          </w:p>
        </w:tc>
      </w:tr>
      <w:tr>
        <w:trPr>
          <w:cantSplit/>
        </w:trPr>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Analytics &amp; GDPR</w:t>
            </w:r>
          </w:p>
        </w:tc>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cookie_consent_records, exit_intent_conversions, whatsapp_lead_sources, newsletter_subscriptions, chat_conversations</w:t>
            </w:r>
          </w:p>
        </w:tc>
        <w:tc>
          <w:tcPr>
            <w:tcW w:type="dxa" w:w="3000"/>
            <w:shd w:fill="EDF3F5" w:val="clear"/>
            <w:tcMar>
              <w:top w:type="dxa" w:w="40"/>
              <w:left w:type="dxa" w:w="100"/>
              <w:bottom w:type="dxa" w:w="40"/>
              <w:right w:type="dxa" w:w="100"/>
            </w:tcMar>
          </w:tcPr>
          <w:p>
            <w:pPr>
              <w:spacing w:line="280"/>
            </w:pPr>
            <w:r>
              <w:rPr>
                <w:rFonts w:ascii="Calibri"/>
                <w:color w:val="1A2B40"/>
                <w:sz w:val="19"/>
                <w:szCs w:val="19"/>
              </w:rPr>
              <w:t xml:space="preserve">Ensure GDPR compliance, track marketing attribution, and log user interactions</w:t>
            </w:r>
          </w:p>
        </w:tc>
      </w:tr>
      <w:tr>
        <w:trPr>
          <w:cantSplit/>
        </w:trPr>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Authentication</w:t>
            </w:r>
          </w:p>
        </w:tc>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profiles (extends auth.users)</w:t>
            </w:r>
          </w:p>
        </w:tc>
        <w:tc>
          <w:tcPr>
            <w:tcW w:type="dxa" w:w="3000"/>
            <w:shd w:fill="FFFFFF" w:val="clear"/>
            <w:tcMar>
              <w:top w:type="dxa" w:w="40"/>
              <w:left w:type="dxa" w:w="100"/>
              <w:bottom w:type="dxa" w:w="40"/>
              <w:right w:type="dxa" w:w="100"/>
            </w:tcMar>
          </w:tcPr>
          <w:p>
            <w:pPr>
              <w:spacing w:line="280"/>
            </w:pPr>
            <w:r>
              <w:rPr>
                <w:rFonts w:ascii="Calibri"/>
                <w:color w:val="1A2B40"/>
                <w:sz w:val="19"/>
                <w:szCs w:val="19"/>
              </w:rPr>
              <w:t xml:space="preserve">Extend Supabase's built-in auth with role-based access control</w:t>
            </w:r>
          </w:p>
        </w:tc>
      </w:tr>
    </w:tbl>
    <w:p>
      <w:pPr>
        <w:pStyle w:val="Heading2"/>
        <w:spacing w:after="160" w:before="360" w:line="312"/>
      </w:pPr>
      <w:bookmarkStart w:id="100004" w:name="_Toc100004"/>
      <w:r>
        <w:rPr>
          <w:rFonts w:ascii="Times New Roman"/>
          <w:b/>
          <w:bCs/>
          <w:color w:val="0A1628"/>
          <w:sz w:val="28"/>
          <w:szCs w:val="28"/>
        </w:rPr>
        <w:t xml:space="preserve">2.3 Design Principles</w:t>
      </w:r>
      <w:bookmarkEnd w:id="100004"/>
    </w:p>
    <w:p>
      <w:pPr>
        <w:pStyle w:val="ListParagraph"/>
        <w:numPr>
          <w:ilvl w:val="0"/>
          <w:numId w:val="1"/>
        </w:numPr>
        <w:spacing w:after="60" w:line="312"/>
      </w:pPr>
      <w:r>
        <w:rPr>
          <w:rFonts w:ascii="Calibri"/>
          <w:b/>
          <w:bCs/>
          <w:color w:val="1A2B40"/>
          <w:sz w:val="22"/>
          <w:szCs w:val="22"/>
        </w:rPr>
        <w:t xml:space="preserve">RLS-First Security: </w:t>
      </w:r>
      <w:r>
        <w:rPr>
          <w:rFonts w:ascii="Calibri"/>
          <w:color w:val="1A2B40"/>
          <w:sz w:val="22"/>
          <w:szCs w:val="22"/>
        </w:rPr>
        <w:t xml:space="preserve">Every table has Row-Level Security enabled by default. Public tables allow SELECT for anon users. Lead capture tables allow INSERT for anon users. Portal tables require authentication and enforce customer-level isolation.</w:t>
      </w:r>
    </w:p>
    <w:p>
      <w:pPr>
        <w:pStyle w:val="ListParagraph"/>
        <w:numPr>
          <w:ilvl w:val="0"/>
          <w:numId w:val="1"/>
        </w:numPr>
        <w:spacing w:after="60" w:line="312"/>
      </w:pPr>
      <w:r>
        <w:rPr>
          <w:rFonts w:ascii="Calibri"/>
          <w:b/>
          <w:bCs/>
          <w:color w:val="1A2B40"/>
          <w:sz w:val="22"/>
          <w:szCs w:val="22"/>
        </w:rPr>
        <w:t xml:space="preserve">Soft Deletes: </w:t>
      </w:r>
      <w:r>
        <w:rPr>
          <w:rFonts w:ascii="Calibri"/>
          <w:color w:val="1A2B40"/>
          <w:sz w:val="22"/>
          <w:szCs w:val="22"/>
        </w:rPr>
        <w:t xml:space="preserve">Critical tables such as customers, survey_bookings, and blog_posts use a deleted_at timestamp column instead of hard deletes, enabling audit trails and data recovery.</w:t>
      </w:r>
    </w:p>
    <w:p>
      <w:pPr>
        <w:pStyle w:val="ListParagraph"/>
        <w:numPr>
          <w:ilvl w:val="0"/>
          <w:numId w:val="1"/>
        </w:numPr>
        <w:spacing w:after="60" w:line="312"/>
      </w:pPr>
      <w:r>
        <w:rPr>
          <w:rFonts w:ascii="Calibri"/>
          <w:b/>
          <w:bCs/>
          <w:color w:val="1A2B40"/>
          <w:sz w:val="22"/>
          <w:szCs w:val="22"/>
        </w:rPr>
        <w:t xml:space="preserve">UTC Timestamps: </w:t>
      </w:r>
      <w:r>
        <w:rPr>
          <w:rFonts w:ascii="Calibri"/>
          <w:color w:val="1A2B40"/>
          <w:sz w:val="22"/>
          <w:szCs w:val="22"/>
        </w:rPr>
        <w:t xml:space="preserve">All timestamp columns use timestamptz with timezone set to UTC. Ireland-specific logic (GMT/BST) is handled in application code during display.</w:t>
      </w:r>
    </w:p>
    <w:p>
      <w:pPr>
        <w:pStyle w:val="ListParagraph"/>
        <w:numPr>
          <w:ilvl w:val="0"/>
          <w:numId w:val="1"/>
        </w:numPr>
        <w:spacing w:after="60" w:line="312"/>
      </w:pPr>
      <w:r>
        <w:rPr>
          <w:rFonts w:ascii="Calibri"/>
          <w:b/>
          <w:bCs/>
          <w:color w:val="1A2B40"/>
          <w:sz w:val="22"/>
          <w:szCs w:val="22"/>
        </w:rPr>
        <w:t xml:space="preserve">UUID Primary Keys: </w:t>
      </w:r>
      <w:r>
        <w:rPr>
          <w:rFonts w:ascii="Calibri"/>
          <w:color w:val="1A2B40"/>
          <w:sz w:val="22"/>
          <w:szCs w:val="22"/>
        </w:rPr>
        <w:t xml:space="preserve">All tables use gen_random_uuid() for primary keys, ensuring globally unique identifiers that are safe for distributed systems and URL-safe for portal reference numbers.</w:t>
      </w:r>
    </w:p>
    <w:p>
      <w:pPr>
        <w:pStyle w:val="ListParagraph"/>
        <w:numPr>
          <w:ilvl w:val="0"/>
          <w:numId w:val="1"/>
        </w:numPr>
        <w:spacing w:after="60" w:line="312"/>
      </w:pPr>
      <w:r>
        <w:rPr>
          <w:rFonts w:ascii="Calibri"/>
          <w:b/>
          <w:bCs/>
          <w:color w:val="1A2B40"/>
          <w:sz w:val="22"/>
          <w:szCs w:val="22"/>
        </w:rPr>
        <w:t xml:space="preserve">JSONB for Flexible Data: </w:t>
      </w:r>
      <w:r>
        <w:rPr>
          <w:rFonts w:ascii="Calibri"/>
          <w:color w:val="1A2B40"/>
          <w:sz w:val="22"/>
          <w:szCs w:val="22"/>
        </w:rPr>
        <w:t xml:space="preserve">Where schema flexibility is needed (UTM parameters, bill analysis results, content sections), JSONB columns are used with GIN indexes for efficient querying.</w:t>
      </w:r>
    </w:p>
    <w:p>
      <w:pPr>
        <w:pStyle w:val="Heading1"/>
        <w:spacing w:after="200" w:before="480" w:line="312"/>
      </w:pPr>
      <w:bookmarkStart w:id="100005" w:name="_Toc100005"/>
      <w:r>
        <w:rPr>
          <w:rFonts w:ascii="Times New Roman"/>
          <w:b/>
          <w:bCs/>
          <w:color w:val="0A1628"/>
          <w:sz w:val="36"/>
          <w:szCs w:val="36"/>
        </w:rPr>
        <w:t xml:space="preserve">3. Authentication &amp; User Management</w:t>
      </w:r>
      <w:bookmarkEnd w:id="100005"/>
    </w:p>
    <w:p>
      <w:pPr>
        <w:spacing w:after="120" w:line="312"/>
        <w:jc w:val="both"/>
      </w:pPr>
      <w:r>
        <w:rPr>
          <w:rFonts w:ascii="Calibri"/>
          <w:color w:val="1A2B40"/>
          <w:sz w:val="22"/>
          <w:szCs w:val="22"/>
        </w:rPr>
        <w:t xml:space="preserve">Solar Ireland requires two distinct user types: administrative staff who manage content, process leads, and update installation statuses through a future admin dashboard; and customers who access the portal to track their solar installation progress. Supabase's built-in authentication system handles the underlying user management, while a custom profiles table extends it with role-based access control.</w:t>
      </w:r>
    </w:p>
    <w:p>
      <w:pPr>
        <w:spacing w:after="120" w:line="312"/>
        <w:jc w:val="both"/>
      </w:pPr>
      <w:r>
        <w:rPr>
          <w:rFonts w:ascii="Calibri"/>
          <w:color w:val="1A2B40"/>
          <w:sz w:val="22"/>
          <w:szCs w:val="22"/>
        </w:rPr>
        <w:t xml:space="preserve">Administrative users will be created manually via the Supabase dashboard or SQL, with their auth.users records linked to profiles that carry the 'admin' role. Customer accounts can be created either during the survey booking process or manually by an admin after a survey is completed, using the customer's email address from the booking form. The portal's reference number lookup (/portal/[reference]) will validate against the customers table and return the matching profile for authentication.</w:t>
      </w:r>
    </w:p>
    <w:p>
      <w:pPr>
        <w:pStyle w:val="Heading2"/>
        <w:spacing w:after="160" w:before="360" w:line="312"/>
      </w:pPr>
      <w:bookmarkStart w:id="100006" w:name="_Toc100006"/>
      <w:r>
        <w:rPr>
          <w:rFonts w:ascii="Times New Roman"/>
          <w:b/>
          <w:bCs/>
          <w:color w:val="0A1628"/>
          <w:sz w:val="28"/>
          <w:szCs w:val="28"/>
        </w:rPr>
        <w:t xml:space="preserve">3.1 profiles</w:t>
      </w:r>
      <w:bookmarkEnd w:id="100006"/>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REFERENCES auth.users(id),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Links to Supabase Auth user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email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User email address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full_name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Display name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role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DEFAULT 'customer', CHECK (role IN ('admin', 'customer'))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Access role for RLS policies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phone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Phone number for customers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avatar_url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Profile picture URL from Storage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DEFAULT now()</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Account creation timestamp</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updated_at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Last update timestamp</w:t>
            </w:r>
          </w:p>
        </w:tc>
      </w:tr>
    </w:tbl>
    <w:p>
      <w:pPr>
        <w:spacing w:before="60"/>
      </w:pPr>
    </w:p>
    <w:p>
      <w:pPr>
        <w:spacing w:after="120" w:line="312"/>
        <w:jc w:val="both"/>
      </w:pPr>
      <w:r>
        <w:rPr>
          <w:rFonts w:ascii="Calibri"/>
          <w:color w:val="1A2B40"/>
          <w:sz w:val="22"/>
          <w:szCs w:val="22"/>
        </w:rPr>
        <w:t xml:space="preserve">The following SQL creates the profiles table with the necessary constraints and enables RLS. A trigger automatically creates a profile whenever a new user registers through Supabase Auth.</w:t>
      </w:r>
    </w:p>
    <w:p>
      <w:pPr>
        <w:spacing w:after="0" w:before="0" w:line="260"/>
        <w:ind w:left="360"/>
      </w:pPr>
      <w:r>
        <w:rPr>
          <w:rFonts w:ascii="Courier New"/>
          <w:color w:val="2A4A5A"/>
          <w:sz w:val="17"/>
          <w:szCs w:val="17"/>
        </w:rPr>
        <w:t xml:space="preserve">CREATE TABLE profiles (</w:t>
      </w:r>
    </w:p>
    <w:p>
      <w:pPr>
        <w:spacing w:after="0" w:before="0" w:line="260"/>
        <w:ind w:left="360"/>
      </w:pPr>
      <w:r>
        <w:rPr>
          <w:rFonts w:ascii="Courier New"/>
          <w:color w:val="2A4A5A"/>
          <w:sz w:val="17"/>
          <w:szCs w:val="17"/>
        </w:rPr>
        <w:t xml:space="preserve">  id          uuid PRIMARY KEY REFERENCES auth.users(id) ON DELETE CASCADE,</w:t>
      </w:r>
    </w:p>
    <w:p>
      <w:pPr>
        <w:spacing w:after="0" w:before="0" w:line="260"/>
        <w:ind w:left="360"/>
      </w:pPr>
      <w:r>
        <w:rPr>
          <w:rFonts w:ascii="Courier New"/>
          <w:color w:val="2A4A5A"/>
          <w:sz w:val="17"/>
          <w:szCs w:val="17"/>
        </w:rPr>
        <w:t xml:space="preserve">  email       text NOT NULL UNIQUE,</w:t>
      </w:r>
    </w:p>
    <w:p>
      <w:pPr>
        <w:spacing w:after="0" w:before="0" w:line="260"/>
        <w:ind w:left="360"/>
      </w:pPr>
      <w:r>
        <w:rPr>
          <w:rFonts w:ascii="Courier New"/>
          <w:color w:val="2A4A5A"/>
          <w:sz w:val="17"/>
          <w:szCs w:val="17"/>
        </w:rPr>
        <w:t xml:space="preserve">  full_name   text NOT NULL,</w:t>
      </w:r>
    </w:p>
    <w:p>
      <w:pPr>
        <w:spacing w:after="0" w:before="0" w:line="260"/>
        <w:ind w:left="360"/>
      </w:pPr>
      <w:r>
        <w:rPr>
          <w:rFonts w:ascii="Courier New"/>
          <w:color w:val="2A4A5A"/>
          <w:sz w:val="17"/>
          <w:szCs w:val="17"/>
        </w:rPr>
        <w:t xml:space="preserve">  role        text NOT NULL DEFAULT 'customer'</w:t>
      </w:r>
    </w:p>
    <w:p>
      <w:pPr>
        <w:spacing w:after="0" w:before="0" w:line="260"/>
        <w:ind w:left="360"/>
      </w:pPr>
      <w:r>
        <w:rPr>
          <w:rFonts w:ascii="Courier New"/>
          <w:color w:val="2A4A5A"/>
          <w:sz w:val="17"/>
          <w:szCs w:val="17"/>
        </w:rPr>
        <w:t xml:space="preserve">              CHECK (role IN ('admin','customer')),</w:t>
      </w:r>
    </w:p>
    <w:p>
      <w:pPr>
        <w:spacing w:after="0" w:before="0" w:line="260"/>
        <w:ind w:left="360"/>
      </w:pPr>
      <w:r>
        <w:rPr>
          <w:rFonts w:ascii="Courier New"/>
          <w:color w:val="2A4A5A"/>
          <w:sz w:val="17"/>
          <w:szCs w:val="17"/>
        </w:rPr>
        <w:t xml:space="preserve">  phone       text,</w:t>
      </w:r>
    </w:p>
    <w:p>
      <w:pPr>
        <w:spacing w:after="0" w:before="0" w:line="260"/>
        <w:ind w:left="360"/>
      </w:pPr>
      <w:r>
        <w:rPr>
          <w:rFonts w:ascii="Courier New"/>
          <w:color w:val="2A4A5A"/>
          <w:sz w:val="17"/>
          <w:szCs w:val="17"/>
        </w:rPr>
        <w:t xml:space="preserve">  avatar_url  text,</w:t>
      </w:r>
    </w:p>
    <w:p>
      <w:pPr>
        <w:spacing w:after="0" w:before="0" w:line="260"/>
        <w:ind w:left="360"/>
      </w:pPr>
      <w:r>
        <w:rPr>
          <w:rFonts w:ascii="Courier New"/>
          <w:color w:val="2A4A5A"/>
          <w:sz w:val="17"/>
          <w:szCs w:val="17"/>
        </w:rPr>
        <w:t xml:space="preserve">  created_at  timestamptz NOT NULL DEFAULT now(),</w:t>
      </w:r>
    </w:p>
    <w:p>
      <w:pPr>
        <w:spacing w:after="0" w:before="0" w:line="260"/>
        <w:ind w:left="360"/>
      </w:pPr>
      <w:r>
        <w:rPr>
          <w:rFonts w:ascii="Courier New"/>
          <w:color w:val="2A4A5A"/>
          <w:sz w:val="17"/>
          <w:szCs w:val="17"/>
        </w:rPr>
        <w:t xml:space="preserve">  updated_at  timestamptz NOT NULL DEFAULT now()</w:t>
      </w:r>
    </w:p>
    <w:p>
      <w:pPr>
        <w:spacing w:after="0" w:before="0" w:line="260"/>
        <w:ind w:left="360"/>
      </w:pPr>
      <w:r>
        <w:rPr>
          <w:rFonts w:ascii="Courier New"/>
          <w:color w:val="2A4A5A"/>
          <w:sz w:val="17"/>
          <w:szCs w:val="17"/>
        </w:rPr>
        <w:t xml:space="preserve">);</w:t>
      </w:r>
    </w:p>
    <w:p>
      <w:pPr>
        <w:spacing w:after="0" w:before="0" w:line="260"/>
        <w:ind w:left="360"/>
      </w:pPr>
      <w:r>
        <w:rPr>
          <w:rFonts w:ascii="Courier New"/>
          <w:color w:val="2A4A5A"/>
          <w:sz w:val="17"/>
          <w:szCs w:val="17"/>
        </w:rPr>
        <w:t xml:space="preserve"/>
      </w:r>
    </w:p>
    <w:p>
      <w:pPr>
        <w:spacing w:after="0" w:before="0" w:line="260"/>
        <w:ind w:left="360"/>
      </w:pPr>
      <w:r>
        <w:rPr>
          <w:rFonts w:ascii="Courier New"/>
          <w:color w:val="2A4A5A"/>
          <w:sz w:val="17"/>
          <w:szCs w:val="17"/>
        </w:rPr>
        <w:t xml:space="preserve">ALTER TABLE profiles ENABLE ROW LEVEL SECURITY;</w:t>
      </w:r>
    </w:p>
    <w:p>
      <w:pPr>
        <w:spacing w:after="0" w:before="0" w:line="260"/>
        <w:ind w:left="360"/>
      </w:pPr>
      <w:r>
        <w:rPr>
          <w:rFonts w:ascii="Courier New"/>
          <w:color w:val="2A4A5A"/>
          <w:sz w:val="17"/>
          <w:szCs w:val="17"/>
        </w:rPr>
        <w:t xml:space="preserve"/>
      </w:r>
    </w:p>
    <w:p>
      <w:pPr>
        <w:spacing w:after="0" w:before="0" w:line="260"/>
        <w:ind w:left="360"/>
      </w:pPr>
      <w:r>
        <w:rPr>
          <w:rFonts w:ascii="Courier New"/>
          <w:color w:val="2A4A5A"/>
          <w:sz w:val="17"/>
          <w:szCs w:val="17"/>
        </w:rPr>
        <w:t xml:space="preserve">CREATE OR REPLACE FUNCTION handle_new_user()</w:t>
      </w:r>
    </w:p>
    <w:p>
      <w:pPr>
        <w:spacing w:after="0" w:before="0" w:line="260"/>
        <w:ind w:left="360"/>
      </w:pPr>
      <w:r>
        <w:rPr>
          <w:rFonts w:ascii="Courier New"/>
          <w:color w:val="2A4A5A"/>
          <w:sz w:val="17"/>
          <w:szCs w:val="17"/>
        </w:rPr>
        <w:t xml:space="preserve">RETURNS trigger AS $$</w:t>
      </w:r>
    </w:p>
    <w:p>
      <w:pPr>
        <w:spacing w:after="0" w:before="0" w:line="260"/>
        <w:ind w:left="360"/>
      </w:pPr>
      <w:r>
        <w:rPr>
          <w:rFonts w:ascii="Courier New"/>
          <w:color w:val="2A4A5A"/>
          <w:sz w:val="17"/>
          <w:szCs w:val="17"/>
        </w:rPr>
        <w:t xml:space="preserve">BEGIN</w:t>
      </w:r>
    </w:p>
    <w:p>
      <w:pPr>
        <w:spacing w:after="0" w:before="0" w:line="260"/>
        <w:ind w:left="360"/>
      </w:pPr>
      <w:r>
        <w:rPr>
          <w:rFonts w:ascii="Courier New"/>
          <w:color w:val="2A4A5A"/>
          <w:sz w:val="17"/>
          <w:szCs w:val="17"/>
        </w:rPr>
        <w:t xml:space="preserve">  INSERT INTO profiles (id, email, full_name, role)</w:t>
      </w:r>
    </w:p>
    <w:p>
      <w:pPr>
        <w:spacing w:after="0" w:before="0" w:line="260"/>
        <w:ind w:left="360"/>
      </w:pPr>
      <w:r>
        <w:rPr>
          <w:rFonts w:ascii="Courier New"/>
          <w:color w:val="2A4A5A"/>
          <w:sz w:val="17"/>
          <w:szCs w:val="17"/>
        </w:rPr>
        <w:t xml:space="preserve">  VALUES (NEW.id, NEW.email, COALESCE(NEW.raw_user_meta_data-&gt;&gt;'full_name', ''),</w:t>
      </w:r>
    </w:p>
    <w:p>
      <w:pPr>
        <w:spacing w:after="0" w:before="0" w:line="260"/>
        <w:ind w:left="360"/>
      </w:pPr>
      <w:r>
        <w:rPr>
          <w:rFonts w:ascii="Courier New"/>
          <w:color w:val="2A4A5A"/>
          <w:sz w:val="17"/>
          <w:szCs w:val="17"/>
        </w:rPr>
        <w:t xml:space="preserve">          COALESCE(NEW.raw_user_meta_data-&gt;&gt;'role', 'customer'));</w:t>
      </w:r>
    </w:p>
    <w:p>
      <w:pPr>
        <w:spacing w:after="0" w:before="0" w:line="260"/>
        <w:ind w:left="360"/>
      </w:pPr>
      <w:r>
        <w:rPr>
          <w:rFonts w:ascii="Courier New"/>
          <w:color w:val="2A4A5A"/>
          <w:sz w:val="17"/>
          <w:szCs w:val="17"/>
        </w:rPr>
        <w:t xml:space="preserve">  RETURN NEW;</w:t>
      </w:r>
    </w:p>
    <w:p>
      <w:pPr>
        <w:spacing w:after="0" w:before="0" w:line="260"/>
        <w:ind w:left="360"/>
      </w:pPr>
      <w:r>
        <w:rPr>
          <w:rFonts w:ascii="Courier New"/>
          <w:color w:val="2A4A5A"/>
          <w:sz w:val="17"/>
          <w:szCs w:val="17"/>
        </w:rPr>
        <w:t xml:space="preserve">END;</w:t>
      </w:r>
    </w:p>
    <w:p>
      <w:pPr>
        <w:spacing w:after="0" w:before="0" w:line="260"/>
        <w:ind w:left="360"/>
      </w:pPr>
      <w:r>
        <w:rPr>
          <w:rFonts w:ascii="Courier New"/>
          <w:color w:val="2A4A5A"/>
          <w:sz w:val="17"/>
          <w:szCs w:val="17"/>
        </w:rPr>
        <w:t xml:space="preserve">$$ LANGUAGE plpgsql SECURITY DEFINER;</w:t>
      </w:r>
    </w:p>
    <w:p>
      <w:pPr>
        <w:spacing w:after="0" w:before="0" w:line="260"/>
        <w:ind w:left="360"/>
      </w:pPr>
      <w:r>
        <w:rPr>
          <w:rFonts w:ascii="Courier New"/>
          <w:color w:val="2A4A5A"/>
          <w:sz w:val="17"/>
          <w:szCs w:val="17"/>
        </w:rPr>
        <w:t xml:space="preserve"/>
      </w:r>
    </w:p>
    <w:p>
      <w:pPr>
        <w:spacing w:after="0" w:before="0" w:line="260"/>
        <w:ind w:left="360"/>
      </w:pPr>
      <w:r>
        <w:rPr>
          <w:rFonts w:ascii="Courier New"/>
          <w:color w:val="2A4A5A"/>
          <w:sz w:val="17"/>
          <w:szCs w:val="17"/>
        </w:rPr>
        <w:t xml:space="preserve">CREATE TRIGGER on_auth_user_created</w:t>
      </w:r>
    </w:p>
    <w:p>
      <w:pPr>
        <w:spacing w:after="0" w:before="0" w:line="260"/>
        <w:ind w:left="360"/>
      </w:pPr>
      <w:r>
        <w:rPr>
          <w:rFonts w:ascii="Courier New"/>
          <w:color w:val="2A4A5A"/>
          <w:sz w:val="17"/>
          <w:szCs w:val="17"/>
        </w:rPr>
        <w:t xml:space="preserve">  AFTER INSERT ON auth.users</w:t>
      </w:r>
    </w:p>
    <w:p>
      <w:pPr>
        <w:spacing w:after="0" w:before="0" w:line="260"/>
        <w:ind w:left="360"/>
      </w:pPr>
      <w:r>
        <w:rPr>
          <w:rFonts w:ascii="Courier New"/>
          <w:color w:val="2A4A5A"/>
          <w:sz w:val="17"/>
          <w:szCs w:val="17"/>
        </w:rPr>
        <w:t xml:space="preserve">  FOR EACH ROW EXECUTE FUNCTION handle_new_user();</w:t>
      </w:r>
    </w:p>
    <w:p>
      <w:pPr>
        <w:pStyle w:val="Heading1"/>
        <w:spacing w:after="200" w:before="480" w:line="312"/>
      </w:pPr>
      <w:bookmarkStart w:id="100007" w:name="_Toc100007"/>
      <w:r>
        <w:rPr>
          <w:rFonts w:ascii="Times New Roman"/>
          <w:b/>
          <w:bCs/>
          <w:color w:val="0A1628"/>
          <w:sz w:val="36"/>
          <w:szCs w:val="36"/>
        </w:rPr>
        <w:t xml:space="preserve">4. Lead Capture System</w:t>
      </w:r>
      <w:bookmarkEnd w:id="100007"/>
    </w:p>
    <w:p>
      <w:pPr>
        <w:spacing w:after="120" w:line="312"/>
        <w:jc w:val="both"/>
      </w:pPr>
      <w:r>
        <w:rPr>
          <w:rFonts w:ascii="Calibri"/>
          <w:color w:val="1A2B40"/>
          <w:sz w:val="22"/>
          <w:szCs w:val="22"/>
        </w:rPr>
        <w:t xml:space="preserve">The lead capture system is the most critical domain in the database, as it transforms the current situation where all form submissions are either logged to console (the /api/contact endpoint) or sent exclusively to WhatsApp with no database record (the /book-survey form). Every lead that enters the Solar Ireland ecosystem will now be persisted, timestamped, and attributed to its source, creating a complete audit trail from initial contact through to survey booking and ultimately to a completed installation.</w:t>
      </w:r>
    </w:p>
    <w:p>
      <w:pPr>
        <w:spacing w:after="120" w:line="312"/>
        <w:jc w:val="both"/>
      </w:pPr>
      <w:r>
        <w:rPr>
          <w:rFonts w:ascii="Calibri"/>
          <w:color w:val="1A2B40"/>
          <w:sz w:val="22"/>
          <w:szCs w:val="22"/>
        </w:rPr>
        <w:t xml:space="preserve">The unified lead_sources table serves as a centralised tracking layer that records how every lead arrived at the website, capturing full UTM parameters (source, medium, campaign, content, term) alongside the specific page and interaction that triggered the lead capture. This enables the marketing team to calculate cost-per-lead by channel, identify the highest-converting pages, and optimise advertising spend based on real conversion data rather than estimates.</w:t>
      </w:r>
    </w:p>
    <w:p>
      <w:pPr>
        <w:pStyle w:val="Heading2"/>
        <w:spacing w:after="160" w:before="360" w:line="312"/>
      </w:pPr>
      <w:bookmarkStart w:id="100008" w:name="_Toc100008"/>
      <w:r>
        <w:rPr>
          <w:rFonts w:ascii="Times New Roman"/>
          <w:b/>
          <w:bCs/>
          <w:color w:val="0A1628"/>
          <w:sz w:val="28"/>
          <w:szCs w:val="28"/>
        </w:rPr>
        <w:t xml:space="preserve">4.1 contact_submissions</w:t>
      </w:r>
      <w:bookmarkEnd w:id="100008"/>
    </w:p>
    <w:p>
      <w:pPr>
        <w:spacing w:after="120" w:line="312"/>
        <w:jc w:val="both"/>
      </w:pPr>
      <w:r>
        <w:rPr>
          <w:rFonts w:ascii="Calibri"/>
          <w:color w:val="1A2B40"/>
          <w:sz w:val="22"/>
          <w:szCs w:val="22"/>
        </w:rPr>
        <w:t xml:space="preserve">The contact_submissions table captures every submission from the /contact page form, which currently accepts a name, email, optional phone number, county selection from all 32 Irish counties, and a message. The current /api/contact endpoint validates these fields and returns a success response but saves nothing. With this table, every contact form submission will be stored and accessible through a future admin dashboard, and an Edge Function will simultaneously send a notification email to the sales team and a confirmation email to the customer.</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submission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Submitter full name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email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Submitter email address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phone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Phone number (optional)</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county</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CHECK (county IN (...32 counties...))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Selected county from dropdown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message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Message content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'/contact'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Page where form was submitted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utm_params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UTM parameter capture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ip_address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inet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Submitter IP (GDPR: anonymised after 30 days)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user_agent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Browser user agent string</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'new', CHECK (status IN ('new','contacted','qualified','converted','spam'))</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Lead processing status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Submission timestamp</w:t>
            </w:r>
          </w:p>
        </w:tc>
      </w:tr>
    </w:tbl>
    <w:p>
      <w:pPr>
        <w:pStyle w:val="Heading2"/>
        <w:spacing w:after="160" w:before="360" w:line="312"/>
      </w:pPr>
      <w:bookmarkStart w:id="100009" w:name="_Toc100009"/>
      <w:r>
        <w:rPr>
          <w:rFonts w:ascii="Times New Roman"/>
          <w:b/>
          <w:bCs/>
          <w:color w:val="0A1628"/>
          <w:sz w:val="28"/>
          <w:szCs w:val="28"/>
        </w:rPr>
        <w:t xml:space="preserve">4.2 survey_bookings</w:t>
      </w:r>
      <w:bookmarkEnd w:id="100009"/>
    </w:p>
    <w:p>
      <w:pPr>
        <w:spacing w:after="120" w:line="312"/>
        <w:jc w:val="both"/>
      </w:pPr>
      <w:r>
        <w:rPr>
          <w:rFonts w:ascii="Calibri"/>
          <w:color w:val="1A2B40"/>
          <w:sz w:val="22"/>
          <w:szCs w:val="22"/>
        </w:rPr>
        <w:t xml:space="preserve">The survey_bookings table is the most complex lead capture table, reflecting the 4-step multi-step form on /book-survey. Currently, this form collects extensive customer information and sends it all as a single WhatsApp message with no database persistence. The table stores all form fields across the four steps, generates a unique reference number in the format SI-YYYY-NNNN (e.g., SI-2026-0043), and enables the full lifecycle tracking of a survey booking from initial submission through to completed survey, quote generation, and installation.</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booking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reference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Reference number (SI-2026-0043)</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first_name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Customer first name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last_name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 last name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email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Customer email</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phone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 phone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address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Property address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county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County from 32-county dropdown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property_type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Detached, Semi-Detached, Terraced, Apartment, Bungalow</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roof_type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Pitched Tile, Pitched Slate, Flat, Other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household_size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Number of occupants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current_bill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numeric(8,2)</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Monthly electricity bill in euros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interests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DEFAULT '{}'</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Solar PV, Battery, EV Charger, Not Sure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preferred_date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date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Selected survey date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preferred_time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Morning (9-12), Afternoon (12-3), Evening (3-5)</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notes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Additional customer notes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'pending'</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pending, confirmed, surveyed, quoted, installed, cancelled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utm_params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Marketing attribution data</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Booking creation timestamp</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updated_at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Last status update</w:t>
            </w:r>
          </w:p>
        </w:tc>
      </w:tr>
    </w:tbl>
    <w:p>
      <w:pPr>
        <w:spacing w:before="60"/>
      </w:pPr>
    </w:p>
    <w:p>
      <w:pPr>
        <w:spacing w:after="120" w:line="312"/>
        <w:jc w:val="both"/>
      </w:pPr>
      <w:r>
        <w:rPr>
          <w:rFonts w:ascii="Calibri"/>
          <w:color w:val="1A2B40"/>
          <w:sz w:val="22"/>
          <w:szCs w:val="22"/>
        </w:rPr>
        <w:t xml:space="preserve">The reference number is generated by an Edge Function using a sequence pattern. The function queries the current year's count and increments, formatting the result as SI-YYYY-NNNN. This reference serves as the customer's portal access key and appears on all correspondence, quote documents, and installation timelines.</w:t>
      </w:r>
    </w:p>
    <w:p>
      <w:pPr>
        <w:pStyle w:val="Heading2"/>
        <w:spacing w:after="160" w:before="360" w:line="312"/>
      </w:pPr>
      <w:bookmarkStart w:id="100010" w:name="_Toc100010"/>
      <w:r>
        <w:rPr>
          <w:rFonts w:ascii="Times New Roman"/>
          <w:b/>
          <w:bCs/>
          <w:color w:val="0A1628"/>
          <w:sz w:val="28"/>
          <w:szCs w:val="28"/>
        </w:rPr>
        <w:t xml:space="preserve">4.3 bill_analyses</w:t>
      </w:r>
      <w:bookmarkEnd w:id="100010"/>
    </w:p>
    <w:p>
      <w:pPr>
        <w:spacing w:after="120" w:line="312"/>
        <w:jc w:val="both"/>
      </w:pPr>
      <w:r>
        <w:rPr>
          <w:rFonts w:ascii="Calibri"/>
          <w:color w:val="1A2B40"/>
          <w:sz w:val="22"/>
          <w:szCs w:val="22"/>
        </w:rPr>
        <w:t xml:space="preserve">The bill_analyses table stores the complete output of the AI-powered BillAnalyser component, which accepts either an uploaded electricity bill image (analysed via the ZAI vision API) or manually entered data (monthly bill, annual usage, home type, provider). The current /api/analyse-bill endpoint performs sophisticated financial analysis including system sizing recommendations, SEAI grant calculations, annual savings projections, payback period estimates, 25-year total savings forecasts, and CO2 reduction estimates, but saves absolutely nothing to any database.</w:t>
      </w:r>
    </w:p>
    <w:p>
      <w:pPr>
        <w:spacing w:after="120" w:line="312"/>
        <w:jc w:val="both"/>
      </w:pPr>
      <w:r>
        <w:rPr>
          <w:rFonts w:ascii="Calibri"/>
          <w:color w:val="1A2B40"/>
          <w:sz w:val="22"/>
          <w:szCs w:val="22"/>
        </w:rPr>
        <w:t xml:space="preserve">Storing bill analyses serves two purposes: first, it creates a lead capture opportunity even for users who do not complete a full survey booking, as every bill analysis records the user's contact details and energy profile; second, it enables the sales team to follow up with personalised proposals based on the specific financial analysis that the user has already seen, dramatically increasing conversion rates compared to generic follow-ups.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analysis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session_id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Browser session identifier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email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User email (if provided)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provider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Electricity provider (ESB, SSE, etc.)</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monthly_bill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numeric(8,2)</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Monthly electricity bill</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annual_usage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Annual kWh consumption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home_type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Apartment, Semi-Detached, Detached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unit_rate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numeric(6,4)</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Per-kWh rate extracted or calculated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standing_charge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numeric(6,2)</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Daily standing charge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mode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upload (AI scan) or manual</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analysis_result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analysis output: savings, payback, recommendations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'/solar-calculator'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Where analysis was initiated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utm_params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Marketing attribution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Analysis timestamp</w:t>
            </w:r>
          </w:p>
        </w:tc>
      </w:tr>
    </w:tbl>
    <w:p>
      <w:pPr>
        <w:pStyle w:val="Heading2"/>
        <w:spacing w:after="160" w:before="360" w:line="312"/>
      </w:pPr>
      <w:bookmarkStart w:id="100011" w:name="_Toc100011"/>
      <w:r>
        <w:rPr>
          <w:rFonts w:ascii="Times New Roman"/>
          <w:b/>
          <w:bCs/>
          <w:color w:val="0A1628"/>
          <w:sz w:val="28"/>
          <w:szCs w:val="28"/>
        </w:rPr>
        <w:t xml:space="preserve">4.4 lead_sources</w:t>
      </w:r>
      <w:bookmarkEnd w:id="100011"/>
    </w:p>
    <w:p>
      <w:pPr>
        <w:spacing w:after="120" w:line="312"/>
        <w:jc w:val="both"/>
      </w:pPr>
      <w:r>
        <w:rPr>
          <w:rFonts w:ascii="Calibri"/>
          <w:color w:val="1A2B40"/>
          <w:sz w:val="22"/>
          <w:szCs w:val="22"/>
        </w:rPr>
        <w:t xml:space="preserve">The lead_sources table provides unified marketing attribution across all lead entry points. Every form submission, survey booking, bill analysis, and WhatsApp redirect records a row in this table with the full UTM parameter set and the specific interaction that triggered the lead. This enables the marketing team to build conversion funnels by channel, calculate return on ad spend, and identify which pages and CTAs are most effective at generating qualified leads.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event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source_type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contact, survey, calculator, bill_analyser, exit_intent, whatsapp, newsletter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URL path where lead originated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related_id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FK to contact_submissions, survey_bookings, or bill_analyses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utm_source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 source (google, facebook, instagram, etc.)</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utm_medium</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 medium (cpc, organic, social, etc.)</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utm_campaign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 campaign name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utm_content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 content variant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utm_term</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 keyword term</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converted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false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Whether this lead resulted in a booking</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Event timestamp</w:t>
            </w:r>
          </w:p>
        </w:tc>
      </w:tr>
    </w:tbl>
    <w:p>
      <w:pPr>
        <w:pStyle w:val="Heading1"/>
        <w:spacing w:after="200" w:before="480" w:line="312"/>
      </w:pPr>
      <w:bookmarkStart w:id="100012" w:name="_Toc100012"/>
      <w:r>
        <w:rPr>
          <w:rFonts w:ascii="Times New Roman"/>
          <w:b/>
          <w:bCs/>
          <w:color w:val="0A1628"/>
          <w:sz w:val="36"/>
          <w:szCs w:val="36"/>
        </w:rPr>
        <w:t xml:space="preserve">5. Content Management System</w:t>
      </w:r>
      <w:bookmarkEnd w:id="100012"/>
    </w:p>
    <w:p>
      <w:pPr>
        <w:spacing w:after="120" w:line="312"/>
        <w:jc w:val="both"/>
      </w:pPr>
      <w:r>
        <w:rPr>
          <w:rFonts w:ascii="Calibri"/>
          <w:color w:val="1A2B40"/>
          <w:sz w:val="22"/>
          <w:szCs w:val="22"/>
        </w:rPr>
        <w:t xml:space="preserve">The Content Management System (CMS) tables replace the current hardcoded content scattered across multiple TypeScript files. Currently, blog articles are defined in a 1000+ line blog-data.ts file, county data is embedded directly in the CountiesClient component as a 32-entry array, and site-wide configuration such as grant amounts, savings figures, and contact details lives in solar-data.ts. Moving all of this into database tables enables non-technical team members to update content through a future admin panel, blog articles can be authored and published without code changes, and county-specific information can be maintained as coverage expands.</w:t>
      </w:r>
    </w:p>
    <w:p>
      <w:pPr>
        <w:spacing w:after="120" w:line="312"/>
        <w:jc w:val="both"/>
      </w:pPr>
      <w:r>
        <w:rPr>
          <w:rFonts w:ascii="Calibri"/>
          <w:color w:val="1A2B40"/>
          <w:sz w:val="22"/>
          <w:szCs w:val="22"/>
        </w:rPr>
        <w:t xml:space="preserve">The blog system uses a two-table design: blog_posts stores the metadata (title, slug, category, author, featured flag, status) while blog_content_sections stores the structured content blocks that make up each article. This separation allows the same article rendering engine to work regardless of whether content comes from the database or, during migration, from the existing TypeScript data. Each content section has a type (paragraph, heading, callout, bulletList, numberedList, table, divider, cta) and a sort order, enabling rich article layouts without requiring a full WYSIWYG editor.</w:t>
      </w:r>
    </w:p>
    <w:p>
      <w:pPr>
        <w:pStyle w:val="Heading2"/>
        <w:spacing w:after="160" w:before="360" w:line="312"/>
      </w:pPr>
      <w:bookmarkStart w:id="100013" w:name="_Toc100013"/>
      <w:r>
        <w:rPr>
          <w:rFonts w:ascii="Times New Roman"/>
          <w:b/>
          <w:bCs/>
          <w:color w:val="0A1628"/>
          <w:sz w:val="28"/>
          <w:szCs w:val="28"/>
        </w:rPr>
        <w:t xml:space="preserve">5.1 blog_posts</w:t>
      </w:r>
      <w:bookmarkEnd w:id="100013"/>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post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slug</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URL-friendly identifier (e.g., 'seai-grant-guide-2026')</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title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Article title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excerpt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Short summary for listing pages (150-200 chars)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category_id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FK -&gt; blog_categories(id)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Article category</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author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DEFAULT 'Solar Ireland Team'</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Author display name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image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Cover image path in Storage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featured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false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Show in featured section on blog page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read_time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Estimated reading time in minutes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'draft'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draft, published, archived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published_at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When article was published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Creation timestamp</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updated_at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Last update timestamp</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deleted_at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Soft delete timestamp</w:t>
            </w:r>
          </w:p>
        </w:tc>
      </w:tr>
    </w:tbl>
    <w:p>
      <w:pPr>
        <w:pStyle w:val="Heading2"/>
        <w:spacing w:after="160" w:before="360" w:line="312"/>
      </w:pPr>
      <w:bookmarkStart w:id="100014" w:name="_Toc100014"/>
      <w:r>
        <w:rPr>
          <w:rFonts w:ascii="Times New Roman"/>
          <w:b/>
          <w:bCs/>
          <w:color w:val="0A1628"/>
          <w:sz w:val="28"/>
          <w:szCs w:val="28"/>
        </w:rPr>
        <w:t xml:space="preserve">5.2 blog_content_sections</w:t>
      </w:r>
      <w:bookmarkEnd w:id="100014"/>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section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post_id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FK -&gt; blog_posts(id), ON DELETE CASCADE, 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Parent article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sort_order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Display order within article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type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paragraph, heading, callout, bulletList, numberedList, table, divider, cta</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level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2</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Heading level (2-4) for heading type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Primary text content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body</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Secondary text (e.g., callout body, CTA description)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items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Array for bullet/numbered list items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href</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Link URL for CTA type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metadata</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Additional data (table headers, image alt, etc.)</w:t>
            </w:r>
          </w:p>
        </w:tc>
      </w:tr>
    </w:tbl>
    <w:p>
      <w:pPr>
        <w:pStyle w:val="Heading2"/>
        <w:spacing w:after="160" w:before="360" w:line="312"/>
      </w:pPr>
      <w:bookmarkStart w:id="100015" w:name="_Toc100015"/>
      <w:r>
        <w:rPr>
          <w:rFonts w:ascii="Times New Roman"/>
          <w:b/>
          <w:bCs/>
          <w:color w:val="0A1628"/>
          <w:sz w:val="28"/>
          <w:szCs w:val="28"/>
        </w:rPr>
        <w:t xml:space="preserve">5.3 blog_categories</w:t>
      </w:r>
      <w:bookmarkEnd w:id="100015"/>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category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Display name (Grants, Guides, News, etc.)</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slug</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URL-friendly identifier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icon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Icon name or emoji</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sort_order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0</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Display order on blog page</w:t>
            </w:r>
          </w:p>
        </w:tc>
      </w:tr>
    </w:tbl>
    <w:p>
      <w:pPr>
        <w:pStyle w:val="Heading2"/>
        <w:spacing w:after="160" w:before="360" w:line="312"/>
      </w:pPr>
      <w:bookmarkStart w:id="100016" w:name="_Toc100016"/>
      <w:r>
        <w:rPr>
          <w:rFonts w:ascii="Times New Roman"/>
          <w:b/>
          <w:bCs/>
          <w:color w:val="0A1628"/>
          <w:sz w:val="28"/>
          <w:szCs w:val="28"/>
        </w:rPr>
        <w:t xml:space="preserve">5.4 counties</w:t>
      </w:r>
      <w:bookmarkEnd w:id="100016"/>
    </w:p>
    <w:p>
      <w:pPr>
        <w:spacing w:after="120" w:line="312"/>
        <w:jc w:val="both"/>
      </w:pPr>
      <w:r>
        <w:rPr>
          <w:rFonts w:ascii="Calibri"/>
          <w:color w:val="1A2B40"/>
          <w:sz w:val="22"/>
          <w:szCs w:val="22"/>
        </w:rPr>
        <w:t xml:space="preserve">The counties table replaces the hardcoded 32-entry array currently embedded in the CountiesClient component. Each county record stores its name, province (Leinster, Munster, Ulster, Connacht), availability status (active or coming-soon), estimated pricing range, generation capacity data, population, and marketing tagline. This enables the coverage map on /counties to be updated as Solar Ireland expands into new areas, and the pricing data to be adjusted without modifying component code.</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county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County name (e.g., 'Meath')</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slug</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URL slug (e.g., 'meath')</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province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Leinster, Munster, Ulster, Connacht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domain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County-specific domain if applicable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'coming-soon'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active, coming-soon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cost_min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numeric(8,2)</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Minimum system cost estimate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cost_max</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numeric(8,2)</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Maximum system cost estimate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generation_kwh</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Avg annual kWh generation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population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County population for context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tagline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Marketing tagline for county card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meta_description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SEO meta description for county page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image_url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Hero image for county page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sort_order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0</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Display order</w:t>
            </w:r>
          </w:p>
        </w:tc>
      </w:tr>
    </w:tbl>
    <w:p>
      <w:pPr>
        <w:pStyle w:val="Heading2"/>
        <w:spacing w:after="160" w:before="360" w:line="312"/>
      </w:pPr>
      <w:bookmarkStart w:id="100017" w:name="_Toc100017"/>
      <w:r>
        <w:rPr>
          <w:rFonts w:ascii="Times New Roman"/>
          <w:b/>
          <w:bCs/>
          <w:color w:val="0A1628"/>
          <w:sz w:val="28"/>
          <w:szCs w:val="28"/>
        </w:rPr>
        <w:t xml:space="preserve">5.5 site_settings</w:t>
      </w:r>
      <w:bookmarkEnd w:id="100017"/>
    </w:p>
    <w:p>
      <w:pPr>
        <w:spacing w:after="120" w:line="312"/>
        <w:jc w:val="both"/>
      </w:pPr>
      <w:r>
        <w:rPr>
          <w:rFonts w:ascii="Calibri"/>
          <w:color w:val="1A2B40"/>
          <w:sz w:val="22"/>
          <w:szCs w:val="22"/>
        </w:rPr>
        <w:t xml:space="preserve">The site_settings table implements a key-value store for all global configuration values currently hardcoded in solar-data.ts. This includes grant amounts, savings figures, export rates, system specifications, provider contact details, social media links, and stat counters. Using a key-value approach rather than a fixed schema allows new settings to be added without database migrations, and the JSONB value type supports both simple values and complex nested objects.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setting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key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Setting key (e.g., 'grant_amount', 'export_rate')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value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Setting value (string, number, object, or array)</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category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grant, savings, export, system, provider, social, stats, certification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description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Human-readable description of the setting</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updated_at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Last modification timestamp</w:t>
            </w:r>
          </w:p>
        </w:tc>
      </w:tr>
    </w:tbl>
    <w:p>
      <w:pPr>
        <w:pStyle w:val="Heading1"/>
        <w:spacing w:after="200" w:before="480" w:line="312"/>
      </w:pPr>
      <w:bookmarkStart w:id="100018" w:name="_Toc100018"/>
      <w:r>
        <w:rPr>
          <w:rFonts w:ascii="Times New Roman"/>
          <w:b/>
          <w:bCs/>
          <w:color w:val="0A1628"/>
          <w:sz w:val="36"/>
          <w:szCs w:val="36"/>
        </w:rPr>
        <w:t xml:space="preserve">6. Service &amp; Pricing Configuration</w:t>
      </w:r>
      <w:bookmarkEnd w:id="100018"/>
    </w:p>
    <w:p>
      <w:pPr>
        <w:spacing w:after="120" w:line="312"/>
        <w:jc w:val="both"/>
      </w:pPr>
      <w:r>
        <w:rPr>
          <w:rFonts w:ascii="Calibri"/>
          <w:color w:val="1A2B40"/>
          <w:sz w:val="22"/>
          <w:szCs w:val="22"/>
        </w:rPr>
        <w:t xml:space="preserve">The service and pricing configuration tables manage the three core service offerings (Solar PV, Battery Storage, EV Charging), the tiered pricing packages shown on the /services page (Essential at EUR 4,500, Popular at EUR 6,500, Premium at EUR 9,500), the financing options displayed on /financing, customer testimonials used across multiple pages, and the team member profiles on the /about page. Currently all of this data is hardcoded in component files, making updates require code changes and deployments.</w:t>
      </w:r>
    </w:p>
    <w:p>
      <w:pPr>
        <w:pStyle w:val="Heading2"/>
        <w:spacing w:after="160" w:before="360" w:line="312"/>
      </w:pPr>
      <w:bookmarkStart w:id="100019" w:name="_Toc100019"/>
      <w:r>
        <w:rPr>
          <w:rFonts w:ascii="Times New Roman"/>
          <w:b/>
          <w:bCs/>
          <w:color w:val="0A1628"/>
          <w:sz w:val="28"/>
          <w:szCs w:val="28"/>
        </w:rPr>
        <w:t xml:space="preserve">6.1 service_packages</w:t>
      </w:r>
      <w:bookmarkEnd w:id="100019"/>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package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Package name (Essential, Popular, Premium)</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tier identifier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price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numeric(8,2)</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Package price in euros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system_size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System size (e.g., '4kWp', '6kWp', '10kWp')</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panel_count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Number of panels included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inverter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Inverter specification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monitoring</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true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System monitoring included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features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DEFAULT '[]'</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Array of feature strings for comparison table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highlighted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false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Show as recommended / most popular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sort_order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0</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Display order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active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true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Currently available for purchase</w:t>
            </w:r>
          </w:p>
        </w:tc>
      </w:tr>
    </w:tbl>
    <w:p>
      <w:pPr>
        <w:pStyle w:val="Heading2"/>
        <w:spacing w:after="160" w:before="360" w:line="312"/>
      </w:pPr>
      <w:bookmarkStart w:id="100020" w:name="_Toc100020"/>
      <w:r>
        <w:rPr>
          <w:rFonts w:ascii="Times New Roman"/>
          <w:b/>
          <w:bCs/>
          <w:color w:val="0A1628"/>
          <w:sz w:val="28"/>
          <w:szCs w:val="28"/>
        </w:rPr>
        <w:t xml:space="preserve">6.2 testimonials</w:t>
      </w:r>
      <w:bookmarkEnd w:id="100020"/>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testimonial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 name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location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County or town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rating</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CHECK (rating BETWEEN 1 AND 5)</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Star rating</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Testimonial content</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system</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System installed (e.g., '6kWp Solar PV + Battery')</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is_active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true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Show on website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When testimonial was added</w:t>
            </w:r>
          </w:p>
        </w:tc>
      </w:tr>
    </w:tbl>
    <w:p>
      <w:pPr>
        <w:pStyle w:val="Heading2"/>
        <w:spacing w:after="160" w:before="360" w:line="312"/>
      </w:pPr>
      <w:bookmarkStart w:id="100021" w:name="_Toc100021"/>
      <w:r>
        <w:rPr>
          <w:rFonts w:ascii="Times New Roman"/>
          <w:b/>
          <w:bCs/>
          <w:color w:val="0A1628"/>
          <w:sz w:val="28"/>
          <w:szCs w:val="28"/>
        </w:rPr>
        <w:t xml:space="preserve">6.3 team_members</w:t>
      </w:r>
      <w:bookmarkEnd w:id="100021"/>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member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name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role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Job title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bio</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Short biography</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initials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Display initials for avatar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image_url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Photo URL in Storage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sort_order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0</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Display order on about page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active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true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Currently displayed</w:t>
            </w:r>
          </w:p>
        </w:tc>
      </w:tr>
    </w:tbl>
    <w:p>
      <w:pPr>
        <w:pStyle w:val="Heading1"/>
        <w:spacing w:after="200" w:before="480" w:line="312"/>
      </w:pPr>
      <w:bookmarkStart w:id="100022" w:name="_Toc100022"/>
      <w:r>
        <w:rPr>
          <w:rFonts w:ascii="Times New Roman"/>
          <w:b/>
          <w:bCs/>
          <w:color w:val="0A1628"/>
          <w:sz w:val="36"/>
          <w:szCs w:val="36"/>
        </w:rPr>
        <w:t xml:space="preserve">7. Customer Portal</w:t>
      </w:r>
      <w:bookmarkEnd w:id="100022"/>
    </w:p>
    <w:p>
      <w:pPr>
        <w:spacing w:after="120" w:line="312"/>
        <w:jc w:val="both"/>
      </w:pPr>
      <w:r>
        <w:rPr>
          <w:rFonts w:ascii="Calibri"/>
          <w:color w:val="1A2B40"/>
          <w:sz w:val="22"/>
          <w:szCs w:val="22"/>
        </w:rPr>
        <w:t xml:space="preserve">The Customer Portal is the most technically demanding domain in the entire schema, as it requires authentication, per-customer data isolation, real-time updates, file storage for documents, and a complex state machine for installation progress tracking. Currently, the portal at /portal/[reference] renders entirely hardcoded demo data: the installation timeline shows 11 fixed steps, the documents tab lists 5 hardcoded files, the notifications tab shows 3 static alerts, and the reference number lookup accepts any input without validation.</w:t>
      </w:r>
    </w:p>
    <w:p>
      <w:pPr>
        <w:spacing w:after="120" w:line="312"/>
        <w:jc w:val="both"/>
      </w:pPr>
      <w:r>
        <w:rPr>
          <w:rFonts w:ascii="Calibri"/>
          <w:color w:val="1A2B40"/>
          <w:sz w:val="22"/>
          <w:szCs w:val="22"/>
        </w:rPr>
        <w:t xml:space="preserve">The real portal implementation requires five interconnected tables. The customers table stores each customer's personal details and links them to their Supabase auth profile. The installations table records the complete installation lifecycle with a status field that progresses through defined stages. The installation_steps table serves as a template defining all possible steps, while each installation's actual step records are stored as rows in the installations table. The documents table provides a secure file management system for survey reports, quotes, grant applications, and completion certificates. The notifications table delivers real-time project updates to customers via the portal dashboard.</w:t>
      </w:r>
    </w:p>
    <w:p>
      <w:pPr>
        <w:pStyle w:val="Heading2"/>
        <w:spacing w:after="160" w:before="360" w:line="312"/>
      </w:pPr>
      <w:bookmarkStart w:id="100023" w:name="_Toc100023"/>
      <w:r>
        <w:rPr>
          <w:rFonts w:ascii="Times New Roman"/>
          <w:b/>
          <w:bCs/>
          <w:color w:val="0A1628"/>
          <w:sz w:val="28"/>
          <w:szCs w:val="28"/>
        </w:rPr>
        <w:t xml:space="preserve">7.1 customers</w:t>
      </w:r>
      <w:bookmarkEnd w:id="100023"/>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customer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profile_id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FK -&gt; profiles(id), 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Linked auth profile (created on portal signup)</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reference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Portal reference number (SI-2026-0043)</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first_name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 first name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last_name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Customer last name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email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 email</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phone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Customer phone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address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Installation address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county</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County</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system_size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Installed system size (e.g., '6kWp')</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panel_count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Number of panels installed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inverter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Inverter model</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battery</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Battery specification if applicable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project_manager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Assigned project manager name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'enquiry'</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enquiry, survey_booked, surveyed, quoted, deposit_paid, installation_scheduled, installing, installed, grant_submitted, grant_approved, generating</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Record creation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updated_at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Last status change</w:t>
            </w:r>
          </w:p>
        </w:tc>
      </w:tr>
    </w:tbl>
    <w:p>
      <w:pPr>
        <w:pStyle w:val="Heading2"/>
        <w:spacing w:after="160" w:before="360" w:line="312"/>
      </w:pPr>
      <w:bookmarkStart w:id="100024" w:name="_Toc100024"/>
      <w:r>
        <w:rPr>
          <w:rFonts w:ascii="Times New Roman"/>
          <w:b/>
          <w:bCs/>
          <w:color w:val="0A1628"/>
          <w:sz w:val="28"/>
          <w:szCs w:val="28"/>
        </w:rPr>
        <w:t xml:space="preserve">7.2 installations (Installation Steps per Customer)</w:t>
      </w:r>
      <w:bookmarkEnd w:id="100024"/>
    </w:p>
    <w:p>
      <w:pPr>
        <w:spacing w:after="120" w:line="312"/>
        <w:jc w:val="both"/>
      </w:pPr>
      <w:r>
        <w:rPr>
          <w:rFonts w:ascii="Calibri"/>
          <w:color w:val="1A2B40"/>
          <w:sz w:val="22"/>
          <w:szCs w:val="22"/>
        </w:rPr>
        <w:t xml:space="preserve">Rather than a separate installations table, the installation progress is tracked through a customer_installation_steps join table that links customers to the template steps defined in installation_steps. Each row represents the current status of a specific step for a specific customer's installation, including timestamps for when the step started and completed, and optional notes from the project manager.</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record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FK -&gt; customers(id), ON DELETE CASCADE, 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 reference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step_number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Step order (1-11)</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title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Step title (Enquiry Received, Survey Completed, etc.)</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description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Step description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'upcoming'</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completed, in_progress, upcoming</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started_at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When step began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completed_at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When step finished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PM notes for customer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icon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Icon identifier for display</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Constraint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UNIQUE(customer_id, step_number)</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Prevents duplicate steps per customer</w:t>
            </w:r>
          </w:p>
        </w:tc>
      </w:tr>
    </w:tbl>
    <w:p>
      <w:pPr>
        <w:pStyle w:val="Heading2"/>
        <w:spacing w:after="160" w:before="360" w:line="312"/>
      </w:pPr>
      <w:bookmarkStart w:id="100025" w:name="_Toc100025"/>
      <w:r>
        <w:rPr>
          <w:rFonts w:ascii="Times New Roman"/>
          <w:b/>
          <w:bCs/>
          <w:color w:val="0A1628"/>
          <w:sz w:val="28"/>
          <w:szCs w:val="28"/>
        </w:rPr>
        <w:t xml:space="preserve">7.3 documents</w:t>
      </w:r>
      <w:bookmarkEnd w:id="100025"/>
    </w:p>
    <w:p>
      <w:pPr>
        <w:spacing w:after="120" w:line="312"/>
        <w:jc w:val="both"/>
      </w:pPr>
      <w:r>
        <w:rPr>
          <w:rFonts w:ascii="Calibri"/>
          <w:color w:val="1A2B40"/>
          <w:sz w:val="22"/>
          <w:szCs w:val="22"/>
        </w:rPr>
        <w:t xml:space="preserve">The documents table manages the five document types currently hardcoded in the portal: Survey Report, Itemised Quote, SEAI Grant Application, Grant Offer Letter, and Completion Certificate. Each document is stored in Supabase Storage with authenticated access, and the table tracks whether the document is available for download, pending generation, or requires customer action (such as signing the grant application). The RLS policy ensures customers can only access their own documents.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document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FK -&gt; customers(id), ON DELETE CASCADE, 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Owning customer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name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Document display name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type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survey_report, quote, grant_application, grant_offer, completion_certificate, other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file_path</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Storage bucket path</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file_size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bigint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File size in bytes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mime_type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MIME type (application/pdf, etc.)</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'pending'</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pending, available, requires_action, expired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description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Additional context for customer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Upload/generated timestamp</w:t>
            </w:r>
          </w:p>
        </w:tc>
      </w:tr>
    </w:tbl>
    <w:p>
      <w:pPr>
        <w:pStyle w:val="Heading2"/>
        <w:spacing w:after="160" w:before="360" w:line="312"/>
      </w:pPr>
      <w:bookmarkStart w:id="100026" w:name="_Toc100026"/>
      <w:r>
        <w:rPr>
          <w:rFonts w:ascii="Times New Roman"/>
          <w:b/>
          <w:bCs/>
          <w:color w:val="0A1628"/>
          <w:sz w:val="28"/>
          <w:szCs w:val="28"/>
        </w:rPr>
        <w:t xml:space="preserve">7.4 notifications</w:t>
      </w:r>
      <w:bookmarkEnd w:id="100026"/>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notification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FK -&gt; customers(id), ON DELETE CASCADE, 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Target customer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title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Notification title</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message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Notification body</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type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'info'</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info, success, warning, action_required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read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boolean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false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 has read this notification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action_url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Link to relevant page or document</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When notification was created</w:t>
            </w:r>
          </w:p>
        </w:tc>
      </w:tr>
    </w:tbl>
    <w:p>
      <w:pPr>
        <w:pStyle w:val="Heading2"/>
        <w:spacing w:after="160" w:before="360" w:line="312"/>
      </w:pPr>
      <w:bookmarkStart w:id="100027" w:name="_Toc100027"/>
      <w:r>
        <w:rPr>
          <w:rFonts w:ascii="Times New Roman"/>
          <w:b/>
          <w:bCs/>
          <w:color w:val="0A1628"/>
          <w:sz w:val="28"/>
          <w:szCs w:val="28"/>
        </w:rPr>
        <w:t xml:space="preserve">7.5 Portal Access Flow</w:t>
      </w:r>
      <w:bookmarkEnd w:id="100027"/>
    </w:p>
    <w:p>
      <w:pPr>
        <w:spacing w:after="120" w:line="312"/>
        <w:jc w:val="both"/>
      </w:pPr>
      <w:r>
        <w:rPr>
          <w:rFonts w:ascii="Calibri"/>
          <w:color w:val="1A2B40"/>
          <w:sz w:val="22"/>
          <w:szCs w:val="22"/>
        </w:rPr>
        <w:t xml:space="preserve">The portal access flow works as follows. A customer who has booked a survey receives a reference number (e.g., SI-2026-0043) via email and WhatsApp confirmation. They visit /portal and enter this reference number. The frontend calls an Edge Function that validates the reference against the customers table, and if valid, creates or links a Supabase auth account using the customer's email on file, sending a magic link for passwordless login. Once authenticated, the customer's portal dashboard loads their installation timeline, documents, and notifications from the database, with real-time subscriptions enabled for live updates.</w:t>
      </w:r>
    </w:p>
    <w:p>
      <w:pPr>
        <w:spacing w:after="120" w:line="312"/>
        <w:jc w:val="both"/>
      </w:pPr>
      <w:r>
        <w:rPr>
          <w:rFonts w:ascii="Calibri"/>
          <w:color w:val="1A2B40"/>
          <w:sz w:val="22"/>
          <w:szCs w:val="22"/>
        </w:rPr>
        <w:t xml:space="preserve">An important security consideration is that the reference number alone should never grant full database access. The Edge Function that handles reference validation operates with elevated service_role permissions to look up the customer record, but the actual portal session is established through standard Supabase auth with a JWT token scoped to that specific customer's data via RLS policies. This two-step process ensures that even if a reference number is leaked, the attacker cannot access the portal without also having access to the customer's email account.</w:t>
      </w:r>
    </w:p>
    <w:p>
      <w:pPr>
        <w:pStyle w:val="Heading1"/>
        <w:spacing w:after="200" w:before="480" w:line="312"/>
      </w:pPr>
      <w:bookmarkStart w:id="100028" w:name="_Toc100028"/>
      <w:r>
        <w:rPr>
          <w:rFonts w:ascii="Times New Roman"/>
          <w:b/>
          <w:bCs/>
          <w:color w:val="0A1628"/>
          <w:sz w:val="36"/>
          <w:szCs w:val="36"/>
        </w:rPr>
        <w:t xml:space="preserve">8. Analytics &amp; GDPR Compliance</w:t>
      </w:r>
      <w:bookmarkEnd w:id="100028"/>
    </w:p>
    <w:p>
      <w:pPr>
        <w:spacing w:after="120" w:line="312"/>
        <w:jc w:val="both"/>
      </w:pPr>
      <w:r>
        <w:rPr>
          <w:rFonts w:ascii="Calibri"/>
          <w:color w:val="1A2B40"/>
          <w:sz w:val="22"/>
          <w:szCs w:val="22"/>
        </w:rPr>
        <w:t xml:space="preserve">The analytics and GDPR compliance tables address the legal requirements of operating a website that serves European users, as well as providing the marketing intelligence needed to optimise Solar Ireland's online presence. Ireland's Data Protection Commission (DPC) is the supervisory authority under GDPR, and non-compliance can result in fines of up to EUR 20 million or 4% of annual global turnover, making robust data handling a business-critical requirement rather than just a best practice.</w:t>
      </w:r>
    </w:p>
    <w:p>
      <w:pPr>
        <w:spacing w:after="120" w:line="312"/>
        <w:jc w:val="both"/>
      </w:pPr>
      <w:r>
        <w:rPr>
          <w:rFonts w:ascii="Calibri"/>
          <w:color w:val="1A2B40"/>
          <w:sz w:val="22"/>
          <w:szCs w:val="22"/>
        </w:rPr>
        <w:t xml:space="preserve">The current website stores cookie consent in localStorage, which provides no server-side record and cannot be used to demonstrate compliance during a DPC audit. The newsletter signup on the blog page is entirely fake, setting a client-side flag that resets after 4 seconds with no actual email capture. The exit intent popup tracks triggers in sessionStorage but records no conversions. All of these gaps are addressed by the following tables.</w:t>
      </w:r>
    </w:p>
    <w:p>
      <w:pPr>
        <w:pStyle w:val="Heading2"/>
        <w:spacing w:after="160" w:before="360" w:line="312"/>
      </w:pPr>
      <w:bookmarkStart w:id="100029" w:name="_Toc100029"/>
      <w:r>
        <w:rPr>
          <w:rFonts w:ascii="Times New Roman"/>
          <w:b/>
          <w:bCs/>
          <w:color w:val="0A1628"/>
          <w:sz w:val="28"/>
          <w:szCs w:val="28"/>
        </w:rPr>
        <w:t xml:space="preserve">8.1 cookie_consent_records</w:t>
      </w:r>
      <w:bookmarkEnd w:id="100029"/>
    </w:p>
    <w:p>
      <w:pPr>
        <w:spacing w:after="120" w:line="312"/>
        <w:jc w:val="both"/>
      </w:pPr>
      <w:r>
        <w:rPr>
          <w:rFonts w:ascii="Calibri"/>
          <w:color w:val="1A2B40"/>
          <w:sz w:val="22"/>
          <w:szCs w:val="22"/>
        </w:rPr>
        <w:t xml:space="preserve">Every time a visitor interacts with the CookieConsent banner (accepting all, rejecting non-essential, or customising categories), a record is written to this table with the full consent state, timestamp, and browser fingerprint. This provides an immutable audit trail that can be produced during a DPC audit to demonstrate when and how each user provided consent. Records include the user agent string for context but do not store IP addresses directly, in line with the principle of data minimisation.</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consent record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session_id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Browser session fingerprint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consent_state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 necessary: true, analytics: bool, marketing: bool }</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Page where consent was given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user_agent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Browser user agent</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Consent timestamp</w:t>
            </w:r>
          </w:p>
        </w:tc>
      </w:tr>
    </w:tbl>
    <w:p>
      <w:pPr>
        <w:pStyle w:val="Heading2"/>
        <w:spacing w:after="160" w:before="360" w:line="312"/>
      </w:pPr>
      <w:bookmarkStart w:id="100030" w:name="_Toc100030"/>
      <w:r>
        <w:rPr>
          <w:rFonts w:ascii="Times New Roman"/>
          <w:b/>
          <w:bCs/>
          <w:color w:val="0A1628"/>
          <w:sz w:val="28"/>
          <w:szCs w:val="28"/>
        </w:rPr>
        <w:t xml:space="preserve">8.2 newsletter_subscriptions</w:t>
      </w:r>
      <w:bookmarkEnd w:id="100030"/>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subscription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email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 UNIQUE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Subscriber email address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blog-listing or blog-post</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status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'active'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active, unsubscribed, bounced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subscribed_at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Initial subscription timestamp</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unsubscribed_at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When user unsubscribed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utm_params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Attribution data</w:t>
            </w:r>
          </w:p>
        </w:tc>
      </w:tr>
    </w:tbl>
    <w:p>
      <w:pPr>
        <w:pStyle w:val="Heading2"/>
        <w:spacing w:after="160" w:before="360" w:line="312"/>
      </w:pPr>
      <w:bookmarkStart w:id="100031" w:name="_Toc100031"/>
      <w:r>
        <w:rPr>
          <w:rFonts w:ascii="Times New Roman"/>
          <w:b/>
          <w:bCs/>
          <w:color w:val="0A1628"/>
          <w:sz w:val="28"/>
          <w:szCs w:val="28"/>
        </w:rPr>
        <w:t xml:space="preserve">8.3 exit_intent_conversions</w:t>
      </w:r>
      <w:bookmarkEnd w:id="100031"/>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event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trigger_type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mouse_leave, tab_switch, scroll_back, idle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Page where exit intent triggered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action_taken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whatsapp, calculator, dismissed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session_id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Browser session identifier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Event timestamp</w:t>
            </w:r>
          </w:p>
        </w:tc>
      </w:tr>
    </w:tbl>
    <w:p>
      <w:pPr>
        <w:pStyle w:val="Heading2"/>
        <w:spacing w:after="160" w:before="360" w:line="312"/>
      </w:pPr>
      <w:bookmarkStart w:id="100032" w:name="_Toc100032"/>
      <w:r>
        <w:rPr>
          <w:rFonts w:ascii="Times New Roman"/>
          <w:b/>
          <w:bCs/>
          <w:color w:val="0A1628"/>
          <w:sz w:val="28"/>
          <w:szCs w:val="28"/>
        </w:rPr>
        <w:t xml:space="preserve">8.4 whatsapp_lead_sources</w:t>
      </w:r>
      <w:bookmarkEnd w:id="100032"/>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click event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source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Where the WhatsApp link was clicked (navbar, hero, cta, portal, exit-intent)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page URL</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utm_source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 source parameter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utm_medium</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UTM medium parameter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utm_campaign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UTM campaign parameter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session_id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Browser session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Click timestamp</w:t>
            </w:r>
          </w:p>
        </w:tc>
      </w:tr>
    </w:tbl>
    <w:p>
      <w:pPr>
        <w:pStyle w:val="Heading2"/>
        <w:spacing w:after="160" w:before="360" w:line="312"/>
      </w:pPr>
      <w:bookmarkStart w:id="100033" w:name="_Toc100033"/>
      <w:r>
        <w:rPr>
          <w:rFonts w:ascii="Times New Roman"/>
          <w:b/>
          <w:bCs/>
          <w:color w:val="0A1628"/>
          <w:sz w:val="28"/>
          <w:szCs w:val="28"/>
        </w:rPr>
        <w:t xml:space="preserve">8.5 chat_conversations</w:t>
      </w:r>
      <w:bookmarkEnd w:id="100033"/>
    </w:p>
    <w:p>
      <w:pPr>
        <w:spacing w:after="120" w:line="312"/>
        <w:jc w:val="both"/>
      </w:pPr>
      <w:r>
        <w:rPr>
          <w:rFonts w:ascii="Calibri"/>
          <w:color w:val="1A2B40"/>
          <w:sz w:val="22"/>
          <w:szCs w:val="22"/>
        </w:rPr>
        <w:t xml:space="preserve">The chat_conversations table logs conversations with the AI chatbot accessible through the /api/chat endpoint. While conversation logging is optional, it provides valuable insights into common customer questions, identifies content gaps on the website, and enables the training data for future fine-tuning of the chatbot's solar energy knowledge base. Each conversation record stores the full message array, the page context where the conversation started, and the session identifier.</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Column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Type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Constraints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Description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PK, DEFAULT gen_random_uuid()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Unique conversation ID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session_id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Browser session identifier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messages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jsonb</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 NULL, DEFAULT '[]'</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Array of { role, content } messages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source_page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NOT NULL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Page where chat was initiated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user_agent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text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NULLABLE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Browser info</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message_count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integer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0</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Total messages in conversation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created_at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Conversation start</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updated_at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timestamptz</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DEFAULT now()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Last message timestamp</w:t>
            </w:r>
          </w:p>
        </w:tc>
      </w:tr>
    </w:tbl>
    <w:p>
      <w:pPr>
        <w:pStyle w:val="Heading1"/>
        <w:spacing w:after="200" w:before="480" w:line="312"/>
      </w:pPr>
      <w:bookmarkStart w:id="100034" w:name="_Toc100034"/>
      <w:r>
        <w:rPr>
          <w:rFonts w:ascii="Times New Roman"/>
          <w:b/>
          <w:bCs/>
          <w:color w:val="0A1628"/>
          <w:sz w:val="36"/>
          <w:szCs w:val="36"/>
        </w:rPr>
        <w:t xml:space="preserve">9. Row Level Security Policies</w:t>
      </w:r>
      <w:bookmarkEnd w:id="100034"/>
    </w:p>
    <w:p>
      <w:pPr>
        <w:spacing w:after="120" w:line="312"/>
        <w:jc w:val="both"/>
      </w:pPr>
      <w:r>
        <w:rPr>
          <w:rFonts w:ascii="Calibri"/>
          <w:color w:val="1A2B40"/>
          <w:sz w:val="22"/>
          <w:szCs w:val="22"/>
        </w:rPr>
        <w:t xml:space="preserve">Row Level Security (RLS) is the cornerstone of the Solar Ireland data access model. Every table in the Supabase schema has RLS enabled, and policies are defined for three principal actors: anonymous visitors (the general public browsing the website), authenticated customers (portal users), and administrators (staff managing content and processing leads). The Supabase client automatically includes the user's JWT token in every request, and RLS policies use the auth.uid() and auth.role() functions to make access decisions at the database level.</w:t>
      </w:r>
    </w:p>
    <w:p>
      <w:pPr>
        <w:spacing w:after="120" w:line="312"/>
        <w:jc w:val="both"/>
      </w:pPr>
      <w:r>
        <w:rPr>
          <w:rFonts w:ascii="Calibri"/>
          <w:color w:val="1A2B40"/>
          <w:sz w:val="22"/>
          <w:szCs w:val="22"/>
        </w:rPr>
        <w:t xml:space="preserve">The following table summarises the RLS policies applied across all domains. These policies ensure that public content is readable by all visitors, lead capture forms are insertable by anonymous users, portal data is strictly isolated per-customer, and administrative operations are restricted to users with the admin role in their profiles table.</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Table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Anon (public)</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Authenticated Customer</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Admin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profiles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own row only</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contact_submissions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survey_bookings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own rows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bill_analyses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own sessions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lead_sources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blog_posts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published only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published only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blog_content_sections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(via post)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(via post)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blog_categories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counties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site_settings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service_packages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active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active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testimonials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active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active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team_members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active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active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customers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own row only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customer_installation_steps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 own rows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documents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own files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notifications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SELECT/UPDATE own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cookie_consent_records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newsletter_subscriptions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Full CRUD</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exit_intent_conversions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whatsapp_lead_sources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access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SELECT</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chat_conversations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INSERT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 own sessions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SELECT</w:t>
            </w:r>
          </w:p>
        </w:tc>
      </w:tr>
    </w:tbl>
    <w:p>
      <w:pPr>
        <w:spacing w:before="60"/>
      </w:pPr>
    </w:p>
    <w:p>
      <w:pPr>
        <w:spacing w:after="120" w:line="312"/>
        <w:jc w:val="both"/>
      </w:pPr>
      <w:r>
        <w:rPr>
          <w:rFonts w:ascii="Calibri"/>
          <w:color w:val="1A2B40"/>
          <w:sz w:val="22"/>
          <w:szCs w:val="22"/>
        </w:rPr>
        <w:t xml:space="preserve">Key policy patterns are demonstrated below. The 'own rows' pattern for customer-facing tables uses a subquery joining the profiles table to verify that the authenticated user's ID matches the customer's profile_id. The admin check pattern verifies that the authenticated user has role = 'admin' in their profiles record. These patterns should be applied consistently across all portal tables.</w:t>
      </w:r>
    </w:p>
    <w:p>
      <w:pPr>
        <w:spacing w:after="0" w:before="0" w:line="260"/>
        <w:ind w:left="360"/>
      </w:pPr>
      <w:r>
        <w:rPr>
          <w:rFonts w:ascii="Courier New"/>
          <w:color w:val="2A4A5A"/>
          <w:sz w:val="17"/>
          <w:szCs w:val="17"/>
        </w:rPr>
        <w:t xml:space="preserve">-- Example: Customer can only see their own portal data</w:t>
      </w:r>
    </w:p>
    <w:p>
      <w:pPr>
        <w:spacing w:after="0" w:before="0" w:line="260"/>
        <w:ind w:left="360"/>
      </w:pPr>
      <w:r>
        <w:rPr>
          <w:rFonts w:ascii="Courier New"/>
          <w:color w:val="2A4A5A"/>
          <w:sz w:val="17"/>
          <w:szCs w:val="17"/>
        </w:rPr>
        <w:t xml:space="preserve">CREATE POLICY customers_select_own ON customers</w:t>
      </w:r>
    </w:p>
    <w:p>
      <w:pPr>
        <w:spacing w:after="0" w:before="0" w:line="260"/>
        <w:ind w:left="360"/>
      </w:pPr>
      <w:r>
        <w:rPr>
          <w:rFonts w:ascii="Courier New"/>
          <w:color w:val="2A4A5A"/>
          <w:sz w:val="17"/>
          <w:szCs w:val="17"/>
        </w:rPr>
        <w:t xml:space="preserve">  FOR SELECT USING (</w:t>
      </w:r>
    </w:p>
    <w:p>
      <w:pPr>
        <w:spacing w:after="0" w:before="0" w:line="260"/>
        <w:ind w:left="360"/>
      </w:pPr>
      <w:r>
        <w:rPr>
          <w:rFonts w:ascii="Courier New"/>
          <w:color w:val="2A4A5A"/>
          <w:sz w:val="17"/>
          <w:szCs w:val="17"/>
        </w:rPr>
        <w:t xml:space="preserve">    profile_id = auth.uid()</w:t>
      </w:r>
    </w:p>
    <w:p>
      <w:pPr>
        <w:spacing w:after="0" w:before="0" w:line="260"/>
        <w:ind w:left="360"/>
      </w:pPr>
      <w:r>
        <w:rPr>
          <w:rFonts w:ascii="Courier New"/>
          <w:color w:val="2A4A5A"/>
          <w:sz w:val="17"/>
          <w:szCs w:val="17"/>
        </w:rPr>
        <w:t xml:space="preserve">  );</w:t>
      </w:r>
    </w:p>
    <w:p>
      <w:pPr>
        <w:spacing w:after="0" w:before="0" w:line="260"/>
        <w:ind w:left="360"/>
      </w:pPr>
      <w:r>
        <w:rPr>
          <w:rFonts w:ascii="Courier New"/>
          <w:color w:val="2A4A5A"/>
          <w:sz w:val="17"/>
          <w:szCs w:val="17"/>
        </w:rPr>
        <w:t xml:space="preserve"/>
      </w:r>
    </w:p>
    <w:p>
      <w:pPr>
        <w:spacing w:after="0" w:before="0" w:line="260"/>
        <w:ind w:left="360"/>
      </w:pPr>
      <w:r>
        <w:rPr>
          <w:rFonts w:ascii="Courier New"/>
          <w:color w:val="2A4A5A"/>
          <w:sz w:val="17"/>
          <w:szCs w:val="17"/>
        </w:rPr>
        <w:t xml:space="preserve">-- Example: Only admins can update blog posts</w:t>
      </w:r>
    </w:p>
    <w:p>
      <w:pPr>
        <w:spacing w:after="0" w:before="0" w:line="260"/>
        <w:ind w:left="360"/>
      </w:pPr>
      <w:r>
        <w:rPr>
          <w:rFonts w:ascii="Courier New"/>
          <w:color w:val="2A4A5A"/>
          <w:sz w:val="17"/>
          <w:szCs w:val="17"/>
        </w:rPr>
        <w:t xml:space="preserve">CREATE POLICY blog_admin_update ON blog_posts</w:t>
      </w:r>
    </w:p>
    <w:p>
      <w:pPr>
        <w:spacing w:after="0" w:before="0" w:line="260"/>
        <w:ind w:left="360"/>
      </w:pPr>
      <w:r>
        <w:rPr>
          <w:rFonts w:ascii="Courier New"/>
          <w:color w:val="2A4A5A"/>
          <w:sz w:val="17"/>
          <w:szCs w:val="17"/>
        </w:rPr>
        <w:t xml:space="preserve">  FOR UPDATE USING (</w:t>
      </w:r>
    </w:p>
    <w:p>
      <w:pPr>
        <w:spacing w:after="0" w:before="0" w:line="260"/>
        <w:ind w:left="360"/>
      </w:pPr>
      <w:r>
        <w:rPr>
          <w:rFonts w:ascii="Courier New"/>
          <w:color w:val="2A4A5A"/>
          <w:sz w:val="17"/>
          <w:szCs w:val="17"/>
        </w:rPr>
        <w:t xml:space="preserve">    EXISTS (SELECT 1 FROM profiles WHERE id = auth.uid() AND role = 'admin')</w:t>
      </w:r>
    </w:p>
    <w:p>
      <w:pPr>
        <w:spacing w:after="0" w:before="0" w:line="260"/>
        <w:ind w:left="360"/>
      </w:pPr>
      <w:r>
        <w:rPr>
          <w:rFonts w:ascii="Courier New"/>
          <w:color w:val="2A4A5A"/>
          <w:sz w:val="17"/>
          <w:szCs w:val="17"/>
        </w:rPr>
        <w:t xml:space="preserve">  );</w:t>
      </w:r>
    </w:p>
    <w:p>
      <w:pPr>
        <w:spacing w:after="0" w:before="0" w:line="260"/>
        <w:ind w:left="360"/>
      </w:pPr>
      <w:r>
        <w:rPr>
          <w:rFonts w:ascii="Courier New"/>
          <w:color w:val="2A4A5A"/>
          <w:sz w:val="17"/>
          <w:szCs w:val="17"/>
        </w:rPr>
        <w:t xml:space="preserve"/>
      </w:r>
    </w:p>
    <w:p>
      <w:pPr>
        <w:spacing w:after="0" w:before="0" w:line="260"/>
        <w:ind w:left="360"/>
      </w:pPr>
      <w:r>
        <w:rPr>
          <w:rFonts w:ascii="Courier New"/>
          <w:color w:val="2A4A5A"/>
          <w:sz w:val="17"/>
          <w:szCs w:val="17"/>
        </w:rPr>
        <w:t xml:space="preserve">-- Example: Anyone can insert lead sources (anon or auth)</w:t>
      </w:r>
    </w:p>
    <w:p>
      <w:pPr>
        <w:spacing w:after="0" w:before="0" w:line="260"/>
        <w:ind w:left="360"/>
      </w:pPr>
      <w:r>
        <w:rPr>
          <w:rFonts w:ascii="Courier New"/>
          <w:color w:val="2A4A5A"/>
          <w:sz w:val="17"/>
          <w:szCs w:val="17"/>
        </w:rPr>
        <w:t xml:space="preserve">CREATE POLICY lead_sources_insert ON lead_sources</w:t>
      </w:r>
    </w:p>
    <w:p>
      <w:pPr>
        <w:spacing w:after="0" w:before="0" w:line="260"/>
        <w:ind w:left="360"/>
      </w:pPr>
      <w:r>
        <w:rPr>
          <w:rFonts w:ascii="Courier New"/>
          <w:color w:val="2A4A5A"/>
          <w:sz w:val="17"/>
          <w:szCs w:val="17"/>
        </w:rPr>
        <w:t xml:space="preserve">  FOR INSERT WITH CHECK (true);</w:t>
      </w:r>
    </w:p>
    <w:p>
      <w:pPr>
        <w:spacing w:after="0" w:before="0" w:line="260"/>
        <w:ind w:left="360"/>
      </w:pPr>
      <w:r>
        <w:rPr>
          <w:rFonts w:ascii="Courier New"/>
          <w:color w:val="2A4A5A"/>
          <w:sz w:val="17"/>
          <w:szCs w:val="17"/>
        </w:rPr>
        <w:t xml:space="preserve"/>
      </w:r>
    </w:p>
    <w:p>
      <w:pPr>
        <w:spacing w:after="0" w:before="0" w:line="260"/>
        <w:ind w:left="360"/>
      </w:pPr>
      <w:r>
        <w:rPr>
          <w:rFonts w:ascii="Courier New"/>
          <w:color w:val="2A4A5A"/>
          <w:sz w:val="17"/>
          <w:szCs w:val="17"/>
        </w:rPr>
        <w:t xml:space="preserve">-- Example: Published blog posts visible to all</w:t>
      </w:r>
    </w:p>
    <w:p>
      <w:pPr>
        <w:spacing w:after="0" w:before="0" w:line="260"/>
        <w:ind w:left="360"/>
      </w:pPr>
      <w:r>
        <w:rPr>
          <w:rFonts w:ascii="Courier New"/>
          <w:color w:val="2A4A5A"/>
          <w:sz w:val="17"/>
          <w:szCs w:val="17"/>
        </w:rPr>
        <w:t xml:space="preserve">CREATE POLICY blog_public_read ON blog_posts</w:t>
      </w:r>
    </w:p>
    <w:p>
      <w:pPr>
        <w:spacing w:after="0" w:before="0" w:line="260"/>
        <w:ind w:left="360"/>
      </w:pPr>
      <w:r>
        <w:rPr>
          <w:rFonts w:ascii="Courier New"/>
          <w:color w:val="2A4A5A"/>
          <w:sz w:val="17"/>
          <w:szCs w:val="17"/>
        </w:rPr>
        <w:t xml:space="preserve">  FOR SELECT USING (status = 'published');</w:t>
      </w:r>
    </w:p>
    <w:p>
      <w:pPr>
        <w:pStyle w:val="Heading1"/>
        <w:spacing w:after="200" w:before="480" w:line="312"/>
      </w:pPr>
      <w:bookmarkStart w:id="100035" w:name="_Toc100035"/>
      <w:r>
        <w:rPr>
          <w:rFonts w:ascii="Times New Roman"/>
          <w:b/>
          <w:bCs/>
          <w:color w:val="0A1628"/>
          <w:sz w:val="36"/>
          <w:szCs w:val="36"/>
        </w:rPr>
        <w:t xml:space="preserve">10. Supabase Edge Functions</w:t>
      </w:r>
      <w:bookmarkEnd w:id="100035"/>
    </w:p>
    <w:p>
      <w:pPr>
        <w:spacing w:after="120" w:line="312"/>
        <w:jc w:val="both"/>
      </w:pPr>
      <w:r>
        <w:rPr>
          <w:rFonts w:ascii="Calibri"/>
          <w:color w:val="1A2B40"/>
          <w:sz w:val="22"/>
          <w:szCs w:val="22"/>
        </w:rPr>
        <w:t xml:space="preserve">Edge Functions are Deno-based serverless functions that handle business logic which cannot be performed client-side, such as sending emails, generating reference numbers, validating data, and interfacing with external APIs. Each function runs in a secure sandboxed environment with access to the Supabase client using the service_role key for elevated database operations. The following Edge Functions are required to connect the frontend to the database backend.</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Function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Method</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Purpose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Auth Required</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submit-contact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Validate and insert contact form submissions into contact_submissions. Triggers confirmation email to customer and notification to sales team.</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book-survey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Validate 4-step form data, generate unique reference number (SI-YYYY-NNNN), insert into survey_bookings, send confirmation via email and WhatsApp.</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analyse-bill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Accept bill data (manual or AI-extracted), run financial analysis, insert into bill_analyses, return results to client.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subscribe-newsletter</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Insert or update newsletter_subscriptions. Handle duplicate emails gracefully with upsert.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save-cookie-consent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Insert consent record into cookie_consent_records. Called by CookieConsent component on every consent change.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track-exit-intent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Record exit intent trigger and action taken into exit_intent_conversions.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track-whatsapp-click</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Record WhatsApp link click with source attribution into whatsapp_lead_sources.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validate-portal-reference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Look up reference number in customers table. If found, create auth link or return customer info for magic link flow.</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get-portal-data</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GET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Return all portal data (customer info, installation steps, documents, notifications) for authenticated customer. RLS ensures isolation.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Yes (customer)</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update-notification-read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PATCH</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Mark a notification as read. RLS ensures only the owning customer can update their notifications.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Yes (customer)</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save-chat-conversation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POST</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Append messages to chat_conversations. Grouped by session_id.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No (anon)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admin-blog-crud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POST/PUT/DELETE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Create, update, and delete blog posts and content sections. Admin only.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Yes (admin)</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admin-update-installation</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PATCH</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Update installation step status, add notes, upload documents. Used by project managers.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Yes (admin)</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generate-reference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POST (internal)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Atomic sequence to generate next SI-YYYY-NNNN reference number. Called by book-survey.</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Service role</w:t>
            </w:r>
          </w:p>
        </w:tc>
      </w:tr>
    </w:tbl>
    <w:p>
      <w:pPr>
        <w:spacing w:before="60"/>
      </w:pPr>
    </w:p>
    <w:p>
      <w:pPr>
        <w:spacing w:after="120" w:line="312"/>
        <w:jc w:val="both"/>
      </w:pPr>
      <w:r>
        <w:rPr>
          <w:rFonts w:ascii="Calibri"/>
          <w:color w:val="1A2B40"/>
          <w:sz w:val="22"/>
          <w:szCs w:val="22"/>
        </w:rPr>
        <w:t xml:space="preserve">Each Edge Function follows a standard structure: validate the incoming request body against a schema, perform the database operation using the Supabase client, handle any errors with appropriate HTTP status codes, and return a JSON response. Functions that create records also create a corresponding lead_sources entry for marketing attribution, ensuring that every interaction is tracked regardless of which Edge Function handles it.</w:t>
      </w:r>
    </w:p>
    <w:p>
      <w:pPr>
        <w:pStyle w:val="Heading1"/>
        <w:spacing w:after="200" w:before="480" w:line="312"/>
      </w:pPr>
      <w:bookmarkStart w:id="100036" w:name="_Toc100036"/>
      <w:r>
        <w:rPr>
          <w:rFonts w:ascii="Times New Roman"/>
          <w:b/>
          <w:bCs/>
          <w:color w:val="0A1628"/>
          <w:sz w:val="36"/>
          <w:szCs w:val="36"/>
        </w:rPr>
        <w:t xml:space="preserve">11. Storage Buckets</w:t>
      </w:r>
      <w:bookmarkEnd w:id="100036"/>
    </w:p>
    <w:p>
      <w:pPr>
        <w:spacing w:after="120" w:line="312"/>
        <w:jc w:val="both"/>
      </w:pPr>
      <w:r>
        <w:rPr>
          <w:rFonts w:ascii="Calibri"/>
          <w:color w:val="1A2B40"/>
          <w:sz w:val="22"/>
          <w:szCs w:val="22"/>
        </w:rPr>
        <w:t xml:space="preserve">Supabase Storage provides authenticated file uploads and downloads with automatic image transformations. The following buckets are required to support the website's file management needs, from blog article images to customer portal documents. Each bucket has specific access policies that align with the RLS model applied to database tables: public buckets for website content, authenticated-only buckets for portal documents, and admin-only buckets for sensitive files.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Bucket</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Access</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Purpose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File Types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blog-images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Public read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Blog article cover images and inline images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jpg, png, webp, gif</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installation-photos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Public read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Installation gallery photographs displayed on homepage and services page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jpg, webp</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county-images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Public read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County page hero images and thumbnails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jpg, webp</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team-photos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Public read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Team member profile photographs for about page</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jpg, webp</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portal-documents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Authenticated read</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Customer-facing documents: survey reports, quotes, grant applications, certificates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pdf, docx</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bill-uploads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Private (edge function)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Temporary storage for uploaded electricity bill images, processed by AI and deleted</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jpg, png, pdf</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admin-assets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Admin only</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Internal documents, templates, and assets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Any</w:t>
            </w:r>
          </w:p>
        </w:tc>
      </w:tr>
    </w:tbl>
    <w:p>
      <w:pPr>
        <w:spacing w:before="60"/>
      </w:pPr>
    </w:p>
    <w:p>
      <w:pPr>
        <w:spacing w:after="120" w:line="312"/>
        <w:jc w:val="both"/>
      </w:pPr>
      <w:r>
        <w:rPr>
          <w:rFonts w:ascii="Calibri"/>
          <w:color w:val="1A2B40"/>
          <w:sz w:val="22"/>
          <w:szCs w:val="22"/>
        </w:rPr>
        <w:t xml:space="preserve">Storage policies are defined using Supabase's storage.policy API. The blog-images bucket allows public reading so that blog article images can be served directly via CDN without requiring authentication. The portal-documents bucket requires authentication and checks that the requesting user's profile_id matches the customer_id stored in the documents table, preventing cross-customer access. The bill-uploads bucket is the most restricted: files can only be uploaded by Edge Functions (not directly by users) and are automatically deleted after processing to comply with data minimisation principles.</w:t>
      </w:r>
    </w:p>
    <w:p>
      <w:pPr>
        <w:spacing w:after="120" w:line="312"/>
        <w:jc w:val="both"/>
      </w:pPr>
      <w:r>
        <w:rPr>
          <w:rFonts w:ascii="Calibri"/>
          <w:color w:val="1A2B40"/>
          <w:sz w:val="22"/>
          <w:szCs w:val="22"/>
        </w:rPr>
        <w:t xml:space="preserve">Image transformations are configured for the blog-images, installation-photos, and county-images buckets. When a blog post is displayed on the listing page, the cover image is served with a width transformation (e.g., 800px) rather than the original full-resolution upload, reducing bandwidth consumption and improving page load times. The Supabase CDN handles caching and transformation at the edge, ensuring fast delivery to Irish users.</w:t>
      </w:r>
    </w:p>
    <w:p>
      <w:pPr>
        <w:pStyle w:val="Heading1"/>
        <w:spacing w:after="200" w:before="480" w:line="312"/>
      </w:pPr>
      <w:bookmarkStart w:id="100037" w:name="_Toc100037"/>
      <w:r>
        <w:rPr>
          <w:rFonts w:ascii="Times New Roman"/>
          <w:b/>
          <w:bCs/>
          <w:color w:val="0A1628"/>
          <w:sz w:val="36"/>
          <w:szCs w:val="36"/>
        </w:rPr>
        <w:t xml:space="preserve">12. Implementation Roadmap</w:t>
      </w:r>
      <w:bookmarkEnd w:id="100037"/>
    </w:p>
    <w:p>
      <w:pPr>
        <w:spacing w:after="120" w:line="312"/>
        <w:jc w:val="both"/>
      </w:pPr>
      <w:r>
        <w:rPr>
          <w:rFonts w:ascii="Calibri"/>
          <w:color w:val="1A2B40"/>
          <w:sz w:val="22"/>
          <w:szCs w:val="22"/>
        </w:rPr>
        <w:t xml:space="preserve">The implementation is divided into five phases, ordered by business impact and technical dependency. Each phase builds on the previous one, and the database migrations are designed to be non-destructive, allowing the website to continue operating with its current hardcoded data while new database-backed features are gradually enabled. The timeline assumes a single developer working part-time, with each phase taking approximately one to two weeks.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tcW w:type="dxa" w:w="2250"/>
            <w:shd w:fill="1B6B7A" w:val="clear"/>
            <w:tcMar>
              <w:top w:type="dxa" w:w="50"/>
              <w:left w:type="dxa" w:w="100"/>
              <w:bottom w:type="dxa" w:w="50"/>
              <w:right w:type="dxa" w:w="100"/>
            </w:tcMar>
          </w:tcPr>
          <w:p>
            <w:r>
              <w:rPr>
                <w:rFonts w:ascii="Calibri"/>
                <w:b/>
                <w:bCs/>
                <w:color w:val="FFFFFF"/>
                <w:sz w:val="20"/>
                <w:szCs w:val="20"/>
              </w:rPr>
              <w:t xml:space="preserve">Phase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Duration</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Scope</w:t>
            </w:r>
          </w:p>
        </w:tc>
        <w:tc>
          <w:tcPr>
            <w:tcW w:type="dxa" w:w="2250"/>
            <w:shd w:fill="1B6B7A" w:val="clear"/>
            <w:tcMar>
              <w:top w:type="dxa" w:w="50"/>
              <w:left w:type="dxa" w:w="100"/>
              <w:bottom w:type="dxa" w:w="50"/>
              <w:right w:type="dxa" w:w="100"/>
            </w:tcMar>
          </w:tcPr>
          <w:p>
            <w:r>
              <w:rPr>
                <w:rFonts w:ascii="Calibri"/>
                <w:b/>
                <w:bCs/>
                <w:color w:val="FFFFFF"/>
                <w:sz w:val="20"/>
                <w:szCs w:val="20"/>
              </w:rPr>
              <w:t xml:space="preserve">Key Deliverables</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Phase 1: Lead Capture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1-2 weeks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Replace console.log stubs and WhatsApp-only forms with database persistence for all form submissions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contact_submissions, survey_bookings, bill_analyses, lead_sources tables. Edge Functions: submit-contact, book-survey, analyse-bill, generate-reference. Wire up frontend forms to new endpoints.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Phase 2: Content Migration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2-3 weeks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Move hardcoded content from TypeScript files to database tables with a future admin panel</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blog_posts, blog_content_sections, blog_categories, counties, site_settings tables. Migration script to import existing data. Update frontend to fetch from Supabase.</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Phase 3: Customer Portal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2-3 weeks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Replace demo data with real database-backed portal</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customers, customer_installation_steps, documents, notifications tables. Edge Functions: validate-portal-reference, get-portal-data, update-notification-read. Auth integration with magic links.</w:t>
            </w:r>
          </w:p>
        </w:tc>
      </w:tr>
      <w:tr>
        <w:trPr>
          <w:cantSplit/>
        </w:trPr>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Phase 4: GDPR &amp; Analytics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1-2 weeks</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Ensure full GDPR compliance and marketing attribution</w:t>
            </w:r>
          </w:p>
        </w:tc>
        <w:tc>
          <w:tcPr>
            <w:tcW w:type="dxa" w:w="2250"/>
            <w:shd w:fill="FFFFFF" w:val="clear"/>
            <w:tcMar>
              <w:top w:type="dxa" w:w="40"/>
              <w:left w:type="dxa" w:w="100"/>
              <w:bottom w:type="dxa" w:w="40"/>
              <w:right w:type="dxa" w:w="100"/>
            </w:tcMar>
          </w:tcPr>
          <w:p>
            <w:pPr>
              <w:spacing w:line="280"/>
            </w:pPr>
            <w:r>
              <w:rPr>
                <w:rFonts w:ascii="Calibri"/>
                <w:color w:val="1A2B40"/>
                <w:sz w:val="19"/>
                <w:szCs w:val="19"/>
              </w:rPr>
              <w:t xml:space="preserve">cookie_consent_records, newsletter_subscriptions, exit_intent_conversions, whatsapp_lead_sources, chat_conversations tables. Wire up CookieConsent, newsletter forms, and exit intent popup.</w:t>
            </w:r>
          </w:p>
        </w:tc>
      </w:tr>
      <w:tr>
        <w:trPr>
          <w:cantSplit/>
        </w:trPr>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Phase 5: Realtime &amp; Polish</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1-2 weeks</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Add live updates and optimise performance</w:t>
            </w:r>
          </w:p>
        </w:tc>
        <w:tc>
          <w:tcPr>
            <w:tcW w:type="dxa" w:w="2250"/>
            <w:shd w:fill="EDF3F5" w:val="clear"/>
            <w:tcMar>
              <w:top w:type="dxa" w:w="40"/>
              <w:left w:type="dxa" w:w="100"/>
              <w:bottom w:type="dxa" w:w="40"/>
              <w:right w:type="dxa" w:w="100"/>
            </w:tcMar>
          </w:tcPr>
          <w:p>
            <w:pPr>
              <w:spacing w:line="280"/>
            </w:pPr>
            <w:r>
              <w:rPr>
                <w:rFonts w:ascii="Calibri"/>
                <w:color w:val="1A2B40"/>
                <w:sz w:val="19"/>
                <w:szCs w:val="19"/>
              </w:rPr>
              <w:t xml:space="preserve">Realtime subscriptions for portal notifications. Storage buckets configured. Image transformations. Admin dashboard foundation.</w:t>
            </w:r>
          </w:p>
        </w:tc>
      </w:tr>
    </w:tbl>
    <w:p>
      <w:pPr>
        <w:spacing w:before="60"/>
      </w:pPr>
    </w:p>
    <w:p>
      <w:pPr>
        <w:spacing w:after="120" w:line="312"/>
        <w:jc w:val="both"/>
      </w:pPr>
      <w:r>
        <w:rPr>
          <w:rFonts w:ascii="Calibri"/>
          <w:color w:val="1A2B40"/>
          <w:sz w:val="22"/>
          <w:szCs w:val="22"/>
        </w:rPr>
        <w:t xml:space="preserve">Phase 1 is the highest priority because it directly impacts revenue: every form submission that currently goes to WhatsApp without a database record represents a potential lead that could be lost if the WhatsApp message fails or is not followed up promptly. Database persistence ensures that no lead is ever lost, and the lead_sources table enables the marketing team to begin measuring conversion rates from day one.</w:t>
      </w:r>
    </w:p>
    <w:p>
      <w:pPr>
        <w:spacing w:after="120" w:line="312"/>
        <w:jc w:val="both"/>
      </w:pPr>
      <w:r>
        <w:rPr>
          <w:rFonts w:ascii="Calibri"/>
          <w:color w:val="1A2B40"/>
          <w:sz w:val="22"/>
          <w:szCs w:val="22"/>
        </w:rPr>
        <w:t xml:space="preserve">Phase 3 (Customer Portal) is the most complex phase due to the authentication flow, reference number validation, and the need to maintain backward compatibility with the existing portal UI while replacing the hardcoded data with real database queries. The recommended approach is to implement the backend first, then create a feature flag that switches between demo data and real data, allowing thorough testing before the switch is flipped for all users.</w:t>
      </w:r>
    </w:p>
    <w:sectPr>
      <w:headerReference w:type="default" r:id="rId9"/>
      <w:footerReference w:type="default" r:id="rId10"/>
      <w:pgSz w:w="11906" w:h="16838" w:orient="portrait"/>
      <w:pgMar w:top="1417" w:right="1417" w:bottom="1417"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A0A0A0"/>
        <w:sz w:val="16"/>
        <w:szCs w:val="16"/>
      </w:rPr>
      <w:t xml:space="preserve">Solar Ireland — Supabase Architecture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A0A0A0"/>
        <w:sz w:val="16"/>
        <w:szCs w:val="16"/>
      </w:rPr>
      <w:t xml:space="preserve">Solar Ireland — Supabase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olor w:val="1A2B40"/>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line="312"/>
      <w:outlineLvl w:val="0"/>
    </w:pPr>
    <w:rPr>
      <w:rFonts w:ascii="Times New Roman"/>
      <w:b/>
      <w:bCs/>
      <w:color w:val="0A1628"/>
      <w:sz w:val="36"/>
      <w:szCs w:val="36"/>
    </w:rPr>
  </w:style>
  <w:style w:type="paragraph" w:styleId="Heading2">
    <w:name w:val="Heading 2"/>
    <w:basedOn w:val="Normal"/>
    <w:next w:val="Normal"/>
    <w:qFormat/>
    <w:pPr>
      <w:spacing w:after="160" w:before="360" w:line="312"/>
      <w:outlineLvl w:val="1"/>
    </w:pPr>
    <w:rPr>
      <w:rFonts w:ascii="Times New Roman"/>
      <w:b/>
      <w:bCs/>
      <w:color w:val="0A1628"/>
      <w:sz w:val="28"/>
      <w:szCs w:val="28"/>
    </w:rPr>
  </w:style>
  <w:style w:type="paragraph" w:styleId="Heading3">
    <w:name w:val="Heading 3"/>
    <w:basedOn w:val="Normal"/>
    <w:next w:val="Normal"/>
    <w:qFormat/>
    <w:pPr>
      <w:spacing w:after="120" w:before="240" w:line="312"/>
      <w:outlineLvl w:val="2"/>
    </w:pPr>
    <w:rPr>
      <w:rFonts w:ascii="Times New Roman"/>
      <w:b/>
      <w:bCs/>
      <w:color w:val="50688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2026-04-10T03:04:17.604Z</dcterms:created>
  <dcterms:modified xsi:type="dcterms:W3CDTF">2026-04-10T03:04:17.604Z</dcterms:modified>
</cp:coreProperties>
</file>

<file path=docProps/custom.xml><?xml version="1.0" encoding="utf-8"?>
<Properties xmlns="http://schemas.openxmlformats.org/officeDocument/2006/custom-properties" xmlns:vt="http://schemas.openxmlformats.org/officeDocument/2006/docPropsVTypes"/>
</file>