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DCA5" w14:textId="021CAE04" w:rsidR="00A25F57" w:rsidRDefault="00A25F57" w:rsidP="00725132">
      <w:pPr>
        <w:pStyle w:val="Title"/>
        <w:rPr>
          <w:rFonts w:eastAsia="Times New Roman"/>
          <w:lang w:eastAsia="en-GB"/>
        </w:rPr>
      </w:pPr>
      <w:r w:rsidRPr="00845AB5">
        <w:rPr>
          <w:rFonts w:eastAsia="Times New Roman"/>
          <w:lang w:eastAsia="en-GB"/>
        </w:rPr>
        <w:t>Glossary: Domestic EPCs</w:t>
      </w:r>
    </w:p>
    <w:p w14:paraId="5A6224F8" w14:textId="00EA9E99" w:rsidR="0093705E" w:rsidRPr="0093705E" w:rsidRDefault="0093705E" w:rsidP="0093705E">
      <w:pPr>
        <w:rPr>
          <w:rFonts w:ascii="Arial" w:eastAsia="Times New Roman" w:hAnsi="Arial" w:cs="Arial"/>
          <w:lang w:eastAsia="en-GB"/>
        </w:rPr>
      </w:pPr>
      <w:r w:rsidRPr="00725132">
        <w:rPr>
          <w:rStyle w:val="Heading1Char"/>
          <w:lang w:eastAsia="en-GB"/>
        </w:rPr>
        <w:t>UPRN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: </w:t>
      </w:r>
      <w:r w:rsidRPr="007031F6">
        <w:rPr>
          <w:rStyle w:val="markedcontent"/>
          <w:rFonts w:ascii="Arial" w:hAnsi="Arial" w:cs="Arial"/>
        </w:rPr>
        <w:t>Unique Property</w:t>
      </w:r>
      <w:r>
        <w:rPr>
          <w:rFonts w:ascii="Arial" w:hAnsi="Arial" w:cs="Arial"/>
        </w:rPr>
        <w:t xml:space="preserve"> </w:t>
      </w:r>
      <w:r w:rsidRPr="007031F6">
        <w:rPr>
          <w:rStyle w:val="markedcontent"/>
          <w:rFonts w:ascii="Arial" w:hAnsi="Arial" w:cs="Arial"/>
        </w:rPr>
        <w:t>Reference</w:t>
      </w:r>
      <w:r>
        <w:rPr>
          <w:rFonts w:ascii="Arial" w:hAnsi="Arial" w:cs="Arial"/>
        </w:rPr>
        <w:t xml:space="preserve"> </w:t>
      </w:r>
      <w:r w:rsidRPr="007031F6">
        <w:rPr>
          <w:rStyle w:val="markedcontent"/>
          <w:rFonts w:ascii="Arial" w:hAnsi="Arial" w:cs="Arial"/>
        </w:rPr>
        <w:t>Number</w:t>
      </w:r>
      <w:r>
        <w:rPr>
          <w:rStyle w:val="markedcontent"/>
          <w:rFonts w:ascii="Arial" w:hAnsi="Arial" w:cs="Arial"/>
        </w:rPr>
        <w:t xml:space="preserve">. </w:t>
      </w:r>
      <w:r w:rsidRPr="007031F6">
        <w:rPr>
          <w:rFonts w:ascii="Arial" w:eastAsia="Times New Roman" w:hAnsi="Arial" w:cs="Arial"/>
          <w:lang w:eastAsia="en-GB"/>
        </w:rPr>
        <w:t>The UPRN submitted by an assessor or alternatively from the department’s address matching algorithm.</w:t>
      </w:r>
      <w:r w:rsidR="00725132">
        <w:rPr>
          <w:rFonts w:ascii="Arial" w:eastAsia="Times New Roman" w:hAnsi="Arial" w:cs="Arial"/>
          <w:lang w:eastAsia="en-GB"/>
        </w:rPr>
        <w:fldChar w:fldCharType="begin"/>
      </w:r>
      <w:r w:rsidR="00725132">
        <w:instrText xml:space="preserve"> TA \l "</w:instrText>
      </w:r>
      <w:r w:rsidR="00725132" w:rsidRPr="007B1C1C">
        <w:rPr>
          <w:rFonts w:ascii="Arial" w:eastAsia="Times New Roman" w:hAnsi="Arial" w:cs="Arial"/>
          <w:b/>
          <w:bCs/>
          <w:sz w:val="24"/>
          <w:szCs w:val="24"/>
          <w:lang w:eastAsia="en-GB"/>
        </w:rPr>
        <w:instrText>UPRN</w:instrText>
      </w:r>
      <w:r w:rsidR="00725132" w:rsidRPr="007B1C1C">
        <w:rPr>
          <w:rFonts w:ascii="Arial" w:eastAsia="Times New Roman" w:hAnsi="Arial" w:cs="Arial"/>
          <w:b/>
          <w:bCs/>
          <w:sz w:val="24"/>
          <w:szCs w:val="24"/>
          <w:lang w:eastAsia="en-GB"/>
        </w:rPr>
        <w:instrText xml:space="preserve">: </w:instrText>
      </w:r>
      <w:r w:rsidR="00725132" w:rsidRPr="007B1C1C">
        <w:rPr>
          <w:rStyle w:val="markedcontent"/>
          <w:rFonts w:ascii="Arial" w:hAnsi="Arial" w:cs="Arial"/>
        </w:rPr>
        <w:instrText>Unique Property</w:instrText>
      </w:r>
      <w:r w:rsidR="00725132" w:rsidRPr="007B1C1C">
        <w:rPr>
          <w:rFonts w:ascii="Arial" w:hAnsi="Arial" w:cs="Arial"/>
        </w:rPr>
        <w:instrText xml:space="preserve"> </w:instrText>
      </w:r>
      <w:r w:rsidR="00725132" w:rsidRPr="007B1C1C">
        <w:rPr>
          <w:rStyle w:val="markedcontent"/>
          <w:rFonts w:ascii="Arial" w:hAnsi="Arial" w:cs="Arial"/>
        </w:rPr>
        <w:instrText>Reference</w:instrText>
      </w:r>
      <w:r w:rsidR="00725132" w:rsidRPr="007B1C1C">
        <w:rPr>
          <w:rFonts w:ascii="Arial" w:hAnsi="Arial" w:cs="Arial"/>
        </w:rPr>
        <w:instrText xml:space="preserve"> </w:instrText>
      </w:r>
      <w:r w:rsidR="00725132" w:rsidRPr="007B1C1C">
        <w:rPr>
          <w:rStyle w:val="markedcontent"/>
          <w:rFonts w:ascii="Arial" w:hAnsi="Arial" w:cs="Arial"/>
        </w:rPr>
        <w:instrText>Number</w:instrText>
      </w:r>
      <w:r w:rsidR="00725132" w:rsidRPr="007B1C1C">
        <w:rPr>
          <w:rStyle w:val="markedcontent"/>
          <w:rFonts w:ascii="Arial" w:hAnsi="Arial" w:cs="Arial"/>
        </w:rPr>
        <w:instrText xml:space="preserve">. </w:instrText>
      </w:r>
      <w:r w:rsidR="00725132" w:rsidRPr="007B1C1C">
        <w:rPr>
          <w:rFonts w:ascii="Arial" w:eastAsia="Times New Roman" w:hAnsi="Arial" w:cs="Arial"/>
          <w:lang w:eastAsia="en-GB"/>
        </w:rPr>
        <w:instrText>The UPRN submitted by an assessor or alternatively from the department’s address matching algorithm.</w:instrText>
      </w:r>
      <w:r w:rsidR="00725132">
        <w:instrText xml:space="preserve">" \s "UPRN: Unique Property Reference Number. The UPRN submitted by an assessor or alternatively from the department’s address matching algorithm." \c 1 </w:instrText>
      </w:r>
      <w:r w:rsidR="00725132">
        <w:rPr>
          <w:rFonts w:ascii="Arial" w:eastAsia="Times New Roman" w:hAnsi="Arial" w:cs="Arial"/>
          <w:lang w:eastAsia="en-GB"/>
        </w:rPr>
        <w:fldChar w:fldCharType="end"/>
      </w:r>
    </w:p>
    <w:p w14:paraId="46682355" w14:textId="32D25EA0" w:rsidR="0093705E" w:rsidRPr="0093705E" w:rsidRDefault="0093705E" w:rsidP="0093705E">
      <w:pPr>
        <w:rPr>
          <w:rFonts w:ascii="Arial" w:eastAsia="Times New Roman" w:hAnsi="Arial" w:cs="Arial"/>
          <w:lang w:eastAsia="en-GB"/>
        </w:rPr>
      </w:pPr>
      <w:r w:rsidRPr="00725132">
        <w:rPr>
          <w:rStyle w:val="Heading1Char"/>
          <w:lang w:eastAsia="en-GB"/>
        </w:rPr>
        <w:t>Postcode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: </w:t>
      </w:r>
      <w:r w:rsidRPr="007031F6">
        <w:rPr>
          <w:rFonts w:ascii="Arial" w:eastAsia="Times New Roman" w:hAnsi="Arial" w:cs="Arial"/>
          <w:lang w:eastAsia="en-GB"/>
        </w:rPr>
        <w:t>The postcode of the property</w:t>
      </w:r>
      <w:r w:rsidR="00725132">
        <w:rPr>
          <w:rFonts w:ascii="Arial" w:eastAsia="Times New Roman" w:hAnsi="Arial" w:cs="Arial"/>
          <w:lang w:eastAsia="en-GB"/>
        </w:rPr>
        <w:t>.</w:t>
      </w:r>
    </w:p>
    <w:p w14:paraId="1CCBE529" w14:textId="2E58DC42" w:rsidR="0093705E" w:rsidRDefault="0093705E" w:rsidP="00A25F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25132">
        <w:rPr>
          <w:rStyle w:val="Heading1Char"/>
          <w:lang w:eastAsia="en-GB"/>
        </w:rPr>
        <w:t>COA Code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: </w:t>
      </w:r>
      <w:r w:rsidRPr="007031F6">
        <w:rPr>
          <w:rStyle w:val="markedcontent"/>
          <w:rFonts w:ascii="Arial" w:hAnsi="Arial" w:cs="Arial"/>
        </w:rPr>
        <w:t>2021 Census</w:t>
      </w:r>
      <w:r>
        <w:rPr>
          <w:rFonts w:ascii="Arial" w:hAnsi="Arial" w:cs="Arial"/>
        </w:rPr>
        <w:t xml:space="preserve"> </w:t>
      </w:r>
      <w:r w:rsidRPr="007031F6">
        <w:rPr>
          <w:rStyle w:val="markedcontent"/>
          <w:rFonts w:ascii="Arial" w:hAnsi="Arial" w:cs="Arial"/>
        </w:rPr>
        <w:t>Output Area</w:t>
      </w:r>
      <w:r>
        <w:rPr>
          <w:rStyle w:val="markedcontent"/>
          <w:rFonts w:ascii="Arial" w:hAnsi="Arial" w:cs="Arial"/>
        </w:rPr>
        <w:t>s</w:t>
      </w:r>
      <w:r w:rsidRPr="007031F6">
        <w:rPr>
          <w:rStyle w:val="markedcontent"/>
          <w:rFonts w:ascii="Arial" w:hAnsi="Arial" w:cs="Arial"/>
        </w:rPr>
        <w:t xml:space="preserve"> (</w:t>
      </w:r>
      <w:r>
        <w:rPr>
          <w:rStyle w:val="markedcontent"/>
          <w:rFonts w:ascii="Arial" w:hAnsi="Arial" w:cs="Arial"/>
        </w:rPr>
        <w:t>C</w:t>
      </w:r>
      <w:r w:rsidRPr="007031F6">
        <w:rPr>
          <w:rStyle w:val="markedcontent"/>
          <w:rFonts w:ascii="Arial" w:hAnsi="Arial" w:cs="Arial"/>
        </w:rPr>
        <w:t>OA)</w:t>
      </w:r>
      <w:r>
        <w:rPr>
          <w:rStyle w:val="markedcontent"/>
          <w:rFonts w:ascii="Arial" w:hAnsi="Arial" w:cs="Arial"/>
        </w:rPr>
        <w:t xml:space="preserve"> </w:t>
      </w:r>
      <w:r w:rsidRPr="007031F6">
        <w:rPr>
          <w:rStyle w:val="markedcontent"/>
          <w:rFonts w:ascii="Arial" w:hAnsi="Arial" w:cs="Arial"/>
        </w:rPr>
        <w:t>(England/Wales</w:t>
      </w:r>
      <w:r>
        <w:rPr>
          <w:rStyle w:val="markedcontent"/>
          <w:rFonts w:ascii="Arial" w:hAnsi="Arial" w:cs="Arial"/>
        </w:rPr>
        <w:t xml:space="preserve">). </w:t>
      </w:r>
      <w:r w:rsidRPr="007031F6">
        <w:rPr>
          <w:rStyle w:val="markedcontent"/>
          <w:rFonts w:ascii="Arial" w:hAnsi="Arial" w:cs="Arial"/>
        </w:rPr>
        <w:t>The 2021/2011 Census</w:t>
      </w:r>
      <w:r>
        <w:rPr>
          <w:rStyle w:val="markedcontent"/>
          <w:rFonts w:ascii="Arial" w:hAnsi="Arial" w:cs="Arial"/>
        </w:rPr>
        <w:t xml:space="preserve"> </w:t>
      </w:r>
      <w:r w:rsidRPr="007031F6">
        <w:rPr>
          <w:rStyle w:val="markedcontent"/>
          <w:rFonts w:ascii="Arial" w:hAnsi="Arial" w:cs="Arial"/>
        </w:rPr>
        <w:t>OAs in GB were based on 2001 Census OAs, and they form the</w:t>
      </w:r>
      <w:r>
        <w:rPr>
          <w:rFonts w:ascii="Arial" w:hAnsi="Arial" w:cs="Arial"/>
        </w:rPr>
        <w:t xml:space="preserve"> </w:t>
      </w:r>
      <w:r w:rsidRPr="007031F6">
        <w:rPr>
          <w:rStyle w:val="markedcontent"/>
          <w:rFonts w:ascii="Arial" w:hAnsi="Arial" w:cs="Arial"/>
        </w:rPr>
        <w:t>building blocks for defining higher level geographies.</w:t>
      </w:r>
    </w:p>
    <w:p w14:paraId="0FD4709F" w14:textId="3AC6F173" w:rsidR="0093705E" w:rsidRPr="0093705E" w:rsidRDefault="0093705E" w:rsidP="0093705E">
      <w:pPr>
        <w:spacing w:before="100" w:beforeAutospacing="1" w:after="100" w:afterAutospacing="1"/>
        <w:outlineLvl w:val="3"/>
        <w:rPr>
          <w:rFonts w:ascii="Arial" w:eastAsia="Times New Roman" w:hAnsi="Arial" w:cs="Arial"/>
          <w:lang w:eastAsia="en-GB"/>
        </w:rPr>
      </w:pPr>
      <w:r w:rsidRPr="00725132">
        <w:rPr>
          <w:rStyle w:val="Heading1Char"/>
          <w:lang w:eastAsia="en-GB"/>
        </w:rPr>
        <w:t>LATITUDE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: </w:t>
      </w:r>
      <w:r>
        <w:rPr>
          <w:rFonts w:ascii="Arial" w:eastAsia="Times New Roman" w:hAnsi="Arial" w:cs="Arial"/>
          <w:lang w:eastAsia="en-GB"/>
        </w:rPr>
        <w:t>T</w:t>
      </w:r>
      <w:r w:rsidRPr="007031F6">
        <w:rPr>
          <w:rFonts w:ascii="Arial" w:eastAsia="Times New Roman" w:hAnsi="Arial" w:cs="Arial"/>
          <w:lang w:eastAsia="en-GB"/>
        </w:rPr>
        <w:t xml:space="preserve">he angular distance of a property north or south of the earth's equator in degrees </w:t>
      </w:r>
    </w:p>
    <w:p w14:paraId="35DD796D" w14:textId="62FD6BB6" w:rsidR="0093705E" w:rsidRDefault="0093705E" w:rsidP="00A25F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25132">
        <w:rPr>
          <w:rStyle w:val="Heading1Char"/>
          <w:lang w:eastAsia="en-GB"/>
        </w:rPr>
        <w:t>LONGITUDE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: </w:t>
      </w:r>
      <w:r>
        <w:rPr>
          <w:rFonts w:ascii="Arial" w:eastAsia="Times New Roman" w:hAnsi="Arial" w:cs="Arial"/>
          <w:lang w:eastAsia="en-GB"/>
        </w:rPr>
        <w:t>T</w:t>
      </w:r>
      <w:r w:rsidRPr="007031F6">
        <w:rPr>
          <w:rFonts w:ascii="Arial" w:eastAsia="Times New Roman" w:hAnsi="Arial" w:cs="Arial"/>
          <w:lang w:eastAsia="en-GB"/>
        </w:rPr>
        <w:t>he angular distance of a place east or west of the Greenwich meridian</w:t>
      </w:r>
    </w:p>
    <w:p w14:paraId="2FE762AC" w14:textId="40ABD623" w:rsidR="00725132" w:rsidRPr="00725132" w:rsidRDefault="0093705E" w:rsidP="00725132">
      <w:pPr>
        <w:spacing w:before="100" w:beforeAutospacing="1" w:after="100" w:afterAutospacing="1" w:line="240" w:lineRule="auto"/>
        <w:outlineLvl w:val="3"/>
        <w:rPr>
          <w:rFonts w:ascii="Arial" w:hAnsi="Arial" w:cs="Arial"/>
        </w:rPr>
      </w:pPr>
      <w:r w:rsidRPr="00725132">
        <w:rPr>
          <w:rStyle w:val="Heading1Char"/>
          <w:lang w:eastAsia="en-GB"/>
        </w:rPr>
        <w:t>Property Tenure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:</w:t>
      </w:r>
      <w:r w:rsidR="0072513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 w:rsidR="00725132">
        <w:rPr>
          <w:rStyle w:val="markedcontent"/>
          <w:rFonts w:ascii="Arial" w:hAnsi="Arial" w:cs="Arial"/>
        </w:rPr>
        <w:t xml:space="preserve">The property’s tenure. Categories </w:t>
      </w:r>
      <w:proofErr w:type="gramStart"/>
      <w:r w:rsidR="00725132">
        <w:rPr>
          <w:rStyle w:val="markedcontent"/>
          <w:rFonts w:ascii="Arial" w:hAnsi="Arial" w:cs="Arial"/>
        </w:rPr>
        <w:t>include:</w:t>
      </w:r>
      <w:proofErr w:type="gramEnd"/>
      <w:r w:rsidR="00725132">
        <w:rPr>
          <w:rStyle w:val="markedcontent"/>
          <w:rFonts w:ascii="Arial" w:hAnsi="Arial" w:cs="Arial"/>
        </w:rPr>
        <w:t xml:space="preserve"> </w:t>
      </w:r>
      <w:r w:rsidR="00725132" w:rsidRPr="00725132">
        <w:rPr>
          <w:rStyle w:val="markedcontent"/>
          <w:rFonts w:ascii="Arial" w:hAnsi="Arial" w:cs="Arial"/>
        </w:rPr>
        <w:t>Owner Occupied</w:t>
      </w:r>
      <w:r w:rsidR="00725132">
        <w:rPr>
          <w:rStyle w:val="markedcontent"/>
          <w:rFonts w:ascii="Arial" w:hAnsi="Arial" w:cs="Arial"/>
        </w:rPr>
        <w:t>,</w:t>
      </w:r>
      <w:r w:rsidR="00725132">
        <w:br/>
      </w:r>
      <w:r w:rsidR="00725132" w:rsidRPr="00725132">
        <w:rPr>
          <w:rStyle w:val="markedcontent"/>
          <w:rFonts w:ascii="Arial" w:hAnsi="Arial" w:cs="Arial"/>
        </w:rPr>
        <w:t>Privately Rented</w:t>
      </w:r>
      <w:r w:rsidR="00725132">
        <w:t xml:space="preserve">, </w:t>
      </w:r>
      <w:r w:rsidR="00725132" w:rsidRPr="00725132">
        <w:rPr>
          <w:rStyle w:val="markedcontent"/>
          <w:rFonts w:ascii="Arial" w:hAnsi="Arial" w:cs="Arial"/>
        </w:rPr>
        <w:t>Housing Association</w:t>
      </w:r>
      <w:r w:rsidR="00725132">
        <w:t xml:space="preserve">, </w:t>
      </w:r>
      <w:r w:rsidR="00725132" w:rsidRPr="00725132">
        <w:rPr>
          <w:rStyle w:val="markedcontent"/>
          <w:rFonts w:ascii="Arial" w:hAnsi="Arial" w:cs="Arial"/>
        </w:rPr>
        <w:t>Local Authority</w:t>
      </w:r>
    </w:p>
    <w:p w14:paraId="54619700" w14:textId="4CA86C3D" w:rsidR="0093705E" w:rsidRPr="0093705E" w:rsidRDefault="0093705E" w:rsidP="0093705E">
      <w:pPr>
        <w:rPr>
          <w:rFonts w:ascii="Arial" w:eastAsia="Times New Roman" w:hAnsi="Arial" w:cs="Arial"/>
          <w:lang w:eastAsia="en-GB"/>
        </w:rPr>
      </w:pPr>
      <w:r w:rsidRPr="00725132">
        <w:rPr>
          <w:rStyle w:val="Heading1Char"/>
          <w:lang w:eastAsia="en-GB"/>
        </w:rPr>
        <w:t>Current SAP Score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: </w:t>
      </w:r>
      <w:r w:rsidRPr="0093705E">
        <w:rPr>
          <w:rFonts w:ascii="Arial" w:eastAsia="Times New Roman" w:hAnsi="Arial" w:cs="Arial"/>
          <w:lang w:eastAsia="en-GB"/>
        </w:rPr>
        <w:t>Estimate of the property’s current SAP energy efficiency score</w:t>
      </w:r>
      <w:r>
        <w:rPr>
          <w:rFonts w:ascii="Arial" w:eastAsia="Times New Roman" w:hAnsi="Arial" w:cs="Arial"/>
          <w:lang w:eastAsia="en-GB"/>
        </w:rPr>
        <w:t xml:space="preserve">. </w:t>
      </w:r>
      <w:r w:rsidRPr="0093705E">
        <w:rPr>
          <w:rFonts w:ascii="Arial" w:eastAsia="Times New Roman" w:hAnsi="Arial" w:cs="Arial"/>
          <w:lang w:eastAsia="en-GB"/>
        </w:rPr>
        <w:t xml:space="preserve">Based on cost of energy, </w:t>
      </w:r>
      <w:proofErr w:type="gramStart"/>
      <w:r w:rsidRPr="0093705E">
        <w:rPr>
          <w:rFonts w:ascii="Arial" w:eastAsia="Times New Roman" w:hAnsi="Arial" w:cs="Arial"/>
          <w:lang w:eastAsia="en-GB"/>
        </w:rPr>
        <w:t>i.e.</w:t>
      </w:r>
      <w:proofErr w:type="gramEnd"/>
      <w:r w:rsidRPr="0093705E">
        <w:rPr>
          <w:rFonts w:ascii="Arial" w:eastAsia="Times New Roman" w:hAnsi="Arial" w:cs="Arial"/>
          <w:lang w:eastAsia="en-GB"/>
        </w:rPr>
        <w:t xml:space="preserve"> energy required for space heating, water heating and lighting [in kWh/year] multiplied by fuel costs. (£/m²/year where cost is derived from kWh</w:t>
      </w:r>
      <w:proofErr w:type="gramStart"/>
      <w:r w:rsidRPr="0093705E">
        <w:rPr>
          <w:rFonts w:ascii="Arial" w:eastAsia="Times New Roman" w:hAnsi="Arial" w:cs="Arial"/>
          <w:lang w:eastAsia="en-GB"/>
        </w:rPr>
        <w:t>).</w:t>
      </w:r>
      <w:r w:rsidRPr="007031F6">
        <w:rPr>
          <w:rFonts w:ascii="Arial" w:eastAsia="Times New Roman" w:hAnsi="Arial" w:cs="Arial"/>
          <w:lang w:eastAsia="en-GB"/>
        </w:rPr>
        <w:t>.</w:t>
      </w:r>
      <w:proofErr w:type="gramEnd"/>
      <w:r w:rsidRPr="007031F6">
        <w:rPr>
          <w:rFonts w:ascii="Arial" w:eastAsia="Times New Roman" w:hAnsi="Arial" w:cs="Arial"/>
          <w:lang w:eastAsia="en-GB"/>
        </w:rPr>
        <w:t xml:space="preserve"> </w:t>
      </w:r>
    </w:p>
    <w:p w14:paraId="4E361E43" w14:textId="51010A2E" w:rsidR="0093705E" w:rsidRDefault="0093705E" w:rsidP="00A25F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25132">
        <w:rPr>
          <w:rStyle w:val="Heading1Char"/>
          <w:lang w:eastAsia="en-GB"/>
        </w:rPr>
        <w:t>Potential SAP Score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: </w:t>
      </w:r>
      <w:r w:rsidRPr="007031F6">
        <w:rPr>
          <w:rFonts w:ascii="Arial" w:eastAsia="Times New Roman" w:hAnsi="Arial" w:cs="Arial"/>
          <w:lang w:eastAsia="en-GB"/>
        </w:rPr>
        <w:t>The potential energy efficiency rating of the property</w:t>
      </w:r>
      <w:r w:rsidRPr="007031F6">
        <w:rPr>
          <w:rFonts w:ascii="Arial" w:hAnsi="Arial" w:cs="Arial"/>
        </w:rPr>
        <w:t xml:space="preserve"> if all the cost-effective measures are installed.</w:t>
      </w:r>
    </w:p>
    <w:p w14:paraId="415763D8" w14:textId="2467B2F8" w:rsidR="0093705E" w:rsidRDefault="0093705E" w:rsidP="00A25F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25132">
        <w:rPr>
          <w:rStyle w:val="Heading1Char"/>
          <w:lang w:eastAsia="en-GB"/>
        </w:rPr>
        <w:t>Potential SAP Improvement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:</w:t>
      </w:r>
      <w:r w:rsidR="0072513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 w:rsidR="00725132" w:rsidRPr="007031F6">
        <w:rPr>
          <w:rFonts w:ascii="Arial" w:eastAsia="Times New Roman" w:hAnsi="Arial" w:cs="Arial"/>
          <w:lang w:eastAsia="en-GB"/>
        </w:rPr>
        <w:t xml:space="preserve">The </w:t>
      </w:r>
      <w:r w:rsidR="00725132">
        <w:rPr>
          <w:rFonts w:ascii="Arial" w:eastAsia="Times New Roman" w:hAnsi="Arial" w:cs="Arial"/>
          <w:lang w:eastAsia="en-GB"/>
        </w:rPr>
        <w:t xml:space="preserve">change in </w:t>
      </w:r>
      <w:r w:rsidR="00725132" w:rsidRPr="007031F6">
        <w:rPr>
          <w:rFonts w:ascii="Arial" w:eastAsia="Times New Roman" w:hAnsi="Arial" w:cs="Arial"/>
          <w:lang w:eastAsia="en-GB"/>
        </w:rPr>
        <w:t>energy efficiency rating of the property</w:t>
      </w:r>
      <w:r w:rsidR="00725132" w:rsidRPr="007031F6">
        <w:rPr>
          <w:rFonts w:ascii="Arial" w:hAnsi="Arial" w:cs="Arial"/>
        </w:rPr>
        <w:t xml:space="preserve"> if all the cost-effective measures are installed.</w:t>
      </w:r>
    </w:p>
    <w:p w14:paraId="43EC0612" w14:textId="46ED76F5" w:rsidR="0093705E" w:rsidRDefault="0093705E" w:rsidP="00A25F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25132">
        <w:rPr>
          <w:rStyle w:val="Heading1Char"/>
          <w:lang w:eastAsia="en-GB"/>
        </w:rPr>
        <w:t>Current Energy Demand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:</w:t>
      </w:r>
      <w:r w:rsidR="0072513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 w:rsidR="00725132">
        <w:rPr>
          <w:rStyle w:val="markedcontent"/>
          <w:rFonts w:ascii="Arial" w:hAnsi="Arial" w:cs="Arial"/>
        </w:rPr>
        <w:t>Estimate of the property’s annual SAP-based energy</w:t>
      </w:r>
      <w:r w:rsidR="00725132">
        <w:br/>
      </w:r>
      <w:r w:rsidR="00725132">
        <w:rPr>
          <w:rStyle w:val="markedcontent"/>
          <w:rFonts w:ascii="Arial" w:hAnsi="Arial" w:cs="Arial"/>
        </w:rPr>
        <w:t>consumption, including electricity, storage heating and water</w:t>
      </w:r>
      <w:r w:rsidR="00725132">
        <w:t xml:space="preserve"> </w:t>
      </w:r>
      <w:r w:rsidR="00725132">
        <w:rPr>
          <w:rStyle w:val="markedcontent"/>
          <w:rFonts w:ascii="Arial" w:hAnsi="Arial" w:cs="Arial"/>
        </w:rPr>
        <w:t>heating.</w:t>
      </w:r>
    </w:p>
    <w:p w14:paraId="2DA830DB" w14:textId="78ECE321" w:rsidR="0093705E" w:rsidRDefault="0093705E" w:rsidP="00A25F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25132">
        <w:rPr>
          <w:rStyle w:val="Heading1Char"/>
          <w:lang w:eastAsia="en-GB"/>
        </w:rPr>
        <w:t>Energy Savings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:</w:t>
      </w:r>
      <w:r w:rsidR="00725132" w:rsidRPr="00725132">
        <w:rPr>
          <w:rStyle w:val="markedcontent"/>
          <w:rFonts w:ascii="Arial" w:hAnsi="Arial" w:cs="Arial"/>
        </w:rPr>
        <w:t xml:space="preserve"> </w:t>
      </w:r>
      <w:r w:rsidR="00725132">
        <w:rPr>
          <w:rStyle w:val="markedcontent"/>
          <w:rFonts w:ascii="Arial" w:hAnsi="Arial" w:cs="Arial"/>
        </w:rPr>
        <w:t xml:space="preserve">Estimate of the property’s </w:t>
      </w:r>
      <w:r w:rsidR="00725132">
        <w:rPr>
          <w:rStyle w:val="markedcontent"/>
          <w:rFonts w:ascii="Arial" w:hAnsi="Arial" w:cs="Arial"/>
        </w:rPr>
        <w:t xml:space="preserve">change in annual </w:t>
      </w:r>
      <w:r w:rsidR="00725132">
        <w:rPr>
          <w:rStyle w:val="markedcontent"/>
          <w:rFonts w:ascii="Arial" w:hAnsi="Arial" w:cs="Arial"/>
        </w:rPr>
        <w:t>energy</w:t>
      </w:r>
      <w:r w:rsidR="00725132">
        <w:br/>
      </w:r>
      <w:r w:rsidR="00725132">
        <w:rPr>
          <w:rStyle w:val="markedcontent"/>
          <w:rFonts w:ascii="Arial" w:hAnsi="Arial" w:cs="Arial"/>
        </w:rPr>
        <w:t xml:space="preserve">consumption, </w:t>
      </w:r>
      <w:r w:rsidR="00725132" w:rsidRPr="007031F6">
        <w:rPr>
          <w:rFonts w:ascii="Arial" w:hAnsi="Arial" w:cs="Arial"/>
        </w:rPr>
        <w:t>if all the cost-effective measures are installed.</w:t>
      </w:r>
    </w:p>
    <w:p w14:paraId="214C8867" w14:textId="2B9E74E5" w:rsidR="0093705E" w:rsidRDefault="0093705E" w:rsidP="00A25F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25132">
        <w:rPr>
          <w:rStyle w:val="Heading1Char"/>
          <w:lang w:eastAsia="en-GB"/>
        </w:rPr>
        <w:t>CO2 Emissions (2021)</w:t>
      </w:r>
      <w:r w:rsidRPr="00725132">
        <w:rPr>
          <w:rStyle w:val="Heading1Char"/>
        </w:rPr>
        <w:t>: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 w:rsidRPr="0093705E">
        <w:rPr>
          <w:rFonts w:ascii="Arial" w:eastAsia="Times New Roman" w:hAnsi="Arial" w:cs="Arial"/>
          <w:lang w:eastAsia="en-GB"/>
        </w:rPr>
        <w:t>CO</w:t>
      </w:r>
      <w:r w:rsidRPr="0093705E">
        <w:rPr>
          <w:rFonts w:ascii="Cambria Math" w:eastAsia="Times New Roman" w:hAnsi="Cambria Math" w:cs="Cambria Math"/>
          <w:lang w:eastAsia="en-GB"/>
        </w:rPr>
        <w:t>₂</w:t>
      </w:r>
      <w:r w:rsidRPr="0093705E">
        <w:rPr>
          <w:rFonts w:ascii="Arial" w:eastAsia="Times New Roman" w:hAnsi="Arial" w:cs="Arial"/>
          <w:lang w:eastAsia="en-GB"/>
        </w:rPr>
        <w:t xml:space="preserve"> emissions per year in tonnes/year</w:t>
      </w:r>
    </w:p>
    <w:p w14:paraId="47311729" w14:textId="77777777" w:rsidR="00845AB5" w:rsidRPr="00845AB5" w:rsidRDefault="00845AB5" w:rsidP="00A25F5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p w14:paraId="4EA0F4E8" w14:textId="77777777" w:rsidR="00FD055E" w:rsidRPr="00906B42" w:rsidRDefault="00FD055E">
      <w:pPr>
        <w:rPr>
          <w:rFonts w:ascii="Arial" w:hAnsi="Arial" w:cs="Arial"/>
        </w:rPr>
      </w:pPr>
    </w:p>
    <w:sectPr w:rsidR="00FD055E" w:rsidRPr="0090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F34"/>
    <w:multiLevelType w:val="hybridMultilevel"/>
    <w:tmpl w:val="BC84B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74C94"/>
    <w:multiLevelType w:val="hybridMultilevel"/>
    <w:tmpl w:val="37C63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02666"/>
    <w:multiLevelType w:val="hybridMultilevel"/>
    <w:tmpl w:val="AEE87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4497">
    <w:abstractNumId w:val="1"/>
  </w:num>
  <w:num w:numId="2" w16cid:durableId="1334650619">
    <w:abstractNumId w:val="0"/>
  </w:num>
  <w:num w:numId="3" w16cid:durableId="176753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57"/>
    <w:rsid w:val="00381C83"/>
    <w:rsid w:val="00522E1B"/>
    <w:rsid w:val="00647C3A"/>
    <w:rsid w:val="007031F6"/>
    <w:rsid w:val="00725132"/>
    <w:rsid w:val="00845AB5"/>
    <w:rsid w:val="00906B42"/>
    <w:rsid w:val="0093705E"/>
    <w:rsid w:val="00A25F57"/>
    <w:rsid w:val="00D87DDA"/>
    <w:rsid w:val="00F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84A6"/>
  <w15:chartTrackingRefBased/>
  <w15:docId w15:val="{315B14AC-168F-4FC1-A27C-E864C3B3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13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4">
    <w:name w:val="heading 4"/>
    <w:basedOn w:val="Normal"/>
    <w:link w:val="Heading4Char"/>
    <w:uiPriority w:val="9"/>
    <w:qFormat/>
    <w:rsid w:val="00A25F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5F5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dbid">
    <w:name w:val="dbid"/>
    <w:basedOn w:val="DefaultParagraphFont"/>
    <w:rsid w:val="00A25F57"/>
  </w:style>
  <w:style w:type="paragraph" w:styleId="ListParagraph">
    <w:name w:val="List Paragraph"/>
    <w:basedOn w:val="Normal"/>
    <w:uiPriority w:val="34"/>
    <w:qFormat/>
    <w:rsid w:val="00906B42"/>
    <w:pPr>
      <w:ind w:left="720"/>
      <w:contextualSpacing/>
    </w:pPr>
  </w:style>
  <w:style w:type="table" w:styleId="TableGrid">
    <w:name w:val="Table Grid"/>
    <w:basedOn w:val="TableNormal"/>
    <w:uiPriority w:val="39"/>
    <w:rsid w:val="00845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845AB5"/>
  </w:style>
  <w:style w:type="character" w:styleId="Hyperlink">
    <w:name w:val="Hyperlink"/>
    <w:basedOn w:val="DefaultParagraphFont"/>
    <w:uiPriority w:val="99"/>
    <w:unhideWhenUsed/>
    <w:rsid w:val="00647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3A"/>
    <w:rPr>
      <w:color w:val="605E5C"/>
      <w:shd w:val="clear" w:color="auto" w:fill="E1DFDD"/>
    </w:rPr>
  </w:style>
  <w:style w:type="paragraph" w:styleId="TOAHeading">
    <w:name w:val="toa heading"/>
    <w:basedOn w:val="Normal"/>
    <w:next w:val="Normal"/>
    <w:uiPriority w:val="99"/>
    <w:semiHidden/>
    <w:unhideWhenUsed/>
    <w:rsid w:val="0093705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3705E"/>
    <w:pPr>
      <w:spacing w:after="0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725132"/>
    <w:rPr>
      <w:rFonts w:ascii="Arial" w:eastAsiaTheme="majorEastAsia" w:hAnsi="Arial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5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4E8C0-50CC-4317-91BB-63FB4974D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Caldwell</dc:creator>
  <cp:keywords/>
  <dc:description/>
  <cp:lastModifiedBy>Anton Caldwell</cp:lastModifiedBy>
  <cp:revision>3</cp:revision>
  <dcterms:created xsi:type="dcterms:W3CDTF">2023-04-06T12:16:00Z</dcterms:created>
  <dcterms:modified xsi:type="dcterms:W3CDTF">2023-04-13T12:54:00Z</dcterms:modified>
</cp:coreProperties>
</file>