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FD" w:rsidRDefault="00F974D8" w:rsidP="00863A70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  <w:r w:rsidRPr="00CB0A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Formulating </w:t>
      </w:r>
      <w:r w:rsidR="00CB0AFD" w:rsidRPr="00CB0A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a </w:t>
      </w:r>
      <w:r w:rsidRPr="00CB0A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Scientifically Testable Question</w:t>
      </w:r>
    </w:p>
    <w:p w:rsidR="000C2D40" w:rsidRPr="00CB0AFD" w:rsidRDefault="00F974D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8"/>
          <w:szCs w:val="28"/>
          <w:lang w:eastAsia="ja-JP"/>
        </w:rPr>
      </w:pPr>
      <w:r w:rsidRPr="00CB0AFD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Related to </w:t>
      </w:r>
      <w:r w:rsidRPr="00CB0AFD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8C037C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type context here]</w:t>
      </w:r>
    </w:p>
    <w:p w:rsidR="00D20706" w:rsidRDefault="00D20706" w:rsidP="0009221A">
      <w:pPr>
        <w:spacing w:before="120" w:after="0" w:line="240" w:lineRule="auto"/>
        <w:ind w:left="360"/>
        <w:rPr>
          <w:rFonts w:ascii="Times New Roman" w:eastAsia="MS Mincho" w:hAnsi="Times New Roman" w:cs="Times New Roman"/>
          <w:lang w:eastAsia="ja-JP"/>
        </w:rPr>
      </w:pPr>
    </w:p>
    <w:p w:rsidR="00042A48" w:rsidRPr="00CB0AFD" w:rsidRDefault="00452B9C" w:rsidP="004D3673">
      <w:pPr>
        <w:spacing w:before="120" w:after="24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exercise, you will </w:t>
      </w:r>
      <w:r w:rsidRPr="00452B9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create a</w:t>
      </w: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452B9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scientifically testable question</w:t>
      </w: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related to </w:t>
      </w: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description of the domain to which the research question pertains]</w:t>
      </w: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Use </w:t>
      </w:r>
      <w:r w:rsidRPr="00452B9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two</w:t>
      </w: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following </w:t>
      </w: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appropriate number of variables (6–8)]</w:t>
      </w:r>
      <w:r w:rsidRPr="00452B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variables when you create your scientifically testable question: 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1st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2nd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3rd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4th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5th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6th variable.]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7th variable, if applicable.]</w:t>
      </w:r>
    </w:p>
    <w:p w:rsidR="00042A48" w:rsidRPr="00CB0AFD" w:rsidRDefault="00452B9C" w:rsidP="004D3673">
      <w:pPr>
        <w:numPr>
          <w:ilvl w:val="0"/>
          <w:numId w:val="2"/>
        </w:num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452B9C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[Type 8th variable, if applicable.]</w:t>
      </w:r>
    </w:p>
    <w:p w:rsidR="00042A48" w:rsidRPr="00042A48" w:rsidRDefault="00042A48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</w:p>
    <w:p w:rsidR="00042A48" w:rsidRDefault="00042A48">
      <w:pPr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br w:type="page"/>
      </w:r>
    </w:p>
    <w:p w:rsidR="00042A48" w:rsidRPr="00042A48" w:rsidRDefault="00042A48" w:rsidP="00042A48">
      <w:pPr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lastRenderedPageBreak/>
        <w:t xml:space="preserve">Choose two variables from the list </w:t>
      </w:r>
      <w:r w:rsidR="00F4236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on the previous page 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that you think might have a relationship with one another. Be careful about which two variables you choose. Only pick variables you (or another scientist) could actually</w:t>
      </w: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observe or measure scientifically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. Write those two variables in the space below.</w:t>
      </w:r>
    </w:p>
    <w:p w:rsidR="00042A48" w:rsidRPr="00042A48" w:rsidRDefault="00042A48" w:rsidP="00042A48">
      <w:pPr>
        <w:tabs>
          <w:tab w:val="left" w:pos="360"/>
        </w:tabs>
        <w:spacing w:before="120" w:after="60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1st variable:</w:t>
      </w:r>
    </w:p>
    <w:p w:rsidR="00042A48" w:rsidRPr="00042A48" w:rsidRDefault="00042A48" w:rsidP="00042A48">
      <w:pPr>
        <w:tabs>
          <w:tab w:val="left" w:pos="360"/>
        </w:tabs>
        <w:spacing w:before="120" w:after="60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2nd variable:</w:t>
      </w:r>
    </w:p>
    <w:p w:rsidR="00042A48" w:rsidRPr="00042A48" w:rsidRDefault="00042A48" w:rsidP="00042A48">
      <w:pPr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For each of the two variables you chose, tell why it is possible to study the variable. To do this, </w:t>
      </w: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explain how each variable could be observed or measured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042A48" w:rsidRPr="00042A48" w:rsidRDefault="00042A48" w:rsidP="00042A48">
      <w:pPr>
        <w:tabs>
          <w:tab w:val="left" w:pos="360"/>
        </w:tabs>
        <w:spacing w:before="120" w:after="252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Explain how your 1st variable could be observed or measured:</w:t>
      </w:r>
    </w:p>
    <w:p w:rsidR="00042A48" w:rsidRPr="00042A48" w:rsidRDefault="00042A48" w:rsidP="00042A48">
      <w:pPr>
        <w:tabs>
          <w:tab w:val="left" w:pos="360"/>
        </w:tabs>
        <w:spacing w:before="120" w:after="252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Explain how your 2nd variable could be observed or measured:</w:t>
      </w:r>
    </w:p>
    <w:p w:rsidR="00042A48" w:rsidRPr="00042A48" w:rsidRDefault="00042A48" w:rsidP="00042A48">
      <w:pPr>
        <w:numPr>
          <w:ilvl w:val="0"/>
          <w:numId w:val="3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the space below, </w:t>
      </w: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write a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scientifically testable question 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that relates your two variables</w:t>
      </w:r>
      <w:r w:rsidRPr="00042A4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042A48">
        <w:rPr>
          <w:rFonts w:ascii="Times New Roman" w:eastAsia="MS Mincho" w:hAnsi="Times New Roman" w:cs="Times New Roman"/>
          <w:sz w:val="24"/>
          <w:szCs w:val="24"/>
          <w:lang w:eastAsia="ja-JP"/>
        </w:rPr>
        <w:t>to each other.</w:t>
      </w:r>
    </w:p>
    <w:p w:rsidR="000C7AAE" w:rsidRDefault="000C7AAE" w:rsidP="00042A48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  <w:sectPr w:rsidR="000C7AAE" w:rsidSect="00BB4F07">
          <w:headerReference w:type="default" r:id="rId8"/>
          <w:footerReference w:type="default" r:id="rId9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Pr="000C7AAE" w:rsidRDefault="00ED4B08" w:rsidP="0052733D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9634C7" w:rsidRPr="00B91FA2" w:rsidRDefault="009634C7" w:rsidP="00221F3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1st </w:t>
      </w:r>
      <w:r w:rsidR="007E2F2E">
        <w:rPr>
          <w:rFonts w:ascii="Times New Roman" w:eastAsia="MS Mincho" w:hAnsi="Times New Roman" w:cs="Times New Roman"/>
          <w:b/>
          <w:lang w:eastAsia="ja-JP"/>
        </w:rPr>
        <w:t>V</w:t>
      </w:r>
      <w:r w:rsidRPr="00B91FA2">
        <w:rPr>
          <w:rFonts w:ascii="Times New Roman" w:eastAsia="MS Mincho" w:hAnsi="Times New Roman" w:cs="Times New Roman"/>
          <w:b/>
          <w:lang w:eastAsia="ja-JP"/>
        </w:rPr>
        <w:t>ariable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BB73EE" w:rsidTr="00230698">
        <w:tc>
          <w:tcPr>
            <w:tcW w:w="4615" w:type="pct"/>
            <w:vAlign w:val="center"/>
          </w:tcPr>
          <w:p w:rsidR="00BB73EE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objective</w:t>
            </w:r>
            <w:r w:rsidR="00221F3B">
              <w:rPr>
                <w:rFonts w:ascii="Times New Roman" w:hAnsi="Times New Roman" w:cs="Times New Roman"/>
              </w:rPr>
              <w:t>ly measurable</w:t>
            </w:r>
            <w:r>
              <w:rPr>
                <w:rFonts w:ascii="Times New Roman" w:hAnsi="Times New Roman" w:cs="Times New Roman"/>
              </w:rPr>
              <w:t xml:space="preserve"> variables.</w:t>
            </w:r>
          </w:p>
          <w:p w:rsidR="00ED63C1" w:rsidRPr="00D66874" w:rsidRDefault="00ED63C1" w:rsidP="00ED63C1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1st </w:t>
            </w:r>
            <w:r w:rsidRPr="00D66874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ED63C1" w:rsidRPr="00D66874" w:rsidRDefault="00ED63C1" w:rsidP="00ED63C1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2nd </w:t>
            </w:r>
            <w:r w:rsidRPr="00D66874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D66874" w:rsidRDefault="00ED63C1" w:rsidP="00D66874">
            <w:pPr>
              <w:numPr>
                <w:ilvl w:val="0"/>
                <w:numId w:val="2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3rd </w:t>
            </w:r>
            <w:r w:rsidRPr="00D66874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BB73EE" w:rsidRPr="00D66874" w:rsidRDefault="00ED63C1" w:rsidP="00D66874">
            <w:pPr>
              <w:numPr>
                <w:ilvl w:val="0"/>
                <w:numId w:val="2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4th </w:t>
            </w:r>
            <w:r w:rsidRPr="00D66874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variable, if applicable.]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BB73EE" w:rsidTr="00230698">
        <w:tc>
          <w:tcPr>
            <w:tcW w:w="4615" w:type="pct"/>
            <w:vAlign w:val="center"/>
          </w:tcPr>
          <w:p w:rsidR="00BB73EE" w:rsidRDefault="00BB73EE" w:rsidP="00CA7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75EE">
              <w:rPr>
                <w:rFonts w:ascii="Times New Roman" w:hAnsi="Times New Roman" w:cs="Times New Roman"/>
              </w:rPr>
              <w:t xml:space="preserve">objectively measurable </w:t>
            </w:r>
            <w:r>
              <w:rPr>
                <w:rFonts w:ascii="Times New Roman" w:hAnsi="Times New Roman" w:cs="Times New Roman"/>
              </w:rPr>
              <w:t>variables</w:t>
            </w:r>
            <w:r w:rsidR="007E2F2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397D" w:rsidRPr="005F397D">
              <w:rPr>
                <w:rFonts w:ascii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7618">
              <w:rPr>
                <w:rFonts w:ascii="Times New Roman" w:hAnsi="Times New Roman" w:cs="Times New Roman"/>
              </w:rPr>
              <w:t>one could quantify or categorize the variable given the student’s explanation.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pts.</w:t>
            </w:r>
          </w:p>
        </w:tc>
      </w:tr>
    </w:tbl>
    <w:p w:rsidR="0019042D" w:rsidRPr="005176C7" w:rsidRDefault="005F397D">
      <w:pPr>
        <w:spacing w:before="120" w:after="120" w:line="120" w:lineRule="exact"/>
        <w:jc w:val="center"/>
        <w:rPr>
          <w:rFonts w:ascii="Times New Roman" w:hAnsi="Times New Roman" w:cs="Times New Roman"/>
        </w:rPr>
      </w:pPr>
      <w:r w:rsidRPr="005F397D">
        <w:rPr>
          <w:rFonts w:ascii="Times New Roman" w:hAnsi="Times New Roman" w:cs="Times New Roman"/>
        </w:rPr>
        <w:t>OR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BB73EE" w:rsidTr="000A21F2">
        <w:tc>
          <w:tcPr>
            <w:tcW w:w="4615" w:type="pct"/>
            <w:vAlign w:val="center"/>
          </w:tcPr>
          <w:p w:rsidR="00BB73EE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less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75EE">
              <w:rPr>
                <w:rFonts w:ascii="Times New Roman" w:hAnsi="Times New Roman" w:cs="Times New Roman"/>
              </w:rPr>
              <w:t xml:space="preserve">objectively measurable </w:t>
            </w:r>
            <w:r>
              <w:rPr>
                <w:rFonts w:ascii="Times New Roman" w:hAnsi="Times New Roman" w:cs="Times New Roman"/>
              </w:rPr>
              <w:t>variables, but s</w:t>
            </w:r>
            <w:r w:rsidRPr="00BF2D84">
              <w:rPr>
                <w:rFonts w:ascii="Times New Roman" w:hAnsi="Times New Roman" w:cs="Times New Roman"/>
              </w:rPr>
              <w:t>tudent describes a specific process to quantify observations of the variable that clearly is both objective and appropriate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63C1" w:rsidRPr="00ED63C1" w:rsidRDefault="00ED63C1" w:rsidP="00ED63C1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Palatino Linotype" w:hAnsi="Times New Roman" w:cs="Times New Roman"/>
                <w:i/>
                <w:color w:val="FF0000"/>
              </w:rPr>
            </w:pP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1st </w:t>
            </w:r>
            <w:r w:rsidR="00452B9C" w:rsidRPr="00452B9C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less</w:t>
            </w: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ED63C1" w:rsidRPr="00ED63C1" w:rsidRDefault="00ED63C1" w:rsidP="00ED63C1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Palatino Linotype" w:hAnsi="Times New Roman" w:cs="Times New Roman"/>
                <w:i/>
                <w:color w:val="FF0000"/>
              </w:rPr>
            </w:pP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2nd </w:t>
            </w:r>
            <w:r w:rsidR="00452B9C" w:rsidRPr="00452B9C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less</w:t>
            </w: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D66874" w:rsidRDefault="00ED63C1" w:rsidP="00D66874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Palatino Linotype" w:hAnsi="Times New Roman" w:cs="Times New Roman"/>
                <w:i/>
                <w:color w:val="FF0000"/>
              </w:rPr>
            </w:pP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3rd </w:t>
            </w:r>
            <w:r w:rsidR="00452B9C" w:rsidRPr="00452B9C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less</w:t>
            </w:r>
            <w:r w:rsidRPr="00ED63C1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variable.]</w:t>
            </w:r>
          </w:p>
          <w:p w:rsidR="00BB73EE" w:rsidRPr="00D66874" w:rsidRDefault="00ED63C1" w:rsidP="00D66874">
            <w:pPr>
              <w:numPr>
                <w:ilvl w:val="0"/>
                <w:numId w:val="2"/>
              </w:numPr>
              <w:ind w:left="432"/>
              <w:contextualSpacing/>
              <w:rPr>
                <w:rFonts w:ascii="Times New Roman" w:eastAsia="Palatino Linotype" w:hAnsi="Times New Roman" w:cs="Times New Roman"/>
                <w:i/>
                <w:color w:val="FF0000"/>
              </w:rPr>
            </w:pP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4th </w:t>
            </w:r>
            <w:r w:rsidR="00452B9C" w:rsidRPr="00452B9C">
              <w:rPr>
                <w:rFonts w:ascii="Times New Roman" w:eastAsia="Palatino Linotype" w:hAnsi="Times New Roman" w:cs="Times New Roman"/>
                <w:b/>
                <w:i/>
                <w:color w:val="FF0000"/>
                <w:u w:val="single"/>
              </w:rPr>
              <w:t>less</w:t>
            </w:r>
            <w:r w:rsidRPr="00D66874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objectively measurable variable, if applicable.]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pts.</w:t>
            </w:r>
          </w:p>
        </w:tc>
      </w:tr>
    </w:tbl>
    <w:p w:rsidR="00ED05CF" w:rsidRDefault="00ED05CF" w:rsidP="00221F3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</w:p>
    <w:p w:rsidR="009634C7" w:rsidRPr="00B91FA2" w:rsidRDefault="009634C7" w:rsidP="00221F3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2nd </w:t>
      </w:r>
      <w:r w:rsidR="007E2F2E">
        <w:rPr>
          <w:rFonts w:ascii="Times New Roman" w:eastAsia="MS Mincho" w:hAnsi="Times New Roman" w:cs="Times New Roman"/>
          <w:b/>
          <w:lang w:eastAsia="ja-JP"/>
        </w:rPr>
        <w:t>V</w:t>
      </w:r>
      <w:r w:rsidRPr="00B91FA2">
        <w:rPr>
          <w:rFonts w:ascii="Times New Roman" w:eastAsia="MS Mincho" w:hAnsi="Times New Roman" w:cs="Times New Roman"/>
          <w:b/>
          <w:lang w:eastAsia="ja-JP"/>
        </w:rPr>
        <w:t>ariable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BB73EE" w:rsidTr="007E2F2E">
        <w:tc>
          <w:tcPr>
            <w:tcW w:w="4615" w:type="pct"/>
            <w:vAlign w:val="center"/>
          </w:tcPr>
          <w:p w:rsidR="00BB73EE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75EE">
              <w:rPr>
                <w:rFonts w:ascii="Times New Roman" w:hAnsi="Times New Roman" w:cs="Times New Roman"/>
              </w:rPr>
              <w:t xml:space="preserve">objectively measurable </w:t>
            </w:r>
            <w:r>
              <w:rPr>
                <w:rFonts w:ascii="Times New Roman" w:hAnsi="Times New Roman" w:cs="Times New Roman"/>
              </w:rPr>
              <w:t>variables.</w:t>
            </w:r>
          </w:p>
        </w:tc>
        <w:tc>
          <w:tcPr>
            <w:tcW w:w="385" w:type="pct"/>
            <w:vAlign w:val="center"/>
          </w:tcPr>
          <w:p w:rsidR="00BB73EE" w:rsidRDefault="007E2F2E" w:rsidP="007E2F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B73EE">
              <w:rPr>
                <w:rFonts w:ascii="Times New Roman" w:hAnsi="Times New Roman" w:cs="Times New Roman"/>
              </w:rPr>
              <w:t xml:space="preserve"> pt.</w:t>
            </w:r>
          </w:p>
        </w:tc>
      </w:tr>
      <w:tr w:rsidR="00BB73EE" w:rsidTr="007E2F2E">
        <w:tc>
          <w:tcPr>
            <w:tcW w:w="4615" w:type="pct"/>
            <w:vAlign w:val="center"/>
          </w:tcPr>
          <w:p w:rsidR="00BB73EE" w:rsidRDefault="00BB73EE" w:rsidP="00CA7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75EE">
              <w:rPr>
                <w:rFonts w:ascii="Times New Roman" w:hAnsi="Times New Roman" w:cs="Times New Roman"/>
              </w:rPr>
              <w:t xml:space="preserve">objectively measurable </w:t>
            </w:r>
            <w:r>
              <w:rPr>
                <w:rFonts w:ascii="Times New Roman" w:hAnsi="Times New Roman" w:cs="Times New Roman"/>
              </w:rPr>
              <w:t>variables</w:t>
            </w:r>
            <w:r w:rsidR="007E2F2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397D" w:rsidRPr="005F397D">
              <w:rPr>
                <w:rFonts w:ascii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7618">
              <w:rPr>
                <w:rFonts w:ascii="Times New Roman" w:hAnsi="Times New Roman" w:cs="Times New Roman"/>
              </w:rPr>
              <w:t>one could quantify or categorize the variable given the student’s explanation.</w:t>
            </w:r>
          </w:p>
        </w:tc>
        <w:tc>
          <w:tcPr>
            <w:tcW w:w="385" w:type="pct"/>
            <w:vAlign w:val="center"/>
          </w:tcPr>
          <w:p w:rsidR="00BB73EE" w:rsidRDefault="00BB73EE" w:rsidP="007E2F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pts.</w:t>
            </w:r>
          </w:p>
        </w:tc>
      </w:tr>
    </w:tbl>
    <w:p w:rsidR="0019042D" w:rsidRPr="005176C7" w:rsidRDefault="005F397D">
      <w:pPr>
        <w:spacing w:before="120" w:after="120" w:line="120" w:lineRule="exact"/>
        <w:jc w:val="center"/>
        <w:rPr>
          <w:rFonts w:ascii="Times New Roman" w:hAnsi="Times New Roman" w:cs="Times New Roman"/>
        </w:rPr>
      </w:pPr>
      <w:r w:rsidRPr="005F397D">
        <w:rPr>
          <w:rFonts w:ascii="Times New Roman" w:hAnsi="Times New Roman" w:cs="Times New Roman"/>
        </w:rPr>
        <w:t>OR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BB73EE" w:rsidTr="000A21F2">
        <w:tc>
          <w:tcPr>
            <w:tcW w:w="4615" w:type="pct"/>
            <w:vAlign w:val="center"/>
          </w:tcPr>
          <w:p w:rsidR="00BB73EE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variable </w:t>
            </w:r>
            <w:r w:rsidRPr="00AB47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one of the </w:t>
            </w:r>
            <w:r w:rsidR="005F397D" w:rsidRPr="005F397D">
              <w:rPr>
                <w:rFonts w:ascii="Times New Roman" w:hAnsi="Times New Roman" w:cs="Times New Roman"/>
                <w:b/>
              </w:rPr>
              <w:t>less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75EE">
              <w:rPr>
                <w:rFonts w:ascii="Times New Roman" w:hAnsi="Times New Roman" w:cs="Times New Roman"/>
              </w:rPr>
              <w:t xml:space="preserve">objectively measurable </w:t>
            </w:r>
            <w:r>
              <w:rPr>
                <w:rFonts w:ascii="Times New Roman" w:hAnsi="Times New Roman" w:cs="Times New Roman"/>
              </w:rPr>
              <w:t>variables, but s</w:t>
            </w:r>
            <w:r w:rsidRPr="00BF2D84">
              <w:rPr>
                <w:rFonts w:ascii="Times New Roman" w:hAnsi="Times New Roman" w:cs="Times New Roman"/>
              </w:rPr>
              <w:t>tudent describes a specific process to quantify observations of the variable that clearly is both objective and appropriate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pts.</w:t>
            </w:r>
          </w:p>
        </w:tc>
      </w:tr>
    </w:tbl>
    <w:p w:rsidR="00ED05CF" w:rsidRDefault="00ED05CF" w:rsidP="00221F3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</w:p>
    <w:p w:rsidR="009634C7" w:rsidRPr="00B91FA2" w:rsidRDefault="009634C7" w:rsidP="00221F3B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Question </w:t>
      </w:r>
      <w:r w:rsidR="007E2F2E">
        <w:rPr>
          <w:rFonts w:ascii="Times New Roman" w:eastAsia="MS Mincho" w:hAnsi="Times New Roman" w:cs="Times New Roman"/>
          <w:b/>
          <w:lang w:eastAsia="ja-JP"/>
        </w:rPr>
        <w:t>C</w:t>
      </w:r>
      <w:r w:rsidRPr="00B91FA2">
        <w:rPr>
          <w:rFonts w:ascii="Times New Roman" w:eastAsia="MS Mincho" w:hAnsi="Times New Roman" w:cs="Times New Roman"/>
          <w:b/>
          <w:lang w:eastAsia="ja-JP"/>
        </w:rPr>
        <w:t>haracteristics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852"/>
        <w:gridCol w:w="738"/>
      </w:tblGrid>
      <w:tr w:rsidR="00BB73EE" w:rsidTr="000A21F2">
        <w:tc>
          <w:tcPr>
            <w:tcW w:w="4615" w:type="pct"/>
          </w:tcPr>
          <w:p w:rsidR="00BB73EE" w:rsidRDefault="00BB73EE" w:rsidP="009634C7">
            <w:pPr>
              <w:rPr>
                <w:rFonts w:ascii="Times New Roman" w:hAnsi="Times New Roman" w:cs="Times New Roman"/>
              </w:rPr>
            </w:pPr>
            <w:r w:rsidRPr="009D4B7E">
              <w:rPr>
                <w:rFonts w:ascii="Times New Roman" w:hAnsi="Times New Roman" w:cs="Times New Roman"/>
              </w:rPr>
              <w:t>Statement</w:t>
            </w:r>
            <w:r w:rsidR="0025256F">
              <w:rPr>
                <w:rFonts w:ascii="Times New Roman" w:hAnsi="Times New Roman" w:cs="Times New Roman"/>
              </w:rPr>
              <w:t xml:space="preserve"> is</w:t>
            </w:r>
            <w:r w:rsidRPr="009D4B7E">
              <w:rPr>
                <w:rFonts w:ascii="Times New Roman" w:hAnsi="Times New Roman" w:cs="Times New Roman"/>
              </w:rPr>
              <w:t xml:space="preserve"> phrased as a question.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BB73EE" w:rsidTr="000A21F2">
        <w:tc>
          <w:tcPr>
            <w:tcW w:w="4615" w:type="pct"/>
          </w:tcPr>
          <w:p w:rsidR="00BB73EE" w:rsidRPr="009448D6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Statement</w:t>
            </w:r>
            <w:r w:rsidRPr="00BF2D84">
              <w:rPr>
                <w:rFonts w:ascii="Times New Roman" w:hAnsi="Times New Roman" w:cs="Times New Roman"/>
              </w:rPr>
              <w:t xml:space="preserve"> references the two variables that the student previously listed</w:t>
            </w:r>
            <w:r>
              <w:rPr>
                <w:rFonts w:ascii="Times New Roman" w:hAnsi="Times New Roman" w:cs="Times New Roman"/>
              </w:rPr>
              <w:t xml:space="preserve"> and no others.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BB73EE" w:rsidTr="000A21F2">
        <w:tc>
          <w:tcPr>
            <w:tcW w:w="4615" w:type="pct"/>
          </w:tcPr>
          <w:p w:rsidR="00BB73EE" w:rsidRPr="009448D6" w:rsidRDefault="00BB73EE" w:rsidP="00963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Statement</w:t>
            </w:r>
            <w:r w:rsidRPr="00BF2D84">
              <w:rPr>
                <w:rFonts w:ascii="Times New Roman" w:hAnsi="Times New Roman" w:cs="Times New Roman"/>
              </w:rPr>
              <w:t xml:space="preserve"> implies a relationship (causal or </w:t>
            </w:r>
            <w:proofErr w:type="spellStart"/>
            <w:r w:rsidRPr="00BF2D84">
              <w:rPr>
                <w:rFonts w:ascii="Times New Roman" w:hAnsi="Times New Roman" w:cs="Times New Roman"/>
              </w:rPr>
              <w:t>correlational</w:t>
            </w:r>
            <w:proofErr w:type="spellEnd"/>
            <w:r w:rsidRPr="00BF2D84">
              <w:rPr>
                <w:rFonts w:ascii="Times New Roman" w:hAnsi="Times New Roman" w:cs="Times New Roman"/>
              </w:rPr>
              <w:t>) between the two listed variables.</w:t>
            </w:r>
          </w:p>
        </w:tc>
        <w:tc>
          <w:tcPr>
            <w:tcW w:w="385" w:type="pct"/>
            <w:vAlign w:val="center"/>
          </w:tcPr>
          <w:p w:rsidR="00BB73EE" w:rsidRDefault="00BB73EE" w:rsidP="00963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2B321D" w:rsidRPr="00233455" w:rsidRDefault="002B321D" w:rsidP="009634C7">
      <w:pPr>
        <w:rPr>
          <w:rFonts w:ascii="Times New Roman" w:hAnsi="Times New Roman" w:cs="Times New Roman"/>
        </w:rPr>
      </w:pPr>
    </w:p>
    <w:sectPr w:rsidR="002B321D" w:rsidRPr="00233455" w:rsidSect="00BB4F07"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2AA" w:rsidRDefault="005032AA" w:rsidP="0037083A">
      <w:pPr>
        <w:spacing w:after="0" w:line="240" w:lineRule="auto"/>
      </w:pPr>
      <w:r>
        <w:separator/>
      </w:r>
    </w:p>
  </w:endnote>
  <w:endnote w:type="continuationSeparator" w:id="0">
    <w:p w:rsidR="005032AA" w:rsidRDefault="005032AA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AFD" w:rsidRDefault="00CB0AFD" w:rsidP="00536E57">
    <w:pPr>
      <w:pStyle w:val="Footer"/>
      <w:tabs>
        <w:tab w:val="clear" w:pos="4680"/>
        <w:tab w:val="left" w:pos="1440"/>
      </w:tabs>
    </w:pPr>
  </w:p>
  <w:p w:rsidR="00CB0AFD" w:rsidRDefault="00CB0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2AA" w:rsidRDefault="005032AA" w:rsidP="0037083A">
      <w:pPr>
        <w:spacing w:after="0" w:line="240" w:lineRule="auto"/>
      </w:pPr>
      <w:r>
        <w:separator/>
      </w:r>
    </w:p>
  </w:footnote>
  <w:footnote w:type="continuationSeparator" w:id="0">
    <w:p w:rsidR="005032AA" w:rsidRDefault="005032AA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CB0AFD" w:rsidTr="00C85D1D">
      <w:tc>
        <w:tcPr>
          <w:tcW w:w="2256" w:type="pct"/>
        </w:tcPr>
        <w:p w:rsidR="00CB0AFD" w:rsidRPr="00B84D15" w:rsidRDefault="00CB0AFD" w:rsidP="00B84D15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CB0AFD" w:rsidRDefault="00CB0AFD" w:rsidP="00B84D15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CB0AFD" w:rsidRPr="00B84D15" w:rsidRDefault="00CB0AFD" w:rsidP="00B84D15">
    <w:pPr>
      <w:pStyle w:val="Header"/>
      <w:rPr>
        <w:rFonts w:ascii="Arial Black" w:hAnsi="Arial Black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54B5F"/>
    <w:rsid w:val="000606F7"/>
    <w:rsid w:val="00060710"/>
    <w:rsid w:val="0009221A"/>
    <w:rsid w:val="0009654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37432"/>
    <w:rsid w:val="001447A7"/>
    <w:rsid w:val="00145785"/>
    <w:rsid w:val="001516FA"/>
    <w:rsid w:val="00167067"/>
    <w:rsid w:val="00167EF0"/>
    <w:rsid w:val="0019042D"/>
    <w:rsid w:val="001A2A27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1517"/>
    <w:rsid w:val="00233632"/>
    <w:rsid w:val="0025256F"/>
    <w:rsid w:val="00253068"/>
    <w:rsid w:val="002558F0"/>
    <w:rsid w:val="00271031"/>
    <w:rsid w:val="00280F38"/>
    <w:rsid w:val="0028126B"/>
    <w:rsid w:val="00291144"/>
    <w:rsid w:val="002A1485"/>
    <w:rsid w:val="002B321D"/>
    <w:rsid w:val="002B3E11"/>
    <w:rsid w:val="002C3672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60DA"/>
    <w:rsid w:val="003E6F52"/>
    <w:rsid w:val="003F0280"/>
    <w:rsid w:val="003F71FB"/>
    <w:rsid w:val="00417933"/>
    <w:rsid w:val="00427E78"/>
    <w:rsid w:val="00433A33"/>
    <w:rsid w:val="004347CD"/>
    <w:rsid w:val="00440123"/>
    <w:rsid w:val="00452B9C"/>
    <w:rsid w:val="00475F11"/>
    <w:rsid w:val="00484391"/>
    <w:rsid w:val="00491EA8"/>
    <w:rsid w:val="004B1CE6"/>
    <w:rsid w:val="004D12B4"/>
    <w:rsid w:val="004D3673"/>
    <w:rsid w:val="004F2D9D"/>
    <w:rsid w:val="005032AA"/>
    <w:rsid w:val="00505CE4"/>
    <w:rsid w:val="00510409"/>
    <w:rsid w:val="005176C7"/>
    <w:rsid w:val="0052733D"/>
    <w:rsid w:val="00532DA3"/>
    <w:rsid w:val="00536E57"/>
    <w:rsid w:val="00543168"/>
    <w:rsid w:val="0057282A"/>
    <w:rsid w:val="00576FB8"/>
    <w:rsid w:val="00585016"/>
    <w:rsid w:val="005866EE"/>
    <w:rsid w:val="005904AA"/>
    <w:rsid w:val="00595EAE"/>
    <w:rsid w:val="005A2B8F"/>
    <w:rsid w:val="005A3E79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D07"/>
    <w:rsid w:val="006B72EA"/>
    <w:rsid w:val="006B7BAF"/>
    <w:rsid w:val="006C2625"/>
    <w:rsid w:val="006C654F"/>
    <w:rsid w:val="006D65F9"/>
    <w:rsid w:val="006E4F60"/>
    <w:rsid w:val="006F4DB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2B8D"/>
    <w:rsid w:val="007C533B"/>
    <w:rsid w:val="007D234A"/>
    <w:rsid w:val="007D7C79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90BF9"/>
    <w:rsid w:val="008957ED"/>
    <w:rsid w:val="008B25C3"/>
    <w:rsid w:val="008B57C6"/>
    <w:rsid w:val="008C037C"/>
    <w:rsid w:val="008D4FD7"/>
    <w:rsid w:val="008F21AF"/>
    <w:rsid w:val="008F7131"/>
    <w:rsid w:val="009164C6"/>
    <w:rsid w:val="00920442"/>
    <w:rsid w:val="009338BD"/>
    <w:rsid w:val="00934D19"/>
    <w:rsid w:val="00936F1A"/>
    <w:rsid w:val="009447FE"/>
    <w:rsid w:val="00963462"/>
    <w:rsid w:val="009634C7"/>
    <w:rsid w:val="0097303D"/>
    <w:rsid w:val="00976454"/>
    <w:rsid w:val="0098589D"/>
    <w:rsid w:val="009E4B45"/>
    <w:rsid w:val="009E65F7"/>
    <w:rsid w:val="009F60B8"/>
    <w:rsid w:val="00A154E0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8639B"/>
    <w:rsid w:val="00AF66B7"/>
    <w:rsid w:val="00B0490C"/>
    <w:rsid w:val="00B05297"/>
    <w:rsid w:val="00B16FEC"/>
    <w:rsid w:val="00B2543A"/>
    <w:rsid w:val="00B2723D"/>
    <w:rsid w:val="00B3005E"/>
    <w:rsid w:val="00B4049B"/>
    <w:rsid w:val="00B41CB1"/>
    <w:rsid w:val="00B43AAA"/>
    <w:rsid w:val="00B5279A"/>
    <w:rsid w:val="00B65A2C"/>
    <w:rsid w:val="00B8334A"/>
    <w:rsid w:val="00B84D15"/>
    <w:rsid w:val="00B85A91"/>
    <w:rsid w:val="00B877AE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0AFD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C19AA"/>
    <w:rsid w:val="00DC1D79"/>
    <w:rsid w:val="00DD2035"/>
    <w:rsid w:val="00DD22E7"/>
    <w:rsid w:val="00DD3841"/>
    <w:rsid w:val="00DD7AB1"/>
    <w:rsid w:val="00E02074"/>
    <w:rsid w:val="00E1219D"/>
    <w:rsid w:val="00E26953"/>
    <w:rsid w:val="00E375C8"/>
    <w:rsid w:val="00EA1E3B"/>
    <w:rsid w:val="00EB6EF7"/>
    <w:rsid w:val="00ED05CF"/>
    <w:rsid w:val="00ED4B08"/>
    <w:rsid w:val="00ED63C1"/>
    <w:rsid w:val="00EE3B83"/>
    <w:rsid w:val="00EE6ED7"/>
    <w:rsid w:val="00EF4F93"/>
    <w:rsid w:val="00F12A75"/>
    <w:rsid w:val="00F33BCE"/>
    <w:rsid w:val="00F3434B"/>
    <w:rsid w:val="00F4236A"/>
    <w:rsid w:val="00F4464F"/>
    <w:rsid w:val="00F5133C"/>
    <w:rsid w:val="00F74B1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25E8C-4048-46A2-9793-D3AC3A33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4</cp:revision>
  <cp:lastPrinted>2012-08-16T19:20:00Z</cp:lastPrinted>
  <dcterms:created xsi:type="dcterms:W3CDTF">2012-11-28T19:47:00Z</dcterms:created>
  <dcterms:modified xsi:type="dcterms:W3CDTF">2012-12-18T22:04:00Z</dcterms:modified>
</cp:coreProperties>
</file>