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360"/>
        <w:rPr/>
      </w:pPr>
      <w:r w:rsidDel="00000000" w:rsidR="00000000" w:rsidRPr="00000000">
        <w:rPr>
          <w:rtl w:val="0"/>
        </w:rPr>
        <w:t xml:space="preserve">Для посещения выбираем Британский музей. В представленных коллекциях бросается в глаза “The Book of the Dead”.</w:t>
      </w:r>
    </w:p>
    <w:p w:rsidR="00000000" w:rsidDel="00000000" w:rsidP="00000000" w:rsidRDefault="00000000" w:rsidRPr="00000000" w14:paraId="00000002">
      <w:pPr>
        <w:ind w:firstLine="360"/>
        <w:rPr/>
      </w:pPr>
      <w:r w:rsidDel="00000000" w:rsidR="00000000" w:rsidRPr="00000000">
        <w:rPr/>
        <w:drawing>
          <wp:inline distB="114300" distT="114300" distL="114300" distR="114300">
            <wp:extent cx="3452813" cy="220780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207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360"/>
        <w:rPr/>
      </w:pPr>
      <w:r w:rsidDel="00000000" w:rsidR="00000000" w:rsidRPr="00000000">
        <w:rPr>
          <w:rtl w:val="0"/>
        </w:rPr>
        <w:t xml:space="preserve">Информация об египетском экспонате составлена куратором по имени Джон Тейлор.</w:t>
      </w:r>
    </w:p>
    <w:p w:rsidR="00000000" w:rsidDel="00000000" w:rsidP="00000000" w:rsidRDefault="00000000" w:rsidRPr="00000000" w14:paraId="00000004">
      <w:pPr>
        <w:ind w:firstLine="360"/>
        <w:rPr/>
      </w:pPr>
      <w:r w:rsidDel="00000000" w:rsidR="00000000" w:rsidRPr="00000000">
        <w:rPr>
          <w:rtl w:val="0"/>
        </w:rPr>
        <w:t xml:space="preserve">Выставка «Путешествие по загробной жизни: древнеегипетская книга мертвых» стала результатом многолетней закулисной работы по планированию, подготовке и исследованиям. Было волнительно иметь возможность сосредоточиться на этих особых документах и иметь редкую возможность продемонстрировать их такое разнообразие.</w:t>
      </w:r>
    </w:p>
    <w:p w:rsidR="00000000" w:rsidDel="00000000" w:rsidP="00000000" w:rsidRDefault="00000000" w:rsidRPr="00000000" w14:paraId="00000005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360"/>
        <w:rPr/>
      </w:pPr>
      <w:r w:rsidDel="00000000" w:rsidR="00000000" w:rsidRPr="00000000">
        <w:rPr>
          <w:rtl w:val="0"/>
        </w:rPr>
        <w:t xml:space="preserve">Книга Мертвых — это не конечный текст — она не похожа на Библию, это не собрание доктрин, или утверждение веры, или что-то в этом роде — это практический путеводитель по загробному миру с заклинаниями, которые помогут вам в этом. Ваше путешествие.</w:t>
      </w:r>
    </w:p>
    <w:p w:rsidR="00000000" w:rsidDel="00000000" w:rsidP="00000000" w:rsidRDefault="00000000" w:rsidRPr="00000000" w14:paraId="00000007">
      <w:pPr>
        <w:ind w:firstLine="360"/>
        <w:rPr/>
      </w:pPr>
      <w:r w:rsidDel="00000000" w:rsidR="00000000" w:rsidRPr="00000000">
        <w:rPr>
          <w:rtl w:val="0"/>
        </w:rPr>
        <w:t xml:space="preserve">Книга Мертвых обеспечивала руководство и защиту в путешествии после смерти.</w:t>
      </w:r>
    </w:p>
    <w:p w:rsidR="00000000" w:rsidDel="00000000" w:rsidP="00000000" w:rsidRDefault="00000000" w:rsidRPr="00000000" w14:paraId="00000008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360"/>
        <w:rPr/>
      </w:pPr>
      <w:r w:rsidDel="00000000" w:rsidR="00000000" w:rsidRPr="00000000">
        <w:rPr>
          <w:rtl w:val="0"/>
        </w:rPr>
        <w:t xml:space="preserve">Выставка «Путешествие по загробной жизни: Древнеегипетская книга мертвых» в Британском музее открылась в ноябре 2010 года.</w:t>
      </w:r>
    </w:p>
    <w:p w:rsidR="00000000" w:rsidDel="00000000" w:rsidP="00000000" w:rsidRDefault="00000000" w:rsidRPr="00000000" w14:paraId="0000000A">
      <w:pPr>
        <w:ind w:firstLine="36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rPr/>
    </w:pPr>
    <w:r w:rsidDel="00000000" w:rsidR="00000000" w:rsidRPr="00000000">
      <w:rPr>
        <w:rtl w:val="0"/>
      </w:rPr>
      <w:t xml:space="preserve">Инвариантное задание 9. Посещение музея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