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(ТЕХНОЛОГИЧЕСКАЯ)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Сколовой Анны Игоревны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color w:val="24292f"/>
          <w:highlight w:val="white"/>
          <w:rtl w:val="0"/>
        </w:rPr>
        <w:t xml:space="preserve">Иванова Екатерина Алексеевна, ассистент кафедры ИТиЭО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4448175</wp:posOffset>
            </wp:positionH>
            <wp:positionV relativeFrom="paragraph">
              <wp:posOffset>183739</wp:posOffset>
            </wp:positionV>
            <wp:extent cx="1039178" cy="67667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178" cy="676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2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февраля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Соколова Анна Игоревна</w:t>
      </w: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2117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