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pageBreakBefore w:val="0"/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(технологическая практика) 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pageBreakBefore w:val="0"/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ассистент кафедры ИТиЭО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pageBreakBefore w:val="0"/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(Иванова Е.А.)</w:t>
      </w:r>
    </w:p>
    <w:p w:rsidR="00000000" w:rsidDel="00000000" w:rsidP="00000000" w:rsidRDefault="00000000" w:rsidRPr="00000000" w14:paraId="0000001A">
      <w:pPr>
        <w:pageBreakBefore w:val="0"/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pageBreakBefore w:val="0"/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119513" cy="7136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513" cy="713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(Соколова А.И.)</w:t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22">
      <w:pPr>
        <w:pStyle w:val="Heading1"/>
        <w:pageBreakBefore w:val="0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514600" cy="2514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5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2513648" cy="251364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3648" cy="2513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5C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5D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1847850</wp:posOffset>
            </wp:positionH>
            <wp:positionV relativeFrom="paragraph">
              <wp:posOffset>219075</wp:posOffset>
            </wp:positionV>
            <wp:extent cx="1001078" cy="64555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1078" cy="6455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60">
      <w:pPr>
        <w:pageBreakBefore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