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3.png" ContentType="image/png"/>
  <Override PartName="/word/media/rId44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Forschungszentrum-Jülich</w:t>
      </w:r>
      <w:r>
        <w:t xml:space="preserve"> </w:t>
      </w:r>
      <w:r>
        <w:t xml:space="preserve">algal</w:t>
      </w:r>
      <w:r>
        <w:t xml:space="preserve"> </w:t>
      </w:r>
      <w:r>
        <w:t xml:space="preserve">turf</w:t>
      </w:r>
      <w:r>
        <w:t xml:space="preserve"> </w:t>
      </w:r>
      <w:r>
        <w:t xml:space="preserve">scrubbing</w:t>
      </w:r>
      <w:r>
        <w:t xml:space="preserve"> </w:t>
      </w:r>
      <w:r>
        <w:t xml:space="preserve">pilot</w:t>
      </w:r>
      <w:r>
        <w:t xml:space="preserve"> </w:t>
      </w:r>
      <w:r>
        <w:t xml:space="preserve">2018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Dean</w:t>
      </w:r>
      <w:r>
        <w:t xml:space="preserve"> </w:t>
      </w:r>
      <w:r>
        <w:t xml:space="preserve">Calahan</w:t>
      </w:r>
      <w:r>
        <w:rPr>
          <w:rStyle w:val="FootnoteReference"/>
        </w:rPr>
        <w:footnoteReference w:id="20"/>
      </w:r>
    </w:p>
    <w:p>
      <w:pPr>
        <w:pStyle w:val="Author"/>
      </w:pPr>
      <w:r>
        <w:t xml:space="preserve">Isabel</w:t>
      </w:r>
      <w:r>
        <w:t xml:space="preserve"> </w:t>
      </w:r>
      <w:r>
        <w:t xml:space="preserve">Meuser</w:t>
      </w:r>
      <w:r>
        <w:t xml:space="preserve"> </w:t>
      </w:r>
      <w:r>
        <w:t xml:space="preserve">and</w:t>
      </w:r>
      <w:r>
        <w:t xml:space="preserve"> </w:t>
      </w:r>
      <w:r>
        <w:t xml:space="preserve">Ladislav</w:t>
      </w:r>
      <w:r>
        <w:t xml:space="preserve"> </w:t>
      </w:r>
      <w:r>
        <w:t xml:space="preserve">Nedbal</w:t>
      </w:r>
      <w:r>
        <w:rPr>
          <w:rStyle w:val="FootnoteReference"/>
        </w:rPr>
        <w:footnoteReference w:id="21"/>
      </w:r>
    </w:p>
    <w:p>
      <w:pPr>
        <w:pStyle w:val="Date"/>
      </w:pPr>
      <w:r>
        <w:t xml:space="preserve">19</w:t>
      </w:r>
      <w:r>
        <w:t xml:space="preserve"> </w:t>
      </w:r>
      <w:r>
        <w:t xml:space="preserve">March,</w:t>
      </w:r>
      <w:r>
        <w:t xml:space="preserve"> </w:t>
      </w:r>
      <w:r>
        <w:t xml:space="preserve">2019</w:t>
      </w:r>
    </w:p>
    <w:p>
      <w:pPr>
        <w:pStyle w:val="Heading1"/>
      </w:pPr>
      <w:bookmarkStart w:id="22" w:name="introduction"/>
      <w:r>
        <w:t xml:space="preserve">Introduction</w:t>
      </w:r>
      <w:bookmarkEnd w:id="22"/>
    </w:p>
    <w:p>
      <w:pPr>
        <w:pStyle w:val="FirstParagraph"/>
      </w:pPr>
      <w:r>
        <w:t xml:space="preserve">Here we provide cleaned data, in the form of csv files, from the 2018 ATS pilot at</w:t>
      </w:r>
      <w:r>
        <w:t xml:space="preserve"> </w:t>
      </w:r>
      <w:r>
        <w:t xml:space="preserve">Forschungszentrum-Jülich conducted by IBG-2/Alternative Biomass (for details, see</w:t>
      </w:r>
      <w:r>
        <w:t xml:space="preserve"> </w:t>
      </w:r>
      <w:r>
        <w:t xml:space="preserve">Methods). Briefly: water quality and biomass productivity data were entered manually</w:t>
      </w:r>
      <w:r>
        <w:t xml:space="preserve"> </w:t>
      </w:r>
      <w:r>
        <w:t xml:space="preserve">into the spreadsheet</w:t>
      </w:r>
      <w:r>
        <w:t xml:space="preserve"> </w:t>
      </w:r>
      <w:r>
        <w:rPr>
          <w:rStyle w:val="VerbatimChar"/>
        </w:rPr>
        <w:t xml:space="preserve">ATS Treatment.xlsx</w:t>
      </w:r>
      <w:r>
        <w:t xml:space="preserve">. Biomass composition data were obtained</w:t>
      </w:r>
      <w:r>
        <w:t xml:space="preserve"> </w:t>
      </w:r>
      <w:r>
        <w:t xml:space="preserve">by standard analyses and recorded in the spreadsheet</w:t>
      </w:r>
      <w:r>
        <w:t xml:space="preserve"> </w:t>
      </w:r>
      <w:r>
        <w:rPr>
          <w:rStyle w:val="VerbatimChar"/>
        </w:rPr>
        <w:t xml:space="preserve">Analysen ZEA-3.xlsx</w:t>
      </w:r>
      <w:r>
        <w:t xml:space="preserve">. Temperature</w:t>
      </w:r>
      <w:r>
        <w:t xml:space="preserve"> </w:t>
      </w:r>
      <w:r>
        <w:t xml:space="preserve">and irradiance data were obtained from data loggers. Data cleaning comprised rearranging,</w:t>
      </w:r>
      <w:r>
        <w:t xml:space="preserve"> </w:t>
      </w:r>
      <w:r>
        <w:t xml:space="preserve">renaming, or deleting various cells or observations to achieve tidy data.</w:t>
      </w:r>
    </w:p>
    <w:p>
      <w:pPr>
        <w:pStyle w:val="Heading1"/>
      </w:pPr>
      <w:bookmarkStart w:id="23" w:name="methods"/>
      <w:r>
        <w:t xml:space="preserve">Methods</w:t>
      </w:r>
      <w:bookmarkEnd w:id="23"/>
    </w:p>
    <w:p>
      <w:pPr>
        <w:pStyle w:val="FirstParagraph"/>
      </w:pPr>
      <w:r>
        <w:rPr>
          <w:i/>
        </w:rPr>
        <w:t xml:space="preserve">Floway Configuration</w:t>
      </w:r>
      <w:r>
        <w:t xml:space="preserve">. A 0.54 m × 2.5 m algal turf scrubber (ATS) floway and headworks was assembled from</w:t>
      </w:r>
      <w:r>
        <w:t xml:space="preserve"> </w:t>
      </w:r>
      <w:r>
        <w:t xml:space="preserve">local home improvement store materials (Bauhaus, Belp, Switzerland; Hornbach Baumarkt</w:t>
      </w:r>
      <w:r>
        <w:t xml:space="preserve"> </w:t>
      </w:r>
      <w:r>
        <w:t xml:space="preserve">AG, Bornheim, Germany) and lined with surplus growth substratum originally used</w:t>
      </w:r>
      <w:r>
        <w:t xml:space="preserve"> </w:t>
      </w:r>
      <w:r>
        <w:t xml:space="preserve">for a thin layer algae spray reactor</w:t>
      </w:r>
      <w:r>
        <w:t xml:space="preserve"> </w:t>
      </w:r>
      <w:r>
        <w:t xml:space="preserve">(Schreiber et al. 2017)</w:t>
      </w:r>
      <w:r>
        <w:t xml:space="preserve">. The floway was operated</w:t>
      </w:r>
      <w:r>
        <w:t xml:space="preserve"> </w:t>
      </w:r>
      <w:r>
        <w:t xml:space="preserve">at the Forschungszentrum-Jülich (FZ-J) campus wastewater treatment plant (WWTP)</w:t>
      </w:r>
      <w:r>
        <w:t xml:space="preserve"> </w:t>
      </w:r>
      <w:r>
        <w:t xml:space="preserve">from August 15th to October 22nd, 2018. Influent was recirculated in batch mode</w:t>
      </w:r>
      <w:r>
        <w:t xml:space="preserve"> </w:t>
      </w:r>
      <w:r>
        <w:t xml:space="preserve">from a 1 m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IBC tank filled to 0.5 m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from the secondary treatment clarifier tank</w:t>
      </w:r>
      <w:r>
        <w:t xml:space="preserve"> </w:t>
      </w:r>
      <w:r>
        <w:t xml:space="preserve">at the FZ-J WWTP. Water was exchanged by completely draining the IBC tank into a</w:t>
      </w:r>
      <w:r>
        <w:t xml:space="preserve"> </w:t>
      </w:r>
      <w:r>
        <w:t xml:space="preserve">prior treatment tank then refilling with 0.5 m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of influent. The inner walls and</w:t>
      </w:r>
      <w:r>
        <w:t xml:space="preserve"> </w:t>
      </w:r>
      <w:r>
        <w:t xml:space="preserve">bottom of the IBC tank were scrubbed during water exchange to reduce algal growth</w:t>
      </w:r>
      <w:r>
        <w:t xml:space="preserve"> </w:t>
      </w:r>
      <w:r>
        <w:t xml:space="preserve">within the tank. Water exchange was performed Mondays through Thursdays, except</w:t>
      </w:r>
      <w:r>
        <w:t xml:space="preserve"> </w:t>
      </w:r>
      <w:r>
        <w:t xml:space="preserve">for Wednesday, October 3. Commercially available centrifugal sump pumps were used</w:t>
      </w:r>
      <w:r>
        <w:t xml:space="preserve"> </w:t>
      </w:r>
      <w:r>
        <w:t xml:space="preserve">to recirculate the water to the floway at a rate of 37 L min</w:t>
      </w:r>
      <m:oMath>
        <m:sSup>
          <m:e>
            <m:r>
              <m:t>​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with a pulsing</w:t>
      </w:r>
      <w:r>
        <w:t xml:space="preserve"> </w:t>
      </w:r>
      <w:r>
        <w:t xml:space="preserve">interval of 15-20 s, provided by a tipping bucket at the headworks.</w:t>
      </w:r>
    </w:p>
    <w:p>
      <w:pPr>
        <w:pStyle w:val="BodyText"/>
      </w:pPr>
      <w:r>
        <w:rPr>
          <w:i/>
        </w:rPr>
        <w:t xml:space="preserve">Harvesting and Biomass Processing</w:t>
      </w:r>
      <w:r>
        <w:t xml:space="preserve">. Harvesting was performed weekly by turning off</w:t>
      </w:r>
      <w:r>
        <w:t xml:space="preserve"> </w:t>
      </w:r>
      <w:r>
        <w:t xml:space="preserve">the pumps, allowing the floway to drain for approximately 15 min, then manually</w:t>
      </w:r>
      <w:r>
        <w:t xml:space="preserve"> </w:t>
      </w:r>
      <w:r>
        <w:t xml:space="preserve">scraping biomass from the base and walls of the lower 1.6 m of the floway, comprising</w:t>
      </w:r>
      <w:r>
        <w:t xml:space="preserve"> </w:t>
      </w:r>
      <w:r>
        <w:t xml:space="preserve">a total harvested area of 0.99 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. The remainder of the biomass was left to facilitate</w:t>
      </w:r>
      <w:r>
        <w:t xml:space="preserve"> </w:t>
      </w:r>
      <w:r>
        <w:t xml:space="preserve">re-colonization of the harvested area during the following growth interval. Scraped</w:t>
      </w:r>
      <w:r>
        <w:t xml:space="preserve"> </w:t>
      </w:r>
      <w:r>
        <w:t xml:space="preserve">biomass was collected into a tared jar and weighed to determine the fresh weight</w:t>
      </w:r>
      <w:r>
        <w:t xml:space="preserve"> </w:t>
      </w:r>
      <w:r>
        <w:t xml:space="preserve">of the harvested material. The biomass was dried by in an oven at 60°C for 24 hours</w:t>
      </w:r>
      <w:r>
        <w:t xml:space="preserve"> </w:t>
      </w:r>
      <w:r>
        <w:t xml:space="preserve">and weighed. Dried biomass was homogenized by grinding with a mortar and pestle.</w:t>
      </w:r>
      <w:r>
        <w:t xml:space="preserve"> </w:t>
      </w:r>
      <w:r>
        <w:t xml:space="preserve">Weighed samples were frozen at -20° in airtight plastic bags.</w:t>
      </w:r>
    </w:p>
    <w:p>
      <w:pPr>
        <w:pStyle w:val="BodyText"/>
      </w:pPr>
      <w:r>
        <w:rPr>
          <w:i/>
        </w:rPr>
        <w:t xml:space="preserve">Environmental Observations</w:t>
      </w:r>
      <w:r>
        <w:t xml:space="preserve">. Floway water temperature and irradiance were logged</w:t>
      </w:r>
      <w:r>
        <w:t xml:space="preserve"> </w:t>
      </w:r>
      <w:r>
        <w:t xml:space="preserve">once per minute using a HOBO data logger and downloaded as csv files using proprietary</w:t>
      </w:r>
      <w:r>
        <w:t xml:space="preserve"> </w:t>
      </w:r>
      <w:r>
        <w:t xml:space="preserve">software (Onset Computer Corporation, Bourne, MA).</w:t>
      </w:r>
    </w:p>
    <w:p>
      <w:pPr>
        <w:pStyle w:val="BodyText"/>
      </w:pPr>
      <w:r>
        <w:rPr>
          <w:i/>
        </w:rPr>
        <w:t xml:space="preserve">Water Chemistry</w:t>
      </w:r>
      <w:r>
        <w:t xml:space="preserve">. One water sample (15 mL) was taken from the tailworks of the</w:t>
      </w:r>
      <w:r>
        <w:t xml:space="preserve"> </w:t>
      </w:r>
      <w:r>
        <w:t xml:space="preserve">floway before and one after water exchange. These were either analyzed within six</w:t>
      </w:r>
      <w:r>
        <w:t xml:space="preserve"> </w:t>
      </w:r>
      <w:r>
        <w:t xml:space="preserve">hours or frozen for later analysis. Prior to analysis, samples were centrifuged</w:t>
      </w:r>
      <w:r>
        <w:t xml:space="preserve"> </w:t>
      </w:r>
      <w:r>
        <w:t xml:space="preserve">at room temperature for 10 minutes at a relative centrifugal force of 3,007 g. Soluble</w:t>
      </w:r>
      <w:r>
        <w:t xml:space="preserve"> </w:t>
      </w:r>
      <w:r>
        <w:t xml:space="preserve">phosphate (PO</w:t>
      </w:r>
      <m:oMath>
        <m:sSub>
          <m:e>
            <m:r>
              <m:t>​</m:t>
            </m:r>
          </m:e>
          <m:sub>
            <m:r>
              <m:t>4</m:t>
            </m:r>
          </m:sub>
        </m:sSub>
      </m:oMath>
      <w:r>
        <w:t xml:space="preserve">-P) and Total nitrogen (TN) were determined using a DR 5000 UV-Vis</w:t>
      </w:r>
      <w:r>
        <w:t xml:space="preserve"> </w:t>
      </w:r>
      <w:r>
        <w:t xml:space="preserve">spectrophotometer after processing the samples with Hach LCK 349 (PO</w:t>
      </w:r>
      <m:oMath>
        <m:sSub>
          <m:e>
            <m:r>
              <m:t>​</m:t>
            </m:r>
          </m:e>
          <m:sub>
            <m:r>
              <m:t>4</m:t>
            </m:r>
          </m:sub>
        </m:sSub>
      </m:oMath>
      <w:r>
        <w:t xml:space="preserve">-P) and</w:t>
      </w:r>
      <w:r>
        <w:t xml:space="preserve"> </w:t>
      </w:r>
      <w:r>
        <w:t xml:space="preserve">LCK 138 (TN) kits. (All: Hach Lange GmBH, Düsseldorf).</w:t>
      </w:r>
    </w:p>
    <w:p>
      <w:pPr>
        <w:pStyle w:val="BodyText"/>
      </w:pPr>
      <w:r>
        <w:rPr>
          <w:i/>
        </w:rPr>
        <w:t xml:space="preserve">Biomass Composition</w:t>
      </w:r>
      <w:r>
        <w:t xml:space="preserve">. Two 50 mg aliquots of each dried biomass sample, each with 2</w:t>
      </w:r>
      <w:r>
        <w:t xml:space="preserve"> </w:t>
      </w:r>
      <w:r>
        <w:t xml:space="preserve">mL HNO</w:t>
      </w:r>
      <m:oMath>
        <m:sSub>
          <m:e>
            <m:r>
              <m:t>​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and 1 mL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were placed in closed Xpress containers (CEM Corporation,</w:t>
      </w:r>
      <w:r>
        <w:t xml:space="preserve"> </w:t>
      </w:r>
      <w:r>
        <w:t xml:space="preserve">Matthews, NC, USA) and digested in a MARS 5 microwave digestion oven (CEM Corporation,</w:t>
      </w:r>
      <w:r>
        <w:t xml:space="preserve"> </w:t>
      </w:r>
      <w:r>
        <w:t xml:space="preserve">Matthews, NC, USA) by heating to 160°C within 20 minutes and kept at this temperature</w:t>
      </w:r>
      <w:r>
        <w:t xml:space="preserve"> </w:t>
      </w:r>
      <w:r>
        <w:t xml:space="preserve">for 15 minutes. The containers were then filled to 14 mL with deionized water. Two</w:t>
      </w:r>
      <w:r>
        <w:t xml:space="preserve"> </w:t>
      </w:r>
      <w:r>
        <w:t xml:space="preserve">aliquots of each sample solution obtained were diluted, one at 1:20 and one at 1:50,</w:t>
      </w:r>
      <w:r>
        <w:t xml:space="preserve"> </w:t>
      </w:r>
      <w:r>
        <w:t xml:space="preserve">and analyzed. Each dilution was assayed with ICP-OES (iCAP 6500, Thermo Scientific).</w:t>
      </w:r>
      <w:r>
        <w:t xml:space="preserve"> </w:t>
      </w:r>
      <w:r>
        <w:t xml:space="preserve">Reference material NIST1515 (SRM1515, 2017) was included as control. Recovery for</w:t>
      </w:r>
      <w:r>
        <w:t xml:space="preserve"> </w:t>
      </w:r>
      <w:r>
        <w:t xml:space="preserve">K was 101%, Ca 94%, Mg 94%, Mn 83% and P 90%. Measurements reflect the mean of two</w:t>
      </w:r>
      <w:r>
        <w:t xml:space="preserve"> </w:t>
      </w:r>
      <w:r>
        <w:t xml:space="preserve">determinations. Standard deviation for two observations, recorded originally as</w:t>
      </w:r>
      <w:r>
        <w:t xml:space="preserve"> </w:t>
      </w:r>
      <w:r>
        <w:t xml:space="preserve">“</w:t>
      </w:r>
      <w:r>
        <w:t xml:space="preserve">&lt; 0,1</w:t>
      </w:r>
      <w:r>
        <w:t xml:space="preserve">”</w:t>
      </w:r>
      <w:r>
        <w:t xml:space="preserve"> </w:t>
      </w:r>
      <w:r>
        <w:t xml:space="preserve">are set to NA in the cleaned data.</w:t>
      </w:r>
    </w:p>
    <w:p>
      <w:pPr>
        <w:pStyle w:val="Heading1"/>
      </w:pPr>
      <w:bookmarkStart w:id="24" w:name="data-cleaning"/>
      <w:r>
        <w:t xml:space="preserve">Data Cleaning</w:t>
      </w:r>
      <w:bookmarkEnd w:id="24"/>
    </w:p>
    <w:p>
      <w:pPr>
        <w:pStyle w:val="FirstParagraph"/>
      </w:pPr>
      <w:r>
        <w:t xml:space="preserve">To clean the water quality and biomass data, spreadsheets were loaded and reshaped</w:t>
      </w:r>
      <w:r>
        <w:t xml:space="preserve"> </w:t>
      </w:r>
      <w:r>
        <w:t xml:space="preserve">into a tidier schema before being saved as csv. Some columns of</w:t>
      </w:r>
      <w:r>
        <w:t xml:space="preserve"> </w:t>
      </w:r>
      <w:r>
        <w:rPr>
          <w:rStyle w:val="VerbatimChar"/>
        </w:rPr>
        <w:t xml:space="preserve">ATS Treatment.xlsx</w:t>
      </w:r>
      <w:r>
        <w:t xml:space="preserve"> </w:t>
      </w:r>
      <w:r>
        <w:t xml:space="preserve">(</w:t>
      </w:r>
      <w:r>
        <w:t xml:space="preserve">“</w:t>
      </w:r>
      <w:r>
        <w:t xml:space="preserve">Dilution PO4-P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PO4-P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reduction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Dilution TNb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TNb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remark</w:t>
      </w:r>
      <w:r>
        <w:t xml:space="preserve">”</w:t>
      </w:r>
      <w:r>
        <w:t xml:space="preserve">), were</w:t>
      </w:r>
      <w:r>
        <w:t xml:space="preserve"> </w:t>
      </w:r>
      <w:r>
        <w:t xml:space="preserve">not retained in the cleaned data, while others (unnamed column with</w:t>
      </w:r>
      <w:r>
        <w:t xml:space="preserve"> </w:t>
      </w:r>
      <w:r>
        <w:t xml:space="preserve">“</w:t>
      </w:r>
      <w:r>
        <w:t xml:space="preserve">before/after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commend</w:t>
      </w:r>
      <w:r>
        <w:t xml:space="preserve">”</w:t>
      </w:r>
      <w:r>
        <w:t xml:space="preserve">) were converted from character to logical for improved utility. All columns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Analysen ZEA-3.xlsx</w:t>
      </w:r>
      <w:r>
        <w:t xml:space="preserve"> </w:t>
      </w:r>
      <w:r>
        <w:t xml:space="preserve">were retained. Temperature and irradiance logs (</w:t>
      </w:r>
      <w:r>
        <w:rPr>
          <w:rStyle w:val="VerbatimChar"/>
        </w:rPr>
        <w:t xml:space="preserve">ATS_&lt;#.dd.mm.yy&gt;.hobo</w:t>
      </w:r>
      <w:r>
        <w:t xml:space="preserve">)</w:t>
      </w:r>
      <w:r>
        <w:t xml:space="preserve"> </w:t>
      </w:r>
      <w:r>
        <w:t xml:space="preserve">were converted to csv using proprietary software (</w:t>
      </w:r>
      <w:r>
        <w:rPr>
          <w:rStyle w:val="VerbatimChar"/>
        </w:rPr>
        <w:t xml:space="preserve">*.hproj</w:t>
      </w:r>
      <w:r>
        <w:t xml:space="preserve"> </w:t>
      </w:r>
      <w:r>
        <w:t xml:space="preserve">contain metadata about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*.hobo</w:t>
      </w:r>
      <w:r>
        <w:t xml:space="preserve"> </w:t>
      </w:r>
      <w:r>
        <w:t xml:space="preserve">and were not processed). Because the data loggers were either initialized</w:t>
      </w:r>
      <w:r>
        <w:t xml:space="preserve"> </w:t>
      </w:r>
      <w:r>
        <w:t xml:space="preserve">in an office before being transported to the floway for installation, or downloaded</w:t>
      </w:r>
      <w:r>
        <w:t xml:space="preserve"> </w:t>
      </w:r>
      <w:r>
        <w:t xml:space="preserve">after being removed from the floway and taken to an office, the initial and final</w:t>
      </w:r>
      <w:r>
        <w:t xml:space="preserve"> </w:t>
      </w:r>
      <w:r>
        <w:t xml:space="preserve">observations of each file were discarded. Figures 1-7 and the code that generated</w:t>
      </w:r>
      <w:r>
        <w:t xml:space="preserve"> </w:t>
      </w:r>
      <w:r>
        <w:t xml:space="preserve">them show which observations were discarded. Selected observations were combined</w:t>
      </w:r>
      <w:r>
        <w:t xml:space="preserve"> </w:t>
      </w:r>
      <w:r>
        <w:t xml:space="preserve">into a single data frame and saved as a csv file.</w:t>
      </w:r>
    </w:p>
    <w:p>
      <w:pPr>
        <w:pStyle w:val="Heading1"/>
      </w:pPr>
      <w:bookmarkStart w:id="25" w:name="hobo-data."/>
      <w:r>
        <w:t xml:space="preserve">HOBO Data.</w:t>
      </w:r>
      <w:bookmarkEnd w:id="25"/>
    </w:p>
    <w:p>
      <w:pPr>
        <w:pStyle w:val="Heading2"/>
      </w:pPr>
      <w:bookmarkStart w:id="26" w:name="week-1-ats_1"/>
      <w:r>
        <w:t xml:space="preserve">Week 1 (ATS_1)</w:t>
      </w:r>
      <w:bookmarkEnd w:id="26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ean/Documents/Projects/ATS/Geospatial/Basins/Basins/Atlantic%20Ocean/Basins/Meuse%20River/Basins/Rur%20River/Forshungszentrum%20Jülich/FZJ%20ATS%20Pilot%202018/Drafts/FZJAP2018_files/figure-docx/week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week-2-ats_2"/>
      <w:r>
        <w:t xml:space="preserve">Week 2 (ATS_2)</w:t>
      </w:r>
      <w:bookmarkEnd w:id="28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ean/Documents/Projects/ATS/Geospatial/Basins/Basins/Atlantic%20Ocean/Basins/Meuse%20River/Basins/Rur%20River/Forshungszentrum%20Jülich/FZJ%20ATS%20Pilot%202018/Drafts/FZJAP2018_files/figure-docx/week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week-3-ats_1"/>
      <w:r>
        <w:t xml:space="preserve">Week 3 (ATS_1)</w:t>
      </w:r>
      <w:bookmarkEnd w:id="30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ean/Documents/Projects/ATS/Geospatial/Basins/Basins/Atlantic%20Ocean/Basins/Meuse%20River/Basins/Rur%20River/Forshungszentrum%20Jülich/FZJ%20ATS%20Pilot%202018/Drafts/FZJAP2018_files/figure-docx/week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week-4-ats_2"/>
      <w:r>
        <w:t xml:space="preserve">Week 4 (ATS_2)</w:t>
      </w:r>
      <w:bookmarkEnd w:id="32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ean/Documents/Projects/ATS/Geospatial/Basins/Basins/Atlantic%20Ocean/Basins/Meuse%20River/Basins/Rur%20River/Forshungszentrum%20Jülich/FZJ%20ATS%20Pilot%202018/Drafts/FZJAP2018_files/figure-docx/week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week-5-ats_1"/>
      <w:r>
        <w:t xml:space="preserve">Week 5 (ATS_1)</w:t>
      </w:r>
      <w:bookmarkEnd w:id="34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ean/Documents/Projects/ATS/Geospatial/Basins/Basins/Atlantic%20Ocean/Basins/Meuse%20River/Basins/Rur%20River/Forshungszentrum%20Jülich/FZJ%20ATS%20Pilot%202018/Drafts/FZJAP2018_files/figure-docx/week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week-6-ats_2"/>
      <w:r>
        <w:t xml:space="preserve">Week 6 (ATS_2)</w:t>
      </w:r>
      <w:bookmarkEnd w:id="36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ean/Documents/Projects/ATS/Geospatial/Basins/Basins/Atlantic%20Ocean/Basins/Meuse%20River/Basins/Rur%20River/Forshungszentrum%20Jülich/FZJ%20ATS%20Pilot%202018/Drafts/FZJAP2018_files/figure-docx/week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week-7-ats_1"/>
      <w:r>
        <w:t xml:space="preserve">Week 7 (ATS_1)</w:t>
      </w:r>
      <w:bookmarkEnd w:id="38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ean/Documents/Projects/ATS/Geospatial/Basins/Basins/Atlantic%20Ocean/Basins/Meuse%20River/Basins/Rur%20River/Forshungszentrum%20Jülich/FZJ%20ATS%20Pilot%202018/Drafts/FZJAP2018_files/figure-docx/week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0" w:name="floway-chemistry-biomass-productivity"/>
      <w:r>
        <w:t xml:space="preserve">Floway Chemistry &amp; Biomass Productivity</w:t>
      </w:r>
      <w:bookmarkEnd w:id="40"/>
    </w:p>
    <w:p>
      <w:pPr>
        <w:pStyle w:val="FirstParagraph"/>
      </w:pPr>
      <w:r>
        <w:t xml:space="preserve">On two occasions, samples were assayed both on the day they were taken and after</w:t>
      </w:r>
      <w:r>
        <w:t xml:space="preserve"> </w:t>
      </w:r>
      <w:r>
        <w:t xml:space="preserve">freezing (Table 1). As the absolute differences between the readings for frozen</w:t>
      </w:r>
      <w:r>
        <w:t xml:space="preserve"> </w:t>
      </w:r>
      <w:r>
        <w:t xml:space="preserve">and unfrozen samples was small, less than 5% except for two measurements, it was</w:t>
      </w:r>
      <w:r>
        <w:t xml:space="preserve"> </w:t>
      </w:r>
      <w:r>
        <w:t xml:space="preserve">decided to freeze and accumulate samples for collective analysis rather than assay</w:t>
      </w:r>
      <w:r>
        <w:t xml:space="preserve"> </w:t>
      </w:r>
      <w:r>
        <w:t xml:space="preserve">each sample on the day it was collected.</w:t>
      </w:r>
    </w:p>
    <w:p>
      <w:pPr>
        <w:pStyle w:val="TableCaption"/>
      </w:pPr>
      <w:r>
        <w:t xml:space="preserve">Differences among fresh and frozen samples</w:t>
      </w:r>
    </w:p>
    <w:tbl>
      <w:tblPr>
        <w:tblStyle w:val="Table"/>
        <w:tblW w:type="pct" w:w="0.0"/>
        <w:tblLook w:firstRow="1"/>
        <w:tblCaption w:val="Differences among fresh and frozen sampl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before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PO4Pdelta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TNdelta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PO4Ppct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TNpct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5.4869684</w:t>
            </w:r>
          </w:p>
        </w:tc>
        <w:tc>
          <w:p>
            <w:pPr>
              <w:pStyle w:val="Compact"/>
              <w:jc w:val="right"/>
            </w:pPr>
            <w:r>
              <w:t xml:space="preserve">3.2842582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-0.9615385</w:t>
            </w:r>
          </w:p>
        </w:tc>
        <w:tc>
          <w:p>
            <w:pPr>
              <w:pStyle w:val="Compact"/>
              <w:jc w:val="right"/>
            </w:pPr>
            <w:r>
              <w:t xml:space="preserve">1.0764263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-4.1284404</w:t>
            </w:r>
          </w:p>
        </w:tc>
        <w:tc>
          <w:p>
            <w:pPr>
              <w:pStyle w:val="Compact"/>
              <w:jc w:val="right"/>
            </w:pPr>
            <w:r>
              <w:t xml:space="preserve">5.6085919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-1.7119839</w:t>
            </w:r>
          </w:p>
        </w:tc>
        <w:tc>
          <w:p>
            <w:pPr>
              <w:pStyle w:val="Compact"/>
              <w:jc w:val="right"/>
            </w:pPr>
            <w:r>
              <w:t xml:space="preserve">0.2051282</w:t>
            </w:r>
          </w:p>
        </w:tc>
      </w:tr>
    </w:tbl>
    <w:p>
      <w:pPr>
        <w:pStyle w:val="Heading1"/>
      </w:pPr>
      <w:bookmarkStart w:id="41" w:name="biomass-composition-data"/>
      <w:r>
        <w:t xml:space="preserve">Biomass Composition Data</w:t>
      </w:r>
      <w:bookmarkEnd w:id="41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ean/Documents/Projects/ATS/Geospatial/Basins/Basins/Atlantic%20Ocean/Basins/Meuse%20River/Basins/Rur%20River/Forshungszentrum%20Jülich/FZJ%20ATS%20Pilot%202018/Drafts/FZJAP2018_files/figure-docx/BiomassComposition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ean/Documents/Projects/ATS/Geospatial/Basins/Basins/Atlantic%20Ocean/Basins/Meuse%20River/Basins/Rur%20River/Forshungszentrum%20Jülich/FZJ%20ATS%20Pilot%202018/Drafts/FZJAP2018_files/figure-docx/BiomassCompositionDat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ean/Documents/Projects/ATS/Geospatial/Basins/Basins/Atlantic%20Ocean/Basins/Meuse%20River/Basins/Rur%20River/Forshungszentrum%20Jülich/FZJ%20ATS%20Pilot%202018/Drafts/FZJAP2018_files/figure-docx/BiomassCompositionData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5" w:name="data-dictionaries"/>
      <w:r>
        <w:t xml:space="preserve">Data Dictionaries</w:t>
      </w:r>
      <w:bookmarkEnd w:id="45"/>
    </w:p>
    <w:p>
      <w:pPr>
        <w:pStyle w:val="TableCaption"/>
      </w:pPr>
      <w:r>
        <w:t xml:space="preserve">Data/csv/FZJAP2018 Biomass Composition.csv</w:t>
      </w:r>
    </w:p>
    <w:tbl>
      <w:tblPr>
        <w:tblStyle w:val="Table"/>
        <w:tblW w:type="pct" w:w="0.0"/>
        <w:tblLook w:firstRow="1"/>
        <w:tblCaption w:val="Data/csv/FZJAP2018 Biomass Composition.csv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Observation 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Harvest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atom</w:t>
            </w:r>
          </w:p>
        </w:tc>
        <w:tc>
          <w:p>
            <w:pPr>
              <w:pStyle w:val="Compact"/>
              <w:jc w:val="left"/>
            </w:pPr>
            <w:r>
              <w:t xml:space="preserve">Element assayed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wtprop</w:t>
            </w:r>
          </w:p>
        </w:tc>
        <w:tc>
          <w:p>
            <w:pPr>
              <w:pStyle w:val="Compact"/>
              <w:jc w:val="left"/>
            </w:pPr>
            <w:r>
              <w:t xml:space="preserve">Mass proportion of element in sample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wtpropsd</w:t>
            </w:r>
          </w:p>
        </w:tc>
        <w:tc>
          <w:p>
            <w:pPr>
              <w:pStyle w:val="Compact"/>
              <w:jc w:val="left"/>
            </w:pPr>
            <w:r>
              <w:t xml:space="preserve">Standard deviation of proportion with n = 2</w:t>
            </w:r>
          </w:p>
        </w:tc>
      </w:tr>
    </w:tbl>
    <w:p>
      <w:pPr>
        <w:pStyle w:val="TableCaption"/>
      </w:pPr>
      <w:r>
        <w:t xml:space="preserve">Data/csv/FZJAP2018 Biomass Productivity.csv</w:t>
      </w:r>
    </w:p>
    <w:tbl>
      <w:tblPr>
        <w:tblStyle w:val="Table"/>
        <w:tblW w:type="pct" w:w="0.0"/>
        <w:tblLook w:firstRow="1"/>
        <w:tblCaption w:val="Data/csv/FZJAP2018 Biomass Productivity.csv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wet_biomass</w:t>
            </w:r>
          </w:p>
        </w:tc>
        <w:tc>
          <w:p>
            <w:pPr>
              <w:pStyle w:val="Compact"/>
              <w:jc w:val="left"/>
            </w:pPr>
            <w:r>
              <w:t xml:space="preserve">Mass of total fresh biomass harvested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dry_biomass</w:t>
            </w:r>
          </w:p>
        </w:tc>
        <w:tc>
          <w:p>
            <w:pPr>
              <w:pStyle w:val="Compact"/>
              <w:jc w:val="left"/>
            </w:pPr>
            <w:r>
              <w:t xml:space="preserve">Mass of total dried biomass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obsdate</w:t>
            </w:r>
          </w:p>
        </w:tc>
        <w:tc>
          <w:p>
            <w:pPr>
              <w:pStyle w:val="Compact"/>
              <w:jc w:val="left"/>
            </w:pPr>
            <w:r>
              <w:t xml:space="preserve">Harvest date</w:t>
            </w:r>
          </w:p>
        </w:tc>
      </w:tr>
    </w:tbl>
    <w:p>
      <w:pPr>
        <w:pStyle w:val="TableCaption"/>
      </w:pPr>
      <w:r>
        <w:t xml:space="preserve">Data/csv/FZJAP2018 Temperature and Irradiance.csv</w:t>
      </w:r>
    </w:p>
    <w:tbl>
      <w:tblPr>
        <w:tblStyle w:val="Table"/>
        <w:tblW w:type="pct" w:w="0.0"/>
        <w:tblLook w:firstRow="1"/>
        <w:tblCaption w:val="Data/csv/FZJAP2018 Temperature and Irradiance.csv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of observation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</w:t>
            </w:r>
          </w:p>
        </w:tc>
        <w:tc>
          <w:p>
            <w:pPr>
              <w:pStyle w:val="Compact"/>
              <w:jc w:val="left"/>
            </w:pPr>
            <w:r>
              <w:t xml:space="preserve">Temperature (°C)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lux</w:t>
            </w:r>
          </w:p>
        </w:tc>
        <w:tc>
          <w:p>
            <w:pPr>
              <w:pStyle w:val="Compact"/>
              <w:jc w:val="left"/>
            </w:pPr>
            <w:r>
              <w:t xml:space="preserve">Irradiance (lux)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p>
            <w:pPr>
              <w:pStyle w:val="Compact"/>
              <w:jc w:val="left"/>
            </w:pPr>
            <w:r>
              <w:t xml:space="preserve">Week index</w:t>
            </w:r>
          </w:p>
        </w:tc>
      </w:tr>
    </w:tbl>
    <w:p>
      <w:pPr>
        <w:pStyle w:val="TableCaption"/>
      </w:pPr>
      <w:r>
        <w:t xml:space="preserve">Data/csv/FZJAP2018 Water Chemistry.csv</w:t>
      </w:r>
    </w:p>
    <w:tbl>
      <w:tblPr>
        <w:tblStyle w:val="Table"/>
        <w:tblW w:type="pct" w:w="0.0"/>
        <w:tblLook w:firstRow="1"/>
        <w:tblCaption w:val="Data/csv/FZJAP2018 Water Chemistry.csv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of observation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  <w:tc>
          <w:p>
            <w:pPr>
              <w:pStyle w:val="Compact"/>
              <w:jc w:val="left"/>
            </w:pPr>
            <w:r>
              <w:t xml:space="preserve">Was this sample taken before or after water exchange?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PO4P</w:t>
            </w:r>
          </w:p>
        </w:tc>
        <w:tc>
          <w:p>
            <w:pPr>
              <w:pStyle w:val="Compact"/>
              <w:jc w:val="left"/>
            </w:pPr>
            <w:r>
              <w:t xml:space="preserve">Soluble PO4, mg L-1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TN</w:t>
            </w:r>
          </w:p>
        </w:tc>
        <w:tc>
          <w:p>
            <w:pPr>
              <w:pStyle w:val="Compact"/>
              <w:jc w:val="left"/>
            </w:pPr>
            <w:r>
              <w:t xml:space="preserve">Total N, mg L-1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</w:t>
            </w:r>
          </w:p>
        </w:tc>
        <w:tc>
          <w:p>
            <w:pPr>
              <w:pStyle w:val="Compact"/>
              <w:jc w:val="left"/>
            </w:pPr>
            <w:r>
              <w:t xml:space="preserve">ph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frozen</w:t>
            </w:r>
          </w:p>
        </w:tc>
        <w:tc>
          <w:p>
            <w:pPr>
              <w:pStyle w:val="Compact"/>
              <w:jc w:val="left"/>
            </w:pPr>
            <w:r>
              <w:t xml:space="preserve">Was this sample frozen?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assaydate</w:t>
            </w:r>
          </w:p>
        </w:tc>
        <w:tc>
          <w:p>
            <w:pPr>
              <w:pStyle w:val="Compact"/>
              <w:jc w:val="left"/>
            </w:pPr>
            <w:r>
              <w:t xml:space="preserve">Date sample was assayed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obsdate</w:t>
            </w:r>
          </w:p>
        </w:tc>
        <w:tc>
          <w:p>
            <w:pPr>
              <w:pStyle w:val="Compact"/>
              <w:jc w:val="left"/>
            </w:pPr>
            <w:r>
              <w:t xml:space="preserve">Observation date</w:t>
            </w:r>
          </w:p>
        </w:tc>
      </w:tr>
    </w:tbl>
    <w:p>
      <w:pPr>
        <w:pStyle w:val="Heading1"/>
      </w:pPr>
      <w:bookmarkStart w:id="46" w:name="acknowledgement"/>
      <w:r>
        <w:t xml:space="preserve">Acknowledgement</w:t>
      </w:r>
      <w:bookmarkEnd w:id="46"/>
    </w:p>
    <w:p>
      <w:pPr>
        <w:pStyle w:val="FirstParagraph"/>
      </w:pPr>
      <w:r>
        <w:t xml:space="preserve">This work was supported by the German Federal Ministry of Education and Research</w:t>
      </w:r>
      <w:r>
        <w:t xml:space="preserve"> </w:t>
      </w:r>
      <w:r>
        <w:t xml:space="preserve">(BMBF) within the project Algnutrient-UrBioSol, Bioeconomy International FKZ031B0453A.</w:t>
      </w:r>
    </w:p>
    <w:p>
      <w:pPr>
        <w:pStyle w:val="Heading1"/>
      </w:pPr>
      <w:bookmarkStart w:id="47" w:name="references"/>
      <w:r>
        <w:t xml:space="preserve">References</w:t>
      </w:r>
      <w:bookmarkEnd w:id="47"/>
    </w:p>
    <w:bookmarkStart w:id="50" w:name="refs"/>
    <w:bookmarkStart w:id="49" w:name="ref-schreiber2017"/>
    <w:p>
      <w:pPr>
        <w:pStyle w:val="Bibliography"/>
      </w:pPr>
      <w:r>
        <w:t xml:space="preserve">Schreiber, Christina, Dominik Behrendt, Gregor Huber, Christian Pfaff, Janka Widzgowski, Bärbel Ackermann, Andreas Müller, Vilém Zachleder, Šárka Moudríková, and Peter Mojzeš. 2017. “Growth of Algal Biomass in Laboratory and in Large-Scale Algal Photobioreactors in the Temperate Climate of Western Germany.”</w:t>
      </w:r>
      <w:r>
        <w:t xml:space="preserve"> </w:t>
      </w:r>
      <w:r>
        <w:rPr>
          <w:i/>
        </w:rPr>
        <w:t xml:space="preserve">Bioresource Technology</w:t>
      </w:r>
      <w:r>
        <w:t xml:space="preserve"> </w:t>
      </w:r>
      <w:r>
        <w:t xml:space="preserve">234 (June): 140–49.</w:t>
      </w:r>
      <w:r>
        <w:t xml:space="preserve"> </w:t>
      </w:r>
      <w:hyperlink r:id="rId48">
        <w:r>
          <w:rPr>
            <w:rStyle w:val="Hyperlink"/>
          </w:rPr>
          <w:t xml:space="preserve">https://doi.org/10.1016/j.biortech.2017.03.028</w:t>
        </w:r>
      </w:hyperlink>
      <w:r>
        <w:t xml:space="preserve">.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Smithsonian</w:t>
      </w:r>
      <w:r>
        <w:t xml:space="preserve"> </w:t>
      </w:r>
      <w:r>
        <w:t xml:space="preserve">Institution,</w:t>
      </w:r>
      <w:r>
        <w:t xml:space="preserve"> </w:t>
      </w:r>
      <w:r>
        <w:t xml:space="preserve">Forschungszentrum</w:t>
      </w:r>
      <w:r>
        <w:t xml:space="preserve"> </w:t>
      </w:r>
      <w:r>
        <w:t xml:space="preserve">Jülich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Forschungszentrum</w:t>
      </w:r>
      <w:r>
        <w:t xml:space="preserve"> </w:t>
      </w:r>
      <w:r>
        <w:t xml:space="preserve">Jülich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hyperlink" Id="rId48" Target="https://doi.org/10.1016/j.biortech.2017.03.02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s://doi.org/10.1016/j.biortech.2017.03.02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Forschungszentrum-Jülich algal turf scrubbing pilot 2018 Data</dc:title>
  <dc:creator>Dean Calahan; Isabel Meuser and Ladislav Nedbal</dc:creator>
  <cp:keywords/>
  <dcterms:created xsi:type="dcterms:W3CDTF">2019-03-20T00:37:44Z</dcterms:created>
  <dcterms:modified xsi:type="dcterms:W3CDTF">2019-03-20T00:37:44Z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 March, 2019</vt:lpwstr>
  </property>
  <property fmtid="{D5CDD505-2E9C-101B-9397-08002B2CF9AE}" pid="3" name="output">
    <vt:lpwstr>pdf_document</vt:lpwstr>
  </property>
  <property fmtid="{D5CDD505-2E9C-101B-9397-08002B2CF9AE}" pid="4" name="references">
    <vt:lpwstr/>
  </property>
</Properties>
</file>