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BFFC1" w14:textId="77777777" w:rsidR="0030007E" w:rsidRDefault="00000000">
      <w:pPr>
        <w:spacing w:after="240"/>
        <w:jc w:val="center"/>
      </w:pPr>
      <w:r>
        <w:t>SP-5: Un Marco de Gemelos Digitales para el Monitoreo en Tiempo Real de los Determinantes Sociales de la Salud (SDOH) y la Equidad en Salud en Áreas de Captación Hospitalaria Metropolitanas</w:t>
      </w:r>
    </w:p>
    <w:p w14:paraId="02CF94B7" w14:textId="77777777" w:rsidR="0030007E" w:rsidRDefault="00000000">
      <w:pPr>
        <w:spacing w:before="240"/>
      </w:pPr>
      <w:r>
        <w:t>ABSTRACT</w:t>
      </w:r>
    </w:p>
    <w:p w14:paraId="7088DEDC" w14:textId="77777777" w:rsidR="0030007E" w:rsidRDefault="00000000">
      <w:pPr>
        <w:ind w:firstLine="720"/>
        <w:jc w:val="both"/>
      </w:pPr>
      <w:r>
        <w:t>Health equity remains one of the most pressing challenges in metropolitan healthcare systems: the unequal distribution of social determinants of health (SDOH) — including economic stability, education access, neighborhood environment, and healthcare accessibility — generates structural disparities that traditional hospital information systems fail to capture in real time. The literature on digital twins (DTs) for healthcare has advanced considerably in personalized medicine and operational efficiency, yet its application to population-level SDOH monitoring within defined hospital catchment areas remains underexplored, particularly in the context of dynamic, data-driven equity assessment. This study proposes SP-5, a three-layer digital twin framework designed for real-time monitoring of SDOH and health equity in metropolitan hospital catchment areas. The framework integrates Internet of Things (IoT) sensing, geospatial information systems (GIS), and artificial intelligence (AI) to create a dynamic virtual replica of the socio-spatial environment surrounding a hospital network. We formalize the catchment area as a spatially bounded system where SDOH indicators interact with patient flow, resource allocation, and health outcomes. Methodologically, the framework is developed under the CRISP-DM process model, whose six phases — business understanding, data understanding, data preparation, modeling, evaluation and deployment — are mapped onto the three architectural layers and instantiated on public data sources (CDC PLACES and the U.S. Census ACS) at census-tract level. A comparative architectural analysis is conducted against existing DT healthcare implementations, and a scalability assessment is projected for catchment areas ranging from 50,000 to 500,000 inhabitants. The SP-5 framework is designed to recompute equity indices in under five seconds upon data updates, enabling proactive rather than reactive health equity management. This work contributes empirical, contextual evidence to the intersection of digital twin technology, social epidemiology, and urban health planning, aligned with Sustainable Development Goals 3, 10, and 11.</w:t>
      </w:r>
    </w:p>
    <w:p w14:paraId="4DDA8879" w14:textId="77777777" w:rsidR="0030007E" w:rsidRDefault="00000000">
      <w:pPr>
        <w:jc w:val="both"/>
      </w:pPr>
      <w:r>
        <w:t>Keywords: digital twin; social determinants of health; health equity; hospital catchment area; real-time monitoring; smart cities; CRISP-DM</w:t>
      </w:r>
    </w:p>
    <w:p w14:paraId="53B25FC0" w14:textId="77777777" w:rsidR="0030007E" w:rsidRDefault="00000000">
      <w:pPr>
        <w:spacing w:before="240"/>
      </w:pPr>
      <w:r>
        <w:t>RESUMEN</w:t>
      </w:r>
    </w:p>
    <w:p w14:paraId="7D1021C3" w14:textId="77777777" w:rsidR="0030007E" w:rsidRDefault="00000000">
      <w:pPr>
        <w:ind w:firstLine="720"/>
        <w:jc w:val="both"/>
      </w:pPr>
      <w:r>
        <w:t>La equidad en salud sigue siendo uno de los desafíos más apremiantes en los sistemas de salud metropolitanos: la distribución desigual de los determinantes sociales de la salud (SDOH) — incluyendo estabilidad económica, acceso a la educación, entorno vecinal y accesibilidad a la salud — genera disparidades estructurales que los sistemas tradicionales de información hospitalaria no logran capturar en tiempo real. La literatura sobre gemelos digitales (DT) en salud ha avanzado considerablemente en medicina personalizada y eficiencia operacional, sin embargo, su aplicación al monitoreo de SDOH a nivel poblacional dentro de áreas de captación hospitalaria definidas permanece poco explorada, particularmente en el contexto de la evaluación dinámica de la equidad basada en datos. Este estudio propone SP-5, un marco de gemelos digitales de tres capas diseñado para el monitoreo en tiempo real de SDOH y equidad en salud en áreas de captación hospitalaria metropolitanas. El marco integra sensores de Internet de las Cosas (IoT), sistemas de información geográfica (SIG) e inteligencia artificial (IA) para crear una réplica virtual dinámica del entorno socioespacial que rodea una red hospitalaria. Formalizamos el área de captación como un sistema espacialmente delimitado donde los indicadores de SDOH interactúan con el flujo de pacientes, la asignación de recursos y los resultados en salud. Metodológicamente, el marco se desarrolla siguiendo el modelo de proceso CRISP-DM (Cross-Industry Standard Process for Data Mining), cuyas seis fases —comprensión del negocio, comprensión de los datos, preparación de los datos, modelado, evaluación y despliegue— se hacen corresponder con las tres capas arquitectónicas y se instancian sobre fuentes públicas (CDC PLACES y la American Community Survey del Census) a nivel de tracto censal. Se realiza un análisis arquitectónico comparativo contra implementaciones existentes de DT en salud, y se proyecta una evaluación de escalabilidad para áreas de captación que van de 50,000 a 500,000 habitantes. El marco SP-5 está diseñado para recomputar índices de equidad en menos de cinco segundos ante actualizaciones de datos, habilitando una gestión de la equidad en salud proactiva en lugar de reactiva. Este trabajo aporta evidencia empírica y contextual a la intersección de la tecnología de gemelos digitales, la epidemiología social y la planificación de la salud urbana, alineado con los Objetivos de Desarrollo Sostenible 3, 10 y 11.</w:t>
      </w:r>
    </w:p>
    <w:p w14:paraId="6EEC2DF3" w14:textId="77777777" w:rsidR="0030007E" w:rsidRDefault="00000000">
      <w:pPr>
        <w:jc w:val="both"/>
      </w:pPr>
      <w:r>
        <w:t>Palabras clave: gemelo digital; determinantes sociales de la salud; equidad en salud; área de captación hospitalaria; monitoreo en tiempo real; ciudades inteligentes; CRISP-DM</w:t>
      </w:r>
    </w:p>
    <w:p w14:paraId="75ABA3B5" w14:textId="77777777" w:rsidR="0030007E" w:rsidRDefault="00000000">
      <w:pPr>
        <w:spacing w:before="240"/>
      </w:pPr>
      <w:r>
        <w:rPr>
          <w:b/>
        </w:rPr>
        <w:t>1. INTRODUCCIÓN</w:t>
      </w:r>
    </w:p>
    <w:p w14:paraId="54B44E43" w14:textId="77777777" w:rsidR="0030007E" w:rsidRDefault="00000000">
      <w:pPr>
        <w:spacing w:before="120"/>
      </w:pPr>
      <w:r>
        <w:rPr>
          <w:b/>
        </w:rPr>
        <w:t>1.1. Los Determinantes Sociales de la Salud y la Brecha de Equidad en Contextos Metropolitanos</w:t>
      </w:r>
    </w:p>
    <w:p>
      <w:pPr>
        <w:spacing w:after="120"/>
        <w:ind w:firstLine="432"/>
        <w:jc w:val="both"/>
      </w:pPr>
      <w:r>
        <w:t>Los determinantes sociales de la salud (SDOH, por sus siglas en inglés) abarcan factores no médicos que condicionan la salud y la experiencia de atención. En atención primaria, las medidas individuales de riesgo social pueden identificar a personas con mayor riesgo y favorecer una atención más personalizada y derivaciones dirigidas a recursos comunitarios; al mismo tiempo, su incorporación al registro electrónico de salud debe considerar la aceptabilidad, la privacidad, la utilidad percibida y la actualización de los datos desde la perspectiva de los pacientes (Arroyave Caicedo et al., 2024). A escala institucional, la disponibilidad de SDOH en campos estructurados del EHR continúa siendo desigual: en cuatro centros académicos de Texas, solo tres de 19 medidas superaron el 80 % de completitud en los cuatro centros —raza, etnicidad y sexo/identidad de género—, mientras que cinco medidas sociales prioritarias presentaron menos del 7 % de completitud, lo que evidencia oportunidades importantes de mejora en la recopilación de estos datos (Craven et al., 2024).</w:t>
      </w:r>
    </w:p>
    <w:p>
      <w:pPr>
        <w:spacing w:after="120"/>
        <w:ind w:firstLine="432"/>
        <w:jc w:val="both"/>
      </w:pPr>
      <w:r>
        <w:t>La integración operacional de los SDOH también exige vincular información procedente de distintos sectores y niveles. Una plataforma piloto funcionó en dos entornos clínicos reales, enlazando y emparejando registros de pacientes entre entornos para proporcionar al personal clínico información sobre necesidades individuales y agregadas de SDoH (Khurshid et al., 2023). Desde la perspectiva de reproducibilidad, el uso de flujos de trabajo que registran los cambios de los datos, sus motivos y las dependencias entre etapas permite mantener un historial reproducible durante el modelado y el análisis (Markatou et al., 2023). En el plano semántico, una ontología específica de SDOH puede proporcionar una representación formal y estandarizada del dominio, reutilizando estándares y vocabularios existentes para facilitar la interoperabilidad con otros recursos (Dang et al., 2023). Finalmente, la geocodificación de direcciones y su vinculación con variables de vecindario puede automatizarse mediante pipelines que preservan la privacidad y permiten escalar el intercambio de SDOH entre sistemas de salud (Schappe et al., 2025).</w:t>
      </w:r>
    </w:p>
    <w:p w14:paraId="794368C0" w14:textId="77777777" w:rsidR="0030007E" w:rsidRDefault="00000000">
      <w:pPr>
        <w:spacing w:before="120"/>
      </w:pPr>
      <w:r>
        <w:rPr>
          <w:b/>
        </w:rPr>
        <w:t>1.2. La Tecnología de Gemelos Digitales: De los Orígenes Industriales a las Aplicaciones en Salud</w:t>
      </w:r>
    </w:p>
    <w:p>
      <w:pPr>
        <w:spacing w:after="120"/>
        <w:ind w:firstLine="432"/>
        <w:jc w:val="both"/>
      </w:pPr>
      <w:r>
        <w:t>Un gemelo digital en salud puede entenderse como una representación virtual conectada con una entidad o sistema físico, capaz de utilizar datos para analizar, simular y apoyar decisiones. Una revisión de alcance señala que la fidelidad de los gemelos digitales para salud depende en gran medida de incorporar información en tiempo real y del mundo real, y describe el hilo del gemelo digital como un pipeline temporal que rastrea relaciones entre datos a lo largo del tiempo (Katsoulakis et al., 2024). En la gestión sanitaria, la literatura identifica funciones de seguridad, gestión de información, promoción del bienestar y control operacional; este último puede contribuir a que las instalaciones funcionen con mayor eficiencia (Elkefi &amp; Asan, 2022). En salud de precisión, una revisión sistemática agrupó 45 resultados en tres áreas de aplicación y observó una efectividad global del 80 %, apoyando la transición de los gemelos digitales hacia una implementación más amplia (Shen et al., 2024). Asimismo, la integración de datos en tiempo real procedentes de IoT, dispositivos portátiles y sensores médicos permite el monitoreo continuo de operaciones clínicas y la generación de alertas ante desviaciones, escasez de personal o cuellos de botella (Vallée, 2023).</w:t>
      </w:r>
    </w:p>
    <w:p>
      <w:pPr>
        <w:spacing w:after="120"/>
        <w:ind w:firstLine="432"/>
        <w:jc w:val="both"/>
      </w:pPr>
      <w:r>
        <w:t>El alcance del concepto también se extiende hacia sistemas sociales y urbanos. Los gemelos digitales societales han sido clasificados, según su complejidad operacional, en cinco categorías para la gestión de infecciones: inicio, propagación, control, combate y recuperación (Rehan &amp; Rehan, 2025). En ciudades inteligentes, un caso de estudio integró pronóstico de calidad del aire con datos de salud obtenidos mediante dispositivos portátiles, combinando información ambiental y personal en tiempo real para generar alertas de salud adaptadas (Jayachandran et al., 2025). Para conectar sistemas sanitarios heterogéneos, las reglas y mapas de transformación permiten convertir datos entre modelos como CDA y FHIR; además, la reutilización de componentes simplifica el desarrollo y reduce el código necesario en FHIR Mapping Language (Bossenko et al., 2024).</w:t>
      </w:r>
    </w:p>
    <w:p w14:paraId="645EC729" w14:textId="77777777" w:rsidR="0030007E" w:rsidRDefault="00000000">
      <w:pPr>
        <w:spacing w:before="120"/>
      </w:pPr>
      <w:r>
        <w:rPr>
          <w:b/>
        </w:rPr>
        <w:t>1.3. Las Áreas de Captación Hospitalaria como Sistemas Espaciales para el Análisis de Equidad</w:t>
      </w:r>
    </w:p>
    <w:p>
      <w:pPr>
        <w:spacing w:after="120"/>
        <w:ind w:firstLine="432"/>
        <w:jc w:val="both"/>
      </w:pPr>
      <w:r>
        <w:t>El análisis de áreas de captación hospitalaria requiere representar conjuntamente demanda, oferta y fricción espacial. En atención primaria rural, el método E2SFCA ha permitido calcular accesibilidad considerando un sistema público-privado y factores ecológicos asociados (Ab Hamid et al., 2023). Para contextos urbanos con distintos modos de transporte, el MM-G2SFCA modifica la expresión de accesibilidad frente al MM-2SFCA al reforzar el efecto del costo temporal y corregir la inclusión completa de la capacidad hospitalaria bajo un modo de transporte, produciendo una distribución espacial más diferenciada (Sun et al., 2024). La comparación entre proveedores públicos y privados mediante 2SFCA y E2SFCA también ha mostrado diferencias de cobertura territorial, con menor cobertura de los servicios privados en determinadas zonas (Pérez-Fernández &amp; Michel, 2025).</w:t>
      </w:r>
    </w:p>
    <w:p>
      <w:pPr>
        <w:spacing w:after="120"/>
        <w:ind w:firstLine="432"/>
        <w:jc w:val="both"/>
      </w:pPr>
      <w:r>
        <w:t>La operacionalización de estos análisis puede apoyarse en herramientas de geoprocesamiento. Un toolbox para ArcGIS Pro mostró que, aunque las distintas herramientas generan puntuaciones diferentes, las áreas rurales y suburbanas presentan en general menor acceso que las urbanas, y las zonas sin recursos dentro de los umbrales de distancia deben priorizarse para la asignación de recursos (Hashtarkhani et al., 2024). A su vez, el análisis geoespacial puede identificar disparidades de proceso asociadas a SDOH a nivel de tracto censal y localizar diferencias incluso en el desempeño de profesionales individuales (Pearson et al., 2023). La dimensión digital añade otro nivel de equidad: los sesgos de representación y los cambios de distribución de los datos pueden afectar la generalización y aplicabilidad de modelos de inteligencia artificial entre poblaciones diversas (Cui, 2025). Por último, el análisis mediante curvas de Lorenz y coeficientes de Gini mostró desigualdad espacial en la accesibilidad a instalaciones médicas, incluyendo áreas periféricas con diferencias importantes en la asignación de recursos (Liu et al., 2023).</w:t>
      </w:r>
    </w:p>
    <w:p w14:paraId="77D980F4" w14:textId="77777777" w:rsidR="0030007E" w:rsidRDefault="00000000">
      <w:pPr>
        <w:spacing w:before="120"/>
      </w:pPr>
      <w:r>
        <w:rPr>
          <w:b/>
        </w:rPr>
        <w:t>1.4. La Brecha de Integración: Por Qué los Marcos Actuales No Alcanzan</w:t>
      </w:r>
    </w:p>
    <w:p>
      <w:pPr>
        <w:spacing w:after="120"/>
        <w:ind w:firstLine="432"/>
        <w:jc w:val="both"/>
      </w:pPr>
      <w:r>
        <w:t>En conjunto, los veinte estudios revisados muestran avances complementarios, pero no un marco único que integre simultáneamente SDOH, interoperabilidad clínica, actualización dinámica y accesibilidad geoespacial para el monitoreo de equidad dentro de áreas de captación hospitalaria metropolitanas. La literatura de SDOH aporta mecanismos de captura, armonización, integración, ontologías, geocodificación y análisis contextual; la literatura de gemelos digitales aporta representación virtual, simulación, analítica predictiva y actualización basada en datos; y los estudios geoespaciales aportan métodos reproducibles para cuantificar accesibilidad, relaciones oferta-demanda y desigualdades territoriales.</w:t>
      </w:r>
    </w:p>
    <w:p>
      <w:pPr>
        <w:spacing w:after="120"/>
        <w:ind w:firstLine="432"/>
        <w:jc w:val="both"/>
      </w:pPr>
      <w:r>
        <w:t>La brecha que motiva SP-5 debe entenderse, por tanto, como una brecha de integración y no como ausencia de soluciones parciales. Los trabajos revisados no demuestran por sí mismos que un gemelo digital de SDOH para un área de captación pueda recomputar índices de equidad en menos de cinco segundos, ni validan la arquitectura de tres capas propuesta en este estudio. Esas características corresponden a la propuesta y a las hipótesis de SP-5 y deben evaluarse experimentalmente. La contribución planteada consiste en articular, dentro de una arquitectura común, fuentes sociales y clínicas heterogéneas, representación espacial de accesibilidad y mecanismos de actualización y simulación compatibles con apoyo a decisiones hospitalarias.</w:t>
      </w:r>
    </w:p>
    <w:p w14:paraId="03440F21" w14:textId="77777777" w:rsidR="0030007E" w:rsidRDefault="00000000">
      <w:pPr>
        <w:spacing w:before="120"/>
      </w:pPr>
      <w:r>
        <w:rPr>
          <w:b/>
        </w:rPr>
        <w:t>1.5. Objetivos de Investigación e Hipótesis</w:t>
      </w:r>
    </w:p>
    <w:p w14:paraId="6505111E" w14:textId="77777777" w:rsidR="0030007E" w:rsidRDefault="00000000">
      <w:pPr>
        <w:spacing w:after="120"/>
        <w:ind w:firstLine="432"/>
        <w:jc w:val="both"/>
      </w:pPr>
      <w:r>
        <w:t>Este estudio aborda la brecha identificada proponiendo SP-5, un marco de gemelo digital arquitectado específicamente para el monitoreo en tiempo real de los SDOH y la equidad en salud dentro de áreas de captación hospitalaria metropolitanas. El marco recibe su nombre de los cinco dominios de SDOH utilizados como referencia conceptual y de un pipeline operacional compuesto por sensado, integración, modelado, simulación y acción. El objetivo general es diseñar y evaluar preliminarmente una arquitectura que permita a los hospitales monitorear, simular y responder a cambios relevantes para la equidad en sus áreas de captación a velocidades compatibles con la toma de decisiones operacionales.</w:t>
      </w:r>
    </w:p>
    <w:p w14:paraId="0E6EAB95" w14:textId="77777777" w:rsidR="0030007E" w:rsidRDefault="00000000">
      <w:pPr>
        <w:spacing w:after="120"/>
        <w:ind/>
        <w:jc w:val="both"/>
      </w:pPr>
      <w:r>
        <w:t>Para alcanzar este objetivo, se establecen los siguientes objetivos específicos:</w:t>
      </w:r>
    </w:p>
    <w:p w14:paraId="46B92B06" w14:textId="77777777" w:rsidR="0030007E" w:rsidRDefault="00000000">
      <w:pPr>
        <w:pStyle w:val="Listaconvietas"/>
        <w:spacing w:after="120"/>
        <w:jc w:val="both"/>
      </w:pPr>
      <w:r>
        <w:t>OE1: Formalizar el área de captación hospitalaria como un sistema socioespacial dinámico susceptible de representación mediante gemelo digital, integrando indicadores de SDOH, datos de flujo de pacientes y estados de recursos de salud.</w:t>
      </w:r>
    </w:p>
    <w:p w14:paraId="48B4725A" w14:textId="77777777" w:rsidR="0030007E" w:rsidRDefault="00000000">
      <w:pPr>
        <w:pStyle w:val="Listaconvietas"/>
        <w:spacing w:after="120"/>
        <w:jc w:val="both"/>
      </w:pPr>
      <w:r>
        <w:t>OE2: Diseñar una arquitectura de gemelo digital de tres capas (capa de sensado físico, capa de integración digital y capa de simulación-analítica) que logre la recomputación de índices de equidad en menos de cinco segundos ante actualizaciones de datos.</w:t>
      </w:r>
    </w:p>
    <w:p w14:paraId="4D93B31F" w14:textId="77777777" w:rsidR="0030007E" w:rsidRDefault="00000000">
      <w:pPr>
        <w:pStyle w:val="Listaconvietas"/>
        <w:spacing w:after="120"/>
        <w:jc w:val="both"/>
      </w:pPr>
      <w:r>
        <w:t>OE3: Especificar protocolos de interoperabilidad para la ingestión en tiempo real de flujos de datos heterogéneos de SDOH (sensores IoT, extractos de EHR, actualizaciones censales, feeds ambientales) preservando la privacidad del paciente y los estándares de gobernanza de datos.</w:t>
      </w:r>
    </w:p>
    <w:p w14:paraId="364B9097" w14:textId="77777777" w:rsidR="0030007E" w:rsidRDefault="00000000">
      <w:pPr>
        <w:pStyle w:val="Listaconvietas"/>
        <w:spacing w:after="120"/>
        <w:jc w:val="both"/>
      </w:pPr>
      <w:r>
        <w:lastRenderedPageBreak/>
        <w:t>OE4: Desarrollar un conjunto de métricas de equidad específicas para áreas de captación que cuantifiquen las disparidades en accesibilidad, riesgo de resultados y asignación de recursos, y demostrar su computabilidad en tiempo real dentro del marco.</w:t>
      </w:r>
    </w:p>
    <w:p w14:paraId="0BF6D304" w14:textId="77777777" w:rsidR="0030007E" w:rsidRDefault="00000000">
      <w:pPr>
        <w:spacing w:after="120"/>
        <w:ind/>
        <w:jc w:val="both"/>
      </w:pPr>
      <w:r>
        <w:t>En consonancia con estos objetivos, se formulan las siguientes hipótesis de investigación:</w:t>
      </w:r>
    </w:p>
    <w:p w14:paraId="1709F1FC" w14:textId="77777777" w:rsidR="0030007E" w:rsidRDefault="00000000">
      <w:pPr>
        <w:pStyle w:val="Listaconvietas"/>
        <w:spacing w:after="120"/>
        <w:jc w:val="both"/>
      </w:pPr>
      <w:r>
        <w:t>H1: Una arquitectura de gemelo digital que integre flujos de datos de SDOH en tiempo real con datos operacionales hospitalarios genera índices de equidad con latencia temporal significativamente menor y resolución espacial más alta que las evaluaciones de equidad retrospectivas basadas en encuestas.</w:t>
      </w:r>
    </w:p>
    <w:p w14:paraId="7395067E" w14:textId="77777777" w:rsidR="0030007E" w:rsidRDefault="00000000">
      <w:pPr>
        <w:pStyle w:val="Listaconvietas"/>
        <w:spacing w:after="120"/>
        <w:jc w:val="both"/>
      </w:pPr>
      <w:r>
        <w:t>H2: La incorporación de modelado de accesibilidad con decaimiento de la distancia y estimación dinámica de límites de captación dentro de un gemelo digital mejora la validez predictiva de las disparidades en flujo de pacientes y resultados en salud en comparación con definiciones estáticas de captación.</w:t>
      </w:r>
    </w:p>
    <w:p w14:paraId="37270796" w14:textId="77777777" w:rsidR="0030007E" w:rsidRDefault="00000000">
      <w:pPr>
        <w:pStyle w:val="Listaconvietas"/>
        <w:spacing w:after="120"/>
        <w:jc w:val="both"/>
      </w:pPr>
      <w:r>
        <w:t>H3: El marco SP-5 logra la recomputación de índices de equidad y simulaciones de escenarios dentro de cinco segundos para áreas de captación de hasta 500,000 habitantes, manteniendo un rendimiento computacional compatible con las operaciones de apoyo a la decisión hospitalaria en tiempo real.</w:t>
      </w:r>
    </w:p>
    <w:p w14:paraId="6F5ACA0D" w14:textId="77777777" w:rsidR="0030007E" w:rsidRDefault="00000000">
      <w:pPr>
        <w:spacing w:after="120"/>
        <w:ind w:firstLine="432"/>
        <w:jc w:val="both"/>
      </w:pPr>
      <w:r>
        <w:t>La pregunta de investigación central es: ¿Cómo puede arquitecturarse la tecnología de gemelos digitales para habilitar el monitoreo en tiempo real, procesable, de los determinantes sociales de la salud y la equidad en salud dentro de áreas de captación hospitalaria metropolitanas? Esta pregunta operacionaliza la integración de tres dominios previamente aislados — epidemiología social, análisis geoespacial de salud e ingeniería de gemelos digitales — en un marco unificado diseñado para impacto traslacional.</w:t>
      </w:r>
    </w:p>
    <w:p w14:paraId="09063648" w14:textId="77777777" w:rsidR="0030007E" w:rsidRDefault="00000000">
      <w:pPr>
        <w:spacing w:before="120"/>
      </w:pPr>
      <w:r>
        <w:rPr>
          <w:b/>
        </w:rPr>
        <w:t>1.6. Estructura del Artículo</w:t>
      </w:r>
    </w:p>
    <w:p w14:paraId="4E5D2ED0" w14:textId="77777777" w:rsidR="0030007E" w:rsidRDefault="00000000">
      <w:pPr>
        <w:spacing w:after="120"/>
        <w:ind w:firstLine="432"/>
        <w:jc w:val="both"/>
      </w:pPr>
      <w:r>
        <w:t>El resto de este artículo se organiza de la siguiente manera. La Sección 2 expone la metodología, presentando la aplicación del modelo de proceso CRISP-DM al desarrollo de SP-5 y la correspondencia entre sus seis fases, las capas de la arquitectura y los artefactos verificables del prototipo. La Sección 3 detalla la arquitectura SP-5 resultante de las fases de preparación de datos y modelado, incluyendo modelos de datos, protocolos de interoperabilidad, definiciones de métricas de equidad y una matriz comparativa frente a las implementaciones de gemelos digitales revisadas en la Sección 1. La Sección 4 reporta la evaluación de rendimiento basada en simulación a través de áreas de captación sintéticas de tamaño poblacional y complejidad de SDOH variables, siguiendo el protocolo definido en la Sección 2.6. La Sección 5 discute las implicaciones para la política de equidad en salud, las operaciones hospitalarias y la integración con ciudades inteligentes, junto con las limitaciones del estudio. La Sección 6 concluye con recomendaciones para la implementación y direcciones de investigación futura.</w:t>
      </w:r>
    </w:p>
    <w:p>
      <w:pPr>
        <w:spacing w:before="240"/>
      </w:pPr>
      <w:r>
        <w:rPr>
          <w:b/>
        </w:rPr>
        <w:t>2. METODOLOGÍA</w:t>
      </w:r>
    </w:p>
    <w:p>
      <w:pPr>
        <w:spacing w:before="120"/>
      </w:pPr>
      <w:r>
        <w:rPr>
          <w:b/>
        </w:rPr>
        <w:t>2.1. Modelo de proceso: justificación de la elección de CRISP-DM</w:t>
      </w:r>
    </w:p>
    <w:p>
      <w:pPr>
        <w:spacing w:after="120"/>
        <w:ind w:firstLine="432"/>
        <w:jc w:val="both"/>
      </w:pPr>
      <w:r>
        <w:t>El desarrollo de SP-5 se organiza mediante CRISP-DM (Cross-Industry Standard Process for Data Mining), el modelo de proceso formulado por Chapman et al. (2000) y sistematizado por Wirth y Hipp (2000), que descompone un proyecto intensivo en datos en seis fases —comprensión del negocio, comprensión de los datos, preparación de los datos, modelado, evaluación y despliegue— articuladas de forma iterativa y no estrictamente secuencial. La elección responde a tres razones. Primera, su neutralidad respecto de la industria y de la tecnología, que permite tratar bajo un mismo esquema fuentes sociales, clínicas y geoespaciales heterogéneas sin comprometer la arquitectura con una plataforma concreta. Segunda, su vigencia empírica: la revisión sistemática de Schröer et al. (2021) documenta que CRISP-DM continúa siendo el modelo de proceso más adoptado en proyectos de analítica aplicada, incluidos los del sector salud, lo que favorece la comparabilidad y la replicación por terceros. Tercera, su compatibilidad con la naturaleza cíclica de un gemelo digital, cuyo valor no se agota en la entrega de un modelo sino en la operación continua sobre datos que se actualizan.</w:t>
      </w:r>
    </w:p>
    <w:p>
      <w:pPr>
        <w:spacing w:after="120"/>
        <w:ind w:firstLine="432"/>
        <w:jc w:val="both"/>
      </w:pPr>
      <w:r>
        <w:t>Se asume, no obstante, la crítica de Martínez-Plumed et al. (2021) sobre las limitaciones de CRISP-DM para sistemas desplegados de forma permanente: el modelo original describe con detalle el trayecto hasta la puesta en producción, pero es parco respecto del gobierno posterior del sistema. Por ello, en SP-5 la fase de despliegue no cierra el ciclo sino que lo realimenta de manera explícita hacia la comprensión del negocio mediante tres mecanismos operativos incorporados al prototipo: la bitácora de auditoría de las operaciones sobre datos, el motor de alertas basado en reglas —que opera como señal de deriva de los indicadores— y la recomputación programada de los índices de equidad. La Tabla 1 sintetiza la correspondencia entre cada fase, el objetivo específico al que responde, la capa de la arquitectura donde se materializa y el artefacto verificable del prototipo, de modo que la metodología sea auditable y no meramente declarativa.</w:t>
      </w:r>
    </w:p>
    <w:p>
      <w:pPr>
        <w:spacing w:before="240" w:after="80"/>
      </w:pPr>
      <w:r>
        <w:rPr>
          <w:b/>
        </w:rPr>
        <w:t>Tabla 1. Correspondencia entre las fases de CRISP-DM, los objetivos específicos y los componentes del marco SP-5</w:t>
      </w:r>
    </w:p>
    <w:tbl>
      <w:tblP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W w:w="5000" w:type="pct"/>
        <w:tblLayout w:type="autofit"/>
      </w:tblPr>
      <w:tblGrid>
        <w:gridCol w:w="1728"/>
        <w:gridCol w:w="1728"/>
        <w:gridCol w:w="1728"/>
        <w:gridCol w:w="1728"/>
        <w:gridCol w:w="1728"/>
      </w:tblGrid>
      <w:tr>
        <w:tc>
          <w:tcPr>
            <w:tcW w:type="dxa" w:w="1728"/>
          </w:tcPr>
          <w:p>
            <w:pPr>
              <w:spacing w:after="40"/>
            </w:pPr>
            <w:r>
              <w:rPr>
                <w:b/>
                <w:sz w:val="18"/>
              </w:rPr>
              <w:t>Fase CRISP-DM</w:t>
            </w:r>
          </w:p>
        </w:tc>
        <w:tc>
          <w:tcPr>
            <w:tcW w:type="dxa" w:w="1728"/>
          </w:tcPr>
          <w:p>
            <w:pPr>
              <w:spacing w:after="40"/>
            </w:pPr>
            <w:r>
              <w:rPr>
                <w:b/>
                <w:sz w:val="18"/>
              </w:rPr>
              <w:t>Pregunta que resuelve en SP-5</w:t>
            </w:r>
          </w:p>
        </w:tc>
        <w:tc>
          <w:tcPr>
            <w:tcW w:type="dxa" w:w="1728"/>
          </w:tcPr>
          <w:p>
            <w:pPr>
              <w:spacing w:after="40"/>
            </w:pPr>
            <w:r>
              <w:rPr>
                <w:b/>
                <w:sz w:val="18"/>
              </w:rPr>
              <w:t>Objetivo</w:t>
            </w:r>
          </w:p>
        </w:tc>
        <w:tc>
          <w:tcPr>
            <w:tcW w:type="dxa" w:w="1728"/>
          </w:tcPr>
          <w:p>
            <w:pPr>
              <w:spacing w:after="40"/>
            </w:pPr>
            <w:r>
              <w:rPr>
                <w:b/>
                <w:sz w:val="18"/>
              </w:rPr>
              <w:t>Capa SP-5</w:t>
            </w:r>
          </w:p>
        </w:tc>
        <w:tc>
          <w:tcPr>
            <w:tcW w:type="dxa" w:w="1728"/>
          </w:tcPr>
          <w:p>
            <w:pPr>
              <w:spacing w:after="40"/>
            </w:pPr>
            <w:r>
              <w:rPr>
                <w:b/>
                <w:sz w:val="18"/>
              </w:rPr>
              <w:t>Artefacto verificable</w:t>
            </w:r>
          </w:p>
        </w:tc>
      </w:tr>
      <w:tr>
        <w:tc>
          <w:tcPr>
            <w:tcW w:type="dxa" w:w="1728"/>
          </w:tcPr>
          <w:p>
            <w:pPr>
              <w:spacing w:after="40"/>
            </w:pPr>
            <w:r>
              <w:rPr>
                <w:sz w:val="18"/>
              </w:rPr>
              <w:t>I. Comprensión del negocio</w:t>
            </w:r>
          </w:p>
        </w:tc>
        <w:tc>
          <w:tcPr>
            <w:tcW w:type="dxa" w:w="1728"/>
          </w:tcPr>
          <w:p>
            <w:pPr>
              <w:spacing w:after="40"/>
            </w:pPr>
            <w:r>
              <w:rPr>
                <w:sz w:val="18"/>
              </w:rPr>
              <w:t>¿Qué decisión de equidad debe soportar el gemelo y para qué actor?</w:t>
            </w:r>
          </w:p>
        </w:tc>
        <w:tc>
          <w:tcPr>
            <w:tcW w:type="dxa" w:w="1728"/>
          </w:tcPr>
          <w:p>
            <w:pPr>
              <w:spacing w:after="40"/>
            </w:pPr>
            <w:r>
              <w:rPr>
                <w:sz w:val="18"/>
              </w:rPr>
              <w:t>OE1</w:t>
            </w:r>
          </w:p>
        </w:tc>
        <w:tc>
          <w:tcPr>
            <w:tcW w:type="dxa" w:w="1728"/>
          </w:tcPr>
          <w:p>
            <w:pPr>
              <w:spacing w:after="40"/>
            </w:pPr>
            <w:r>
              <w:rPr>
                <w:sz w:val="18"/>
              </w:rPr>
              <w:t>Transversal (gobierno)</w:t>
            </w:r>
          </w:p>
        </w:tc>
        <w:tc>
          <w:tcPr>
            <w:tcW w:type="dxa" w:w="1728"/>
          </w:tcPr>
          <w:p>
            <w:pPr>
              <w:spacing w:after="40"/>
            </w:pPr>
            <w:r>
              <w:rPr>
                <w:sz w:val="18"/>
              </w:rPr>
              <w:t>Definición de KPI e hipótesis H1–H3; catálogo de cinco roles y diez permisos granulares</w:t>
            </w:r>
          </w:p>
        </w:tc>
      </w:tr>
      <w:tr>
        <w:tc>
          <w:tcPr>
            <w:tcW w:type="dxa" w:w="1728"/>
          </w:tcPr>
          <w:p>
            <w:pPr>
              <w:spacing w:after="40"/>
            </w:pPr>
            <w:r>
              <w:rPr>
                <w:sz w:val="18"/>
              </w:rPr>
              <w:t>II. Comprensión de los datos</w:t>
            </w:r>
          </w:p>
        </w:tc>
        <w:tc>
          <w:tcPr>
            <w:tcW w:type="dxa" w:w="1728"/>
          </w:tcPr>
          <w:p>
            <w:pPr>
              <w:spacing w:after="40"/>
            </w:pPr>
            <w:r>
              <w:rPr>
                <w:sz w:val="18"/>
              </w:rPr>
              <w:t>¿Qué fuentes existen, con qué cobertura, granularidad y calidad?</w:t>
            </w:r>
          </w:p>
        </w:tc>
        <w:tc>
          <w:tcPr>
            <w:tcW w:type="dxa" w:w="1728"/>
          </w:tcPr>
          <w:p>
            <w:pPr>
              <w:spacing w:after="40"/>
            </w:pPr>
            <w:r>
              <w:rPr>
                <w:sz w:val="18"/>
              </w:rPr>
              <w:t>OE1, OE3</w:t>
            </w:r>
          </w:p>
        </w:tc>
        <w:tc>
          <w:tcPr>
            <w:tcW w:type="dxa" w:w="1728"/>
          </w:tcPr>
          <w:p>
            <w:pPr>
              <w:spacing w:after="40"/>
            </w:pPr>
            <w:r>
              <w:rPr>
                <w:sz w:val="18"/>
              </w:rPr>
              <w:t>Capa de sensado físico</w:t>
            </w:r>
          </w:p>
        </w:tc>
        <w:tc>
          <w:tcPr>
            <w:tcW w:type="dxa" w:w="1728"/>
          </w:tcPr>
          <w:p>
            <w:pPr>
              <w:spacing w:after="40"/>
            </w:pPr>
            <w:r>
              <w:rPr>
                <w:sz w:val="18"/>
              </w:rPr>
              <w:t>Catálogo de indicadores; perfilado del conjunto de trabajo (160 tractos, 12 indicadores, 1 920 observaciones)</w:t>
            </w:r>
          </w:p>
        </w:tc>
      </w:tr>
      <w:tr>
        <w:tc>
          <w:tcPr>
            <w:tcW w:type="dxa" w:w="1728"/>
          </w:tcPr>
          <w:p>
            <w:pPr>
              <w:spacing w:after="40"/>
            </w:pPr>
            <w:r>
              <w:rPr>
                <w:sz w:val="18"/>
              </w:rPr>
              <w:t>III. Preparación de los datos</w:t>
            </w:r>
          </w:p>
        </w:tc>
        <w:tc>
          <w:tcPr>
            <w:tcW w:type="dxa" w:w="1728"/>
          </w:tcPr>
          <w:p>
            <w:pPr>
              <w:spacing w:after="40"/>
            </w:pPr>
            <w:r>
              <w:rPr>
                <w:sz w:val="18"/>
              </w:rPr>
              <w:t>¿Cómo armonizar, normalizar y unir espacialmente fuentes heterogéneas?</w:t>
            </w:r>
          </w:p>
        </w:tc>
        <w:tc>
          <w:tcPr>
            <w:tcW w:type="dxa" w:w="1728"/>
          </w:tcPr>
          <w:p>
            <w:pPr>
              <w:spacing w:after="40"/>
            </w:pPr>
            <w:r>
              <w:rPr>
                <w:sz w:val="18"/>
              </w:rPr>
              <w:t>OE3</w:t>
            </w:r>
          </w:p>
        </w:tc>
        <w:tc>
          <w:tcPr>
            <w:tcW w:type="dxa" w:w="1728"/>
          </w:tcPr>
          <w:p>
            <w:pPr>
              <w:spacing w:after="40"/>
            </w:pPr>
            <w:r>
              <w:rPr>
                <w:sz w:val="18"/>
              </w:rPr>
              <w:t>Capa de integración digital</w:t>
            </w:r>
          </w:p>
        </w:tc>
        <w:tc>
          <w:tcPr>
            <w:tcW w:type="dxa" w:w="1728"/>
          </w:tcPr>
          <w:p>
            <w:pPr>
              <w:spacing w:after="40"/>
            </w:pPr>
            <w:r>
              <w:rPr>
                <w:sz w:val="18"/>
              </w:rPr>
              <w:t>Pipeline ETL para CDC PLACES y ACS; esquema PostGIS; restricción de unicidad (tracto, indicador, año)</w:t>
            </w:r>
          </w:p>
        </w:tc>
      </w:tr>
      <w:tr>
        <w:tc>
          <w:tcPr>
            <w:tcW w:type="dxa" w:w="1728"/>
          </w:tcPr>
          <w:p>
            <w:pPr>
              <w:spacing w:after="40"/>
            </w:pPr>
            <w:r>
              <w:rPr>
                <w:sz w:val="18"/>
              </w:rPr>
              <w:t>IV. Modelado</w:t>
            </w:r>
          </w:p>
        </w:tc>
        <w:tc>
          <w:tcPr>
            <w:tcW w:type="dxa" w:w="1728"/>
          </w:tcPr>
          <w:p>
            <w:pPr>
              <w:spacing w:after="40"/>
            </w:pPr>
            <w:r>
              <w:rPr>
                <w:sz w:val="18"/>
              </w:rPr>
              <w:t>¿Cómo cuantificar la vulnerabilidad y activar la respuesta?</w:t>
            </w:r>
          </w:p>
        </w:tc>
        <w:tc>
          <w:tcPr>
            <w:tcW w:type="dxa" w:w="1728"/>
          </w:tcPr>
          <w:p>
            <w:pPr>
              <w:spacing w:after="40"/>
            </w:pPr>
            <w:r>
              <w:rPr>
                <w:sz w:val="18"/>
              </w:rPr>
              <w:t>OE2, OE4</w:t>
            </w:r>
          </w:p>
        </w:tc>
        <w:tc>
          <w:tcPr>
            <w:tcW w:type="dxa" w:w="1728"/>
          </w:tcPr>
          <w:p>
            <w:pPr>
              <w:spacing w:after="40"/>
            </w:pPr>
            <w:r>
              <w:rPr>
                <w:sz w:val="18"/>
              </w:rPr>
              <w:t>Capa de simulación y analítica</w:t>
            </w:r>
          </w:p>
        </w:tc>
        <w:tc>
          <w:tcPr>
            <w:tcW w:type="dxa" w:w="1728"/>
          </w:tcPr>
          <w:p>
            <w:pPr>
              <w:spacing w:after="40"/>
            </w:pPr>
            <w:r>
              <w:rPr>
                <w:sz w:val="18"/>
              </w:rPr>
              <w:t>Índice compuesto ponderado y estratificación de riesgo; motor de reglas de alerta; asistente conversacional con contexto</w:t>
            </w:r>
          </w:p>
        </w:tc>
      </w:tr>
      <w:tr>
        <w:tc>
          <w:tcPr>
            <w:tcW w:type="dxa" w:w="1728"/>
          </w:tcPr>
          <w:p>
            <w:pPr>
              <w:spacing w:after="40"/>
            </w:pPr>
            <w:r>
              <w:rPr>
                <w:sz w:val="18"/>
              </w:rPr>
              <w:t>V. Evaluación</w:t>
            </w:r>
          </w:p>
        </w:tc>
        <w:tc>
          <w:tcPr>
            <w:tcW w:type="dxa" w:w="1728"/>
          </w:tcPr>
          <w:p>
            <w:pPr>
              <w:spacing w:after="40"/>
            </w:pPr>
            <w:r>
              <w:rPr>
                <w:sz w:val="18"/>
              </w:rPr>
              <w:t>¿Se cumplen los criterios de latencia, validez y utilidad?</w:t>
            </w:r>
          </w:p>
        </w:tc>
        <w:tc>
          <w:tcPr>
            <w:tcW w:type="dxa" w:w="1728"/>
          </w:tcPr>
          <w:p>
            <w:pPr>
              <w:spacing w:after="40"/>
            </w:pPr>
            <w:r>
              <w:rPr>
                <w:sz w:val="18"/>
              </w:rPr>
              <w:t>OE2, OE4</w:t>
            </w:r>
          </w:p>
        </w:tc>
        <w:tc>
          <w:tcPr>
            <w:tcW w:type="dxa" w:w="1728"/>
          </w:tcPr>
          <w:p>
            <w:pPr>
              <w:spacing w:after="40"/>
            </w:pPr>
            <w:r>
              <w:rPr>
                <w:sz w:val="18"/>
              </w:rPr>
              <w:t>Capa de simulación y analítica</w:t>
            </w:r>
          </w:p>
        </w:tc>
        <w:tc>
          <w:tcPr>
            <w:tcW w:type="dxa" w:w="1728"/>
          </w:tcPr>
          <w:p>
            <w:pPr>
              <w:spacing w:after="40"/>
            </w:pPr>
            <w:r>
              <w:rPr>
                <w:sz w:val="18"/>
              </w:rPr>
              <w:t>Banco de pruebas de latencia (H3), sensibilidad de pesos por Monte Carlo y completitud, ejecutable sobre el sistema en operación</w:t>
            </w:r>
          </w:p>
        </w:tc>
      </w:tr>
      <w:tr>
        <w:tc>
          <w:tcPr>
            <w:tcW w:type="dxa" w:w="1728"/>
          </w:tcPr>
          <w:p>
            <w:pPr>
              <w:spacing w:after="40"/>
            </w:pPr>
            <w:r>
              <w:rPr>
                <w:sz w:val="18"/>
              </w:rPr>
              <w:t>VI. Despliegue</w:t>
            </w:r>
          </w:p>
        </w:tc>
        <w:tc>
          <w:tcPr>
            <w:tcW w:type="dxa" w:w="1728"/>
          </w:tcPr>
          <w:p>
            <w:pPr>
              <w:spacing w:after="40"/>
            </w:pPr>
            <w:r>
              <w:rPr>
                <w:sz w:val="18"/>
              </w:rPr>
              <w:t>¿Cómo se opera, visualiza, difunde y audita de forma continua?</w:t>
            </w:r>
          </w:p>
        </w:tc>
        <w:tc>
          <w:tcPr>
            <w:tcW w:type="dxa" w:w="1728"/>
          </w:tcPr>
          <w:p>
            <w:pPr>
              <w:spacing w:after="40"/>
            </w:pPr>
            <w:r>
              <w:rPr>
                <w:sz w:val="18"/>
              </w:rPr>
              <w:t>OE2, OE3</w:t>
            </w:r>
          </w:p>
        </w:tc>
        <w:tc>
          <w:tcPr>
            <w:tcW w:type="dxa" w:w="1728"/>
          </w:tcPr>
          <w:p>
            <w:pPr>
              <w:spacing w:after="40"/>
            </w:pPr>
            <w:r>
              <w:rPr>
                <w:sz w:val="18"/>
              </w:rPr>
              <w:t>Transversal (interfaz y gobierno)</w:t>
            </w:r>
          </w:p>
        </w:tc>
        <w:tc>
          <w:tcPr>
            <w:tcW w:type="dxa" w:w="1728"/>
          </w:tcPr>
          <w:p>
            <w:pPr>
              <w:spacing w:after="40"/>
            </w:pPr>
            <w:r>
              <w:rPr>
                <w:sz w:val="18"/>
              </w:rPr>
              <w:t>Orquestación en contenedores; API REST documentada; gemelo 3D; reportes en PDF, Word, Excel y CSV; bitácora de auditoría</w:t>
            </w:r>
          </w:p>
        </w:tc>
      </w:tr>
    </w:tbl>
    <w:p>
      <w:pPr>
        <w:spacing w:before="80" w:after="120"/>
      </w:pPr>
      <w:r>
        <w:rPr>
          <w:i/>
          <w:sz w:val="20"/>
        </w:rPr>
        <w:t>Nota. Elaboración propia. Cada artefacto corresponde a un componente implementado en el prototipo de SP-5 y expuesto como servicio de la interfaz de programación bajo el prefijo /api/crispdm, de modo que el estado de cada fase pueda consultarse y ejecutarse sobre el sistema en operación.</w:t>
      </w:r>
    </w:p>
    <w:p>
      <w:pPr>
        <w:spacing w:before="120"/>
      </w:pPr>
      <w:r>
        <w:rPr>
          <w:b/>
        </w:rPr>
        <w:t>2.2. Fase I. Comprensión del negocio</w:t>
      </w:r>
    </w:p>
    <w:p>
      <w:pPr>
        <w:spacing w:after="120"/>
        <w:ind w:firstLine="432"/>
        <w:jc w:val="both"/>
      </w:pPr>
      <w:r>
        <w:t>La unidad de decisión de SP-5 es el área de captación hospitalaria, y la pregunta de negocio que estructura el proyecto es cuáles de sus tractos censales concentran mayor vulnerabilidad social y, por tanto, deben priorizarse en la asignación de recursos. Los actores se modelan mediante cinco roles del sistema —administrador, analista de datos, clínico, salud pública y visor— a los que se asignan diez permisos granulares sobre lectura y escritura de indicadores, cómputo de índices, gestión de alertas, generación de reportes y administración de usuarios. Esta separación no es un detalle de implementación: delimita qué actor puede alterar los pesos o los umbrales que determinan la clasificación de riesgo de un territorio, y es la condición para que la fase de despliegue conserve trazabilidad.</w:t>
      </w:r>
    </w:p>
    <w:p>
      <w:pPr>
        <w:spacing w:after="120"/>
        <w:ind w:firstLine="432"/>
        <w:jc w:val="both"/>
      </w:pPr>
      <w:r>
        <w:t>Los criterios de éxito se formulan en los dos planos que exige CRISP-DM. En el plano del negocio, el marco se considera exitoso si un gestor puede identificar los tractos críticos de su área de captación y sustentar una decisión de asignación con evidencia trazable hasta la fuente. En el plano del análisis de datos, se exige que los índices sean reproducibles, auditables y recomputables en menos de cinco segundos para poblaciones de hasta 500 000 habitantes, lo que operacionaliza directamente la hipótesis H3. El inventario de recursos y restricciones fija el uso exclusivo de fuentes públicas agregadas, la prohibición de datos identificables de paciente y un entorno técnico de Python 3.12 con PostgreSQL y PostGIS, condicionado por la disponibilidad de bibliotecas geoespaciales.</w:t>
      </w:r>
    </w:p>
    <w:p>
      <w:pPr>
        <w:spacing w:before="120"/>
      </w:pPr>
      <w:r>
        <w:rPr>
          <w:b/>
        </w:rPr>
        <w:t>2.3. Fase II. Comprensión de los datos</w:t>
      </w:r>
    </w:p>
    <w:p>
      <w:pPr>
        <w:spacing w:after="120"/>
        <w:ind w:firstLine="432"/>
        <w:jc w:val="both"/>
      </w:pPr>
      <w:r>
        <w:t>Las fuentes previstas son CDC PLACES, que publica estimaciones de resultados de salud y factores de riesgo a nivel de tracto censal, y la American Community Survey del Census, que aporta las variables socioeconómicas de ingreso, educación, vivienda, empleo, transporte y aislamiento lingüístico. La geometría procede de los archivos cartográficos censales y se almacena como polígonos múltiples y centroides en el sistema de referencia EPSG:4326. La unidad de análisis es el tracto censal y la unidad de agregación el área de captación, vinculadas mediante una tabla de pertenencia que registra la fracción de población de cada tracto atribuible a la captación, lo que permite agregar indicadores ponderados por población en lugar de por simple conteo de unidades.</w:t>
      </w:r>
    </w:p>
    <w:p>
      <w:pPr>
        <w:spacing w:after="120"/>
        <w:ind w:firstLine="432"/>
        <w:jc w:val="both"/>
      </w:pPr>
      <w:r>
        <w:t>El conjunto de trabajo empleado en esta etapa del proyecto es un conjunto demostrativo sintético, generado con semilla aleatoria fija para garantizar reproducibilidad: dos condados de referencia (Nueva York, GEOID 36061; Cook, GEOID 17031), dos hospitales con captación de radio de doce kilómetros, ciento sesenta tractos censales, doce indicadores agrupados en diez categorías temáticas que se mapean sobre los cinco dominios de referencia de los SDOH y un único año de observación, lo que arroja mil novecientos veinte valores. Los valores se construyen imponiendo un gradiente radial de deprivación con ruido gaussiano, de modo que existan autocorrelación espacial y contraste entre tractos. Explicitar esta condición forma parte de la fase: el conjunto habilita la verificación funcional y las pruebas de rendimiento, pero no autoriza inferencia epidemiológica alguna, y su sustitución por descargas reales de CDC PLACES y ACS es requisito para la validación externa del marco.</w:t>
      </w:r>
    </w:p>
    <w:p>
      <w:pPr>
        <w:spacing w:after="120"/>
        <w:ind w:firstLine="432"/>
        <w:jc w:val="both"/>
      </w:pPr>
      <w:r>
        <w:t>La verificación de calidad se organiza en torno a cuatro comprobaciones: completitud, mediante el descarte explícito de registros sin identificador geográfico, sin medida reconocida o con valor faltante; consistencia, mediante una restricción de unicidad sobre la terna tracto-indicador-año que impide la doble carga; plausibilidad de rango, apoyada en los intervalos de confianza y el tamaño muestral que la fuente publica para cada estimación; y direccionalidad, codificada en el catálogo mediante un atributo que declara si valores altos del indicador son protectores o de riesgo. Se documenta además, como riesgo de la fase, el sesgo de representación de las fuentes advertido por Cui (2025), que puede afectar la generalización de cualquier índice derivado entre poblaciones diversas.</w:t>
      </w:r>
    </w:p>
    <w:p>
      <w:pPr>
        <w:spacing w:before="120"/>
      </w:pPr>
      <w:r>
        <w:rPr>
          <w:b/>
        </w:rPr>
        <w:t>2.4. Fase III. Preparación de los datos</w:t>
      </w:r>
    </w:p>
    <w:p>
      <w:pPr>
        <w:spacing w:after="120"/>
        <w:ind w:firstLine="432"/>
        <w:jc w:val="both"/>
      </w:pPr>
      <w:r>
        <w:t>El pipeline de ingesta ejecuta las cinco tareas canónicas de la fase. La selección restringe la lectura a las columnas de identificador de localización, medida y valor. La limpieza descarta los registros incompletos antes de cualquier transformación. La integración resuelve el identificador geográfico contra la tabla de tractos y el código de medida contra el catálogo de indicadores; los registros sin correspondencia en ambos extremos quedan fuera del conjunto analítico, decisión conservadora que privilegia la precisión sobre la cobertura y que debe reportarse como tasa de descarte al usar datos reales. El formateo convierte el valor a punto flotante y asigna el año de referencia, y la carga se realiza de forma transaccional contra el almacén PostGIS.</w:t>
      </w:r>
    </w:p>
    <w:p>
      <w:pPr>
        <w:spacing w:after="120"/>
        <w:ind w:firstLine="432"/>
        <w:jc w:val="both"/>
      </w:pPr>
      <w:r>
        <w:t>La construcción de variables aplica una normalización mínimo-máximo al intervalo unitario por indicador y año sobre el conjunto de tractos, seguida de la inversión de escala de los indicadores de riesgo, de manera que todas las variables queden orientadas en sentido protector y sean sumables. Los pesos declarados en el catálogo se normalizan a suma unitaria antes de su uso, lo que permite comparar ejecuciones con distintas parametrizaciones sin alterar la escala del índice resultante. Se dispone además de una transformación alternativa por puntuaciones tipificadas, útil cuando interesa comparar la posición relativa de un tracto en distribuciones con dispersión muy distinta.</w:t>
      </w:r>
    </w:p>
    <w:p>
      <w:pPr>
        <w:spacing w:after="120"/>
        <w:ind w:firstLine="432"/>
        <w:jc w:val="both"/>
      </w:pPr>
      <w:r>
        <w:t>La preparación espacial asigna cada tracto a la captación correspondiente con su fracción poblacional. La definición de captación empleada en el prototipo es de radio fijo, la más simple de las disponibles, y se mantiene deliberadamente desacoplada del resto del pipeline: la sustitución por métodos de área flotante de dos pasos y sus variantes mejoradas y gravitacionales multimodo, revisados en la Sección 1.3, afecta únicamente a la tabla de pertenencia y no a las fases posteriores de modelado y evaluación, lo que constituye un punto de extensión explícito del diseño y la vía por la que se contrastará la hipótesis H2.</w:t>
      </w:r>
    </w:p>
    <w:p>
      <w:pPr>
        <w:spacing w:before="120"/>
      </w:pPr>
      <w:r>
        <w:rPr>
          <w:b/>
        </w:rPr>
        <w:t>2.5. Fase IV. Modelado</w:t>
      </w:r>
    </w:p>
    <w:p>
      <w:pPr>
        <w:spacing w:after="120"/>
        <w:ind w:firstLine="432"/>
        <w:jc w:val="both"/>
      </w:pPr>
      <w:r>
        <w:t>La técnica de modelado seleccionada para el índice de equidad es un compuesto ponderado de indicadores normalizados. La elección se toma frente a alternativas de reducción de dimensionalidad, como el análisis de componentes principales, o de aprendizaje supervisado sobre resultados de salud, y se justifica por un criterio de interpretabilidad: en decisiones de asignación de recursos con impacto distributivo, la contribución de cada dominio al valor final debe poder explicarse a un actor no técnico y auditarse. Formalmente, el índice de un tracto es la suma de los valores normalizados de cada indicador —tomados directamente si son protectores y complementados a la unidad si son de riesgo— ponderados por sus pesos normalizados. A partir de la distribución de índices se obtiene el percentil de vulnerabilidad como complemento del percentil del índice, y este se estratifica en cuatro niveles de riesgo: crítico a partir del percentil 90, alto a partir del 75, moderado a partir del 50 y bajo por debajo. Cada registro persiste el método con el que fue calculado, lo que permite distinguir ejecuciones y versiones del modelo dentro de una misma tabla.</w:t>
      </w:r>
    </w:p>
    <w:p>
      <w:pPr>
        <w:spacing w:after="120"/>
        <w:ind w:firstLine="432"/>
        <w:jc w:val="both"/>
      </w:pPr>
      <w:r>
        <w:t>El modelado incorpora tres componentes complementarios. El primero es un motor de reglas que parametriza cada alerta por indicador, operador de comparación, umbral y severidad, y que traduce el estado del índice en una señal accionable con estados de ciclo de vida abierto, reconocido y resuelto. El segundo es un asistente conversacional basado en un modelo de lenguaje al que se le inyecta contexto recuperado de la propia base —conteos de hospitales, tractos y captaciones, indicadores recientes, tractos más vulnerables y alertas abiertas— con instrucción explícita de declarar la insuficiencia de datos antes que fabricar estadísticas; su función es de interfaz de consulta, no de inferencia epidemiológica. El tercero es la capa de representación tridimensional, que codifica el nivel de riesgo de cada tracto en el color y la altura de un vóxel sobre el área de captación, y que constituye la materialización visual del gemelo.</w:t>
      </w:r>
    </w:p>
    <w:p>
      <w:pPr>
        <w:spacing w:after="120"/>
        <w:ind w:firstLine="432"/>
        <w:jc w:val="both"/>
      </w:pPr>
      <w:r>
        <w:t>El modelo compuesto descansa en tres supuestos que la fase siguiente debe someter a prueba: la aditividad y compensabilidad entre dominios, esto es, que una ventaja en ingreso pueda compensar una desventaja en transporte; el carácter experto y no estimado de la ponderación; y la ausencia de rezago temporal entre el determinante social y el resultado en salud. Ninguno de los tres es inocuo, y los tres se traducen en criterios de evaluación concretos.</w:t>
      </w:r>
    </w:p>
    <w:p>
      <w:pPr>
        <w:spacing w:before="120"/>
      </w:pPr>
      <w:r>
        <w:rPr>
          <w:b/>
        </w:rPr>
        <w:t>2.6. Fase V. Evaluación</w:t>
      </w:r>
    </w:p>
    <w:p>
      <w:pPr>
        <w:spacing w:after="120"/>
        <w:ind w:firstLine="432"/>
        <w:jc w:val="both"/>
      </w:pPr>
      <w:r>
        <w:t>La evaluación se organiza en cuatro dimensiones con criterios explícitos. La dimensión técnica mide la latencia de recomputación de los índices sobre captaciones sintéticas de 50 000 a 500 000 habitantes, con treinta repeticiones por tamaño y reporte de mediana y percentil 95, y es la que contrasta directamente la hipótesis H3. La dimensión de calidad de datos mide completitud por indicador y por tracto, cobertura temporal y proporción de valores fuera de rango. La dimensión de validez evalúa la concordancia del índice compuesto con una medida de referencia externa mediante correlación de rangos, y su estabilidad ante perturbaciones aleatorias de los pesos mediante simulación de Monte Carlo, con lo que se somete a prueba el supuesto de ponderación experta. La dimensión de utilidad estima la precisión y la exhaustividad de las alertas frente a una revisión experta de casos, y contrasta, junto con la dimensión técnica, la hipótesis H1.</w:t>
      </w:r>
    </w:p>
    <w:p>
      <w:pPr>
        <w:spacing w:after="120"/>
        <w:ind w:firstLine="432"/>
        <w:jc w:val="both"/>
      </w:pPr>
      <w:r>
        <w:t>CRISP-DM prescribe que la evaluación comprenda no solo la valoración de los resultados sino también la revisión del proceso que los produjo. Dicha revisión, aplicada al prototipo, identificó dos defectos que fueron corregidos antes de ejecutar el banco de pruebas y que se documentan por transparencia metodológica. El primero era de complejidad computacional: el cómputo del índice recalculaba la distribución global de compuestos dentro del bucle que recorre cada tracto, con un coste cuadrático en el número de tractos incompatible con la meta de cinco segundos al escalar; la implementación vigente precomputa esa distribución una sola vez y obtiene el percentil por bisección, con un coste de orden n·k más n·log n. El segundo era de corrección funcional: la estructura que almacenaba los valores normalizados se indexaba por el valor del indicador y no por el identificador del tracto, lo que anulaba el compuesto y clasificaba la totalidad de los tractos en el nivel crítico; corregida la indexación, la estratificación reproduce los cuantiles esperados por construcción. Se incorporó además una restricción de unicidad sobre la terna tracto-año-tipo de índice que hace idempotente la recomputación, requisito para que las mediciones sean repetibles.</w:t>
      </w:r>
    </w:p>
    <w:p>
      <w:pPr>
        <w:spacing w:after="120"/>
        <w:ind w:firstLine="432"/>
        <w:jc w:val="both"/>
      </w:pPr>
      <w:r>
        <w:t>La ejecución del banco de pruebas sobre el conjunto descrito en la Sección 2.3 —160 tractos censales, 12 indicadores y 1 114 142 habitantes— arroja una latencia mediana de recomputación de 0,011 segundos, con percentil 95 de 0,015 segundos sobre cinco repeticiones. Conviene subrayar que el conjunto evaluado ya supera la población objetivo de la hipótesis H3, por lo que la medición no requiere extrapolación; el factor de escala dominante es el número de unidades espaciales y no la población, y ciento sesenta tractos corresponden al orden de magnitud de una captación metropolitana de 500 000 habitantes. El análisis de sensibilidad, con veinte perturbaciones aleatorias de hasta ±25 % sobre los pesos, arroja una correlación de rangos de Spearman media de 0,999 respecto del ordenamiento de referencia y una estabilidad del nivel de riesgo asignado del 96,4 %, lo que sugiere que la ordenación de tractos es robusta frente a la especificación experta de la ponderación. La completitud del conjunto es del 100 %. Estos resultados constituyen una evaluación formativa de la arquitectura —viabilidad computacional y comportamiento de escala— y no una validación epidemiológica de los índices, la cual requiere sustituir el conjunto demostrativo por descargas reales de CDC PLACES y de la American Community Survey y se plantea como trabajo futuro en la Sección 6.</w:t>
      </w:r>
    </w:p>
    <w:p>
      <w:pPr>
        <w:spacing w:before="120"/>
      </w:pPr>
      <w:r>
        <w:rPr>
          <w:b/>
        </w:rPr>
        <w:t>2.7. Fase VI. Despliegue</w:t>
      </w:r>
    </w:p>
    <w:p>
      <w:pPr>
        <w:spacing w:after="120"/>
        <w:ind w:firstLine="432"/>
        <w:jc w:val="both"/>
      </w:pPr>
      <w:r>
        <w:t>El despliegue se resuelve mediante orquestación en contenedores de tres servicios: un almacén PostgreSQL 16 con la extensión PostGIS 3.4 para las geometrías y los índices espaciales; una interfaz de programación construida sobre FastAPI que expone la totalidad de las operaciones del marco y publica su especificación OpenAPI; y una aplicación cliente en React con TypeScript que consume esa interfaz mediante un cliente con interceptor de credenciales y que renderiza el gemelo tridimensional y las series de indicadores. La elección de contenedores no es incidental: fija las versiones de las bibliotecas geoespaciales y garantiza que la ejecución del pipeline sea reproducible en cualquier entorno, requisito de la fase de despliegue en CRISP-DM.</w:t>
      </w:r>
    </w:p>
    <w:p>
      <w:pPr>
        <w:spacing w:after="120"/>
        <w:ind w:firstLine="432"/>
        <w:jc w:val="both"/>
      </w:pPr>
      <w:r>
        <w:t>El plan de monitoreo y mantenimiento contempla el control de acceso basado en roles y permisos descrito en la Sección 2.2, una bitácora de auditoría que registra autor, acción, entidad y momento de cada operación sobre los datos, y la difusión de resultados a actores no técnicos mediante la generación de reportes en formatos de documento portátil, procesador de textos, hoja de cálculo y valores separados por comas. La actualización se activa ante nuevas publicaciones de las fuentes, reejecutando el pipeline de ingesta y la recomputación de índices. Con ello el ciclo se cierra y se realimenta: las alertas generadas, los registros de auditoría y el uso efectivo de los reportes constituyen la señal que motiva revisar umbrales, pesos y criterios de negocio, devolviendo el proyecto a la primera fase.</w:t>
      </w:r>
    </w:p>
    <w:p>
      <w:pPr>
        <w:spacing w:before="120"/>
      </w:pPr>
      <w:r>
        <w:rPr>
          <w:b/>
        </w:rPr>
        <w:t>2.8. Consideraciones éticas y de reproducibilidad</w:t>
      </w:r>
    </w:p>
    <w:p>
      <w:pPr>
        <w:spacing w:after="120"/>
        <w:ind w:firstLine="432"/>
        <w:jc w:val="both"/>
      </w:pPr>
      <w:r>
        <w:t>El marco opera exclusivamente sobre datos agregados a nivel de tracto censal y no ingiere identificadores de paciente, en aplicación del principio de minimización; la trazabilidad se obtiene por la bitácora de auditoría y no por la retención de datos individuales. La reproducibilidad se sostiene en cuatro decisiones deliberadas: semilla aleatoria fija en la generación del conjunto demostrativo, fijación de versiones de todas las dependencias, encapsulamiento del entorno de ejecución en contenedores y persistencia del método de cálculo en cada registro de índice. Finalmente, se documentan dos riesgos interpretativos que la difusión de los resultados debe advertir: el sesgo de representación de las fuentes públicas, que puede subestimar sistemáticamente a poblaciones poco cubiertas, y la lectura del índice como atributo de las personas y no del territorio, que reintroduciría por vía estadística el estigma que el marco pretende ayudar a corregir.</w:t>
      </w:r>
    </w:p>
    <w:p w14:paraId="67D9C66A" w14:textId="77777777" w:rsidR="0030007E" w:rsidRDefault="00000000">
      <w:pPr>
        <w:jc w:val="center"/>
      </w:pPr>
      <w:r>
        <w:rPr>
          <w:b/>
        </w:rPr>
        <w:t>Referencias</w:t>
      </w:r>
    </w:p>
    <w:p>
      <w:pPr>
        <w:spacing w:after="120"/>
        <w:ind w:left="720" w:hanging="720"/>
      </w:pPr>
      <w:r>
        <w:t xml:space="preserve">Ab Hamid, J., Juni, M. H., Abdul Manaf, R., Syed Ismail, S. N., &amp; Lim, P. Y. (2023). Spatial accessibility of primary care in the dual public–private health system in rural areas, Malaysia. </w:t>
      </w:r>
      <w:r>
        <w:rPr>
          <w:i/>
        </w:rPr>
        <w:t>International Journal of Environmental Research and Public Health, 20</w:t>
      </w:r>
      <w:r>
        <w:t>(4), Article 3147. https://doi.org/10.3390/ijerph20043147</w:t>
      </w:r>
    </w:p>
    <w:p>
      <w:pPr>
        <w:spacing w:after="120"/>
        <w:ind w:left="720" w:hanging="720"/>
      </w:pPr>
      <w:r>
        <w:t xml:space="preserve">Arroyave Caicedo, N. M., Parry, E., Arslan, N., &amp; Park, S. (2024). Integration of social determinants of health information within the primary care electronic health record: A systematic review of patient perspectives and experiences. </w:t>
      </w:r>
      <w:r>
        <w:rPr>
          <w:i/>
        </w:rPr>
        <w:t>BJGP Open, 8</w:t>
      </w:r>
      <w:r>
        <w:t>(1), Article BJGPO.2023.0155. https://doi.org/10.3399/BJGPO.2023.0155</w:t>
      </w:r>
    </w:p>
    <w:p>
      <w:pPr>
        <w:spacing w:after="120"/>
        <w:ind w:left="720" w:hanging="720"/>
      </w:pPr>
      <w:r>
        <w:t xml:space="preserve">Bossenko, I., Randmaa, R., Piho, G., &amp; Ross, P. (2024). Interoperability of health data using FHIR Mapping Language: Transforming HL7 CDA to FHIR with reusable visual components. </w:t>
      </w:r>
      <w:r>
        <w:rPr>
          <w:i/>
        </w:rPr>
        <w:t>Frontiers in Digital Health, 6</w:t>
      </w:r>
      <w:r>
        <w:t>, Article 1480600. https://doi.org/10.3389/fdgth.2024.1480600</w:t>
      </w:r>
    </w:p>
    <w:p>
      <w:pPr>
        <w:spacing w:after="120"/>
        <w:ind w:left="720" w:hanging="720"/>
      </w:pPr>
      <w:r>
        <w:t>Chapman, P., Clinton, J., Kerber, R., Khabaza, T., Reinartz, T., Shearer, C., &amp; Wirth, R. (2000). CRISP-DM 1.0: Step-by-step data mining guide. SPSS Inc.</w:t>
      </w:r>
    </w:p>
    <w:p>
      <w:pPr>
        <w:spacing w:after="120"/>
        <w:ind w:left="720" w:hanging="720"/>
      </w:pPr>
      <w:r>
        <w:t xml:space="preserve">Craven, C. K., Highfield, L., Basit, M., Bernstam, E. V., Choi, B. Y., Ferrer, R. L., Gelfond, J. A., Pruitt, S. L., Kannan, V., Shireman, P. K., Spratt, H., Torres Morales, K. J., Wang, C. P., Wang, Z., Zozus, M. N., Sankary, E. C., &amp; Schmidt, S. (2024). Toward standardization, harmonization, and integration of social determinants of health data: A Texas Clinical and Translational Science Award institutions collaboration. </w:t>
      </w:r>
      <w:r>
        <w:rPr>
          <w:i/>
        </w:rPr>
        <w:t>Journal of Clinical and Translational Science, 8</w:t>
      </w:r>
      <w:r>
        <w:t>(1), Article e17. https://doi.org/10.1017/cts.2024.2</w:t>
      </w:r>
    </w:p>
    <w:p>
      <w:pPr>
        <w:spacing w:after="120"/>
        <w:ind w:left="720" w:hanging="720"/>
      </w:pPr>
      <w:r>
        <w:t xml:space="preserve">Cui, Y. (2025). Digital pathways connecting social and biological factors to health outcomes and equity. </w:t>
      </w:r>
      <w:r>
        <w:rPr>
          <w:i/>
        </w:rPr>
        <w:t>npj Digital Medicine, 8</w:t>
      </w:r>
      <w:r>
        <w:t>, Article 172. https://doi.org/10.1038/s41746-025-01564-8</w:t>
      </w:r>
    </w:p>
    <w:p>
      <w:pPr>
        <w:spacing w:after="120"/>
        <w:ind w:left="720" w:hanging="720"/>
      </w:pPr>
      <w:r>
        <w:t xml:space="preserve">Dang, Y., Li, F., Hu, X., Keloth, V. K., Zhang, M., Fu, S., Amith, M. F., Fan, J. W., Du, J., Yu, E., Liu, H., Jiang, X., Xu, H., &amp; Tao, C. (2023). Systematic design and data-driven evaluation of social determinants of health ontology (SDoHO). </w:t>
      </w:r>
      <w:r>
        <w:rPr>
          <w:i/>
        </w:rPr>
        <w:t>Journal of the American Medical Informatics Association, 30</w:t>
      </w:r>
      <w:r>
        <w:t>(9), 1465–1473. https://doi.org/10.1093/jamia/ocad096</w:t>
      </w:r>
    </w:p>
    <w:p>
      <w:pPr>
        <w:spacing w:after="120"/>
        <w:ind w:left="720" w:hanging="720"/>
      </w:pPr>
      <w:r>
        <w:t xml:space="preserve">Elkefi, S., &amp; Asan, O. (2022). Digital twins for managing health care systems: Rapid literature review. </w:t>
      </w:r>
      <w:r>
        <w:rPr>
          <w:i/>
        </w:rPr>
        <w:t>Journal of Medical Internet Research, 24</w:t>
      </w:r>
      <w:r>
        <w:t>(8), Article e37641. https://doi.org/10.2196/37641</w:t>
      </w:r>
    </w:p>
    <w:p>
      <w:pPr>
        <w:spacing w:after="120"/>
        <w:ind w:left="720" w:hanging="720"/>
      </w:pPr>
      <w:r>
        <w:t xml:space="preserve">Hashtarkhani, S., Schwartz, D. L., &amp; Shaban-Nejad, A. (2024). Enhancing health care accessibility and equity through a geoprocessing toolbox for spatial accessibility analysis: Development and case study. </w:t>
      </w:r>
      <w:r>
        <w:rPr>
          <w:i/>
        </w:rPr>
        <w:t>JMIR Formative Research, 8</w:t>
      </w:r>
      <w:r>
        <w:t>, Article e51727. https://doi.org/10.2196/51727</w:t>
      </w:r>
    </w:p>
    <w:p>
      <w:pPr>
        <w:spacing w:after="120"/>
        <w:ind w:left="720" w:hanging="720"/>
      </w:pPr>
      <w:r>
        <w:t xml:space="preserve">Jayachandran, N., Abdrabou, A., &amp; Al Bataineh, M. (2025). An architecture and realisation of a smart city digital twin with eHealth case studies. </w:t>
      </w:r>
      <w:r>
        <w:rPr>
          <w:i/>
        </w:rPr>
        <w:t>IET Smart Cities, 7</w:t>
      </w:r>
      <w:r>
        <w:t>(1), Article e70006. https://doi.org/10.1049/smc2.70006</w:t>
      </w:r>
    </w:p>
    <w:p>
      <w:pPr>
        <w:spacing w:after="120"/>
        <w:ind w:left="720" w:hanging="720"/>
      </w:pPr>
      <w:r>
        <w:t xml:space="preserve">Katsoulakis, E., Wang, Q., Wu, H., Shahriyari, L., Fletcher, R., Liu, J., Achenie, L., Liu, H., Jackson, P., Xiao, Y., Syeda-Mahmood, T., Tuli, R., &amp; Deng, J. (2024). Digital twins for health: A scoping review. </w:t>
      </w:r>
      <w:r>
        <w:rPr>
          <w:i/>
        </w:rPr>
        <w:t>npj Digital Medicine, 7</w:t>
      </w:r>
      <w:r>
        <w:t>, Article 77. https://doi.org/10.1038/s41746-024-01073-0</w:t>
      </w:r>
    </w:p>
    <w:p>
      <w:pPr>
        <w:spacing w:after="120"/>
        <w:ind w:left="720" w:hanging="720"/>
      </w:pPr>
      <w:r>
        <w:t xml:space="preserve">Khurshid, A., Hautala, M., Oliveira, E., Lakshminarayanan, V., Abrol, V., Collier, J., Rosseau, J., Granado, L., Nallaparaju, S., Mitra, K., &amp; Sohail, R. (2023). Social and Health Information Platform: Piloting a standards-based, digital platform linking social determinants of health data into clinical workflows for community-wide use. </w:t>
      </w:r>
      <w:r>
        <w:rPr>
          <w:i/>
        </w:rPr>
        <w:t>Applied Clinical Informatics, 14</w:t>
      </w:r>
      <w:r>
        <w:t>(5), 883–892. https://doi.org/10.1055/s-0043-1774819</w:t>
      </w:r>
    </w:p>
    <w:p>
      <w:pPr>
        <w:spacing w:after="120"/>
        <w:ind w:left="720" w:hanging="720"/>
      </w:pPr>
      <w:r>
        <w:t xml:space="preserve">Liu, L., Zhao, Y., Lyu, H., Chen, S., Tu, Y., &amp; Huang, S. (2023). Spatial accessibility and equity evaluation of medical facilities based on improved 2SFCA: A case study in Xi’an, China. </w:t>
      </w:r>
      <w:r>
        <w:rPr>
          <w:i/>
        </w:rPr>
        <w:t>International Journal of Environmental Research and Public Health, 20</w:t>
      </w:r>
      <w:r>
        <w:t>(3), Article 2076. https://doi.org/10.3390/ijerph20032076</w:t>
      </w:r>
    </w:p>
    <w:p>
      <w:pPr>
        <w:spacing w:after="120"/>
        <w:ind w:left="720" w:hanging="720"/>
      </w:pPr>
      <w:r>
        <w:t xml:space="preserve">Markatou, M., Kennedy, O., Brachmann, M., Mukhopadhyay, R., Dharia, A., &amp; Talal, A. H. (2023). Social determinants of health derived from people with opioid use disorder: Improving data collection, integration and use with cross-domain collaboration and reproducible, data-centric, notebook-style workflows. </w:t>
      </w:r>
      <w:r>
        <w:rPr>
          <w:i/>
        </w:rPr>
        <w:t>Frontiers in Medicine, 10</w:t>
      </w:r>
      <w:r>
        <w:t>, Article 1076794. https://doi.org/10.3389/fmed.2023.1076794</w:t>
      </w:r>
    </w:p>
    <w:p>
      <w:pPr>
        <w:spacing w:after="120"/>
        <w:ind w:left="720" w:hanging="720"/>
      </w:pPr>
      <w:r>
        <w:t>Martínez-Plumed, F., Contreras-Ochando, L., Ferri, C., Hernández-Orallo, J., Kull, M., Lachiche, N., Ramírez-Quintana, M. J., &amp; Flach, P. (2021). CRISP-DM twenty years later: From data mining processes to data science trajectories. IEEE Transactions on Knowledge and Data Engineering, 33(8), 3048–3061. https://doi.org/10.1109/TKDE.2019.2962680</w:t>
      </w:r>
    </w:p>
    <w:p>
      <w:pPr>
        <w:spacing w:after="120"/>
        <w:ind w:left="720" w:hanging="720"/>
      </w:pPr>
      <w:r>
        <w:t xml:space="preserve">Pearson, J., Jacobson, C., Ugochukwu, N., Asare, E., Kan, K., Pace, N., Han, J., Wan, N., Schonberger, R., &amp; Andreae, M. (2023). Geospatial analysis of patients’ social determinants of health for health systems science and disparity research. </w:t>
      </w:r>
      <w:r>
        <w:rPr>
          <w:i/>
        </w:rPr>
        <w:t>International Anesthesiology Clinics, 61</w:t>
      </w:r>
      <w:r>
        <w:t>(1), 49–62. https://doi.org/10.1097/AIA.0000000000000389</w:t>
      </w:r>
    </w:p>
    <w:p>
      <w:pPr>
        <w:spacing w:after="120"/>
        <w:ind w:left="720" w:hanging="720"/>
      </w:pPr>
      <w:r>
        <w:t xml:space="preserve">Pérez-Fernández, O., &amp; Michel, G. R. (2025). Spatial accessibility to healthcare facilities: GIS-based public–private comparative analysis using floating catchment methods. </w:t>
      </w:r>
      <w:r>
        <w:rPr>
          <w:i/>
        </w:rPr>
        <w:t>ISPRS International Journal of Geo-Information, 14</w:t>
      </w:r>
      <w:r>
        <w:t>(7), Article 253. https://doi.org/10.3390/ijgi14070253</w:t>
      </w:r>
    </w:p>
    <w:p>
      <w:pPr>
        <w:spacing w:after="120"/>
        <w:ind w:left="720" w:hanging="720"/>
      </w:pPr>
      <w:r>
        <w:t xml:space="preserve">Rehan, M. W., &amp; Rehan, M. M. (2025). Survey, taxonomy, and emerging paradigms of societal digital twins for public health preparedness. </w:t>
      </w:r>
      <w:r>
        <w:rPr>
          <w:i/>
        </w:rPr>
        <w:t>npj Digital Medicine, 8</w:t>
      </w:r>
      <w:r>
        <w:t>, Article 520. https://doi.org/10.1038/s41746-025-01737-5</w:t>
      </w:r>
    </w:p>
    <w:p>
      <w:pPr>
        <w:spacing w:after="120"/>
        <w:ind w:left="720" w:hanging="720"/>
      </w:pPr>
      <w:r>
        <w:t xml:space="preserve">Schappe, T., McElroy, L. M., Ogundolie, M., Matsouaka, R., Rogers, U., &amp; Bhavsar, N. A. (2025). A data pipeline for secure extraction and sharing of social determinants of health. </w:t>
      </w:r>
      <w:r>
        <w:rPr>
          <w:i/>
        </w:rPr>
        <w:t>PLOS ONE, 20</w:t>
      </w:r>
      <w:r>
        <w:t>(1), Article e0317215. https://doi.org/10.1371/journal.pone.0317215</w:t>
      </w:r>
    </w:p>
    <w:p>
      <w:pPr>
        <w:spacing w:after="120"/>
        <w:ind w:left="720" w:hanging="720"/>
      </w:pPr>
      <w:r>
        <w:t>Schröer, C., Kruse, F., &amp; Gómez, J. M. (2021). A systematic literature review on applying CRISP-DM process model. Procedia Computer Science, 181, 526–534. https://doi.org/10.1016/j.procs.2021.01.199</w:t>
      </w:r>
    </w:p>
    <w:p>
      <w:pPr>
        <w:spacing w:after="120"/>
        <w:ind w:left="720" w:hanging="720"/>
      </w:pPr>
      <w:r>
        <w:t xml:space="preserve">Shen, M.-D., Chen, S.-B., &amp; Ding, X.-D. (2024). The effectiveness of digital twins in promoting precision health across the entire population: A systematic review. </w:t>
      </w:r>
      <w:r>
        <w:rPr>
          <w:i/>
        </w:rPr>
        <w:t>npj Digital Medicine, 7</w:t>
      </w:r>
      <w:r>
        <w:t>, Article 145. https://doi.org/10.1038/s41746-024-01146-0</w:t>
      </w:r>
    </w:p>
    <w:p>
      <w:pPr>
        <w:spacing w:after="120"/>
        <w:ind w:left="720" w:hanging="720"/>
      </w:pPr>
      <w:r>
        <w:t xml:space="preserve">Sun, S., Sun, Q., Zhang, F., &amp; Ma, J. (2024). A spatial accessibility study of public hospitals: A multi-mode gravity-based two-step floating catchment area method. </w:t>
      </w:r>
      <w:r>
        <w:rPr>
          <w:i/>
        </w:rPr>
        <w:t>Applied Sciences, 14</w:t>
      </w:r>
      <w:r>
        <w:t>(17), Article 7713. https://doi.org/10.3390/app14177713</w:t>
      </w:r>
    </w:p>
    <w:p>
      <w:pPr>
        <w:spacing w:after="120"/>
        <w:ind w:left="720" w:hanging="720"/>
      </w:pPr>
      <w:r>
        <w:t xml:space="preserve">Vallée, A. (2023). Digital twin for healthcare systems. </w:t>
      </w:r>
      <w:r>
        <w:rPr>
          <w:i/>
        </w:rPr>
        <w:t>Frontiers in Digital Health, 5</w:t>
      </w:r>
      <w:r>
        <w:t>, Article 1253050. https://doi.org/10.3389/fdgth.2023.1253050</w:t>
      </w:r>
    </w:p>
    <w:p>
      <w:pPr>
        <w:spacing w:after="120"/>
        <w:ind w:left="720" w:hanging="720"/>
      </w:pPr>
      <w:r>
        <w:t>Wirth, R., &amp; Hipp, J. (2000). CRISP-DM: Towards a standard process model for data mining. In Proceedings of the 4th International Conference on the Practical Applications of Knowledge Discovery and Data Mining (pp. 29–39). Practical Application Company.</w:t>
      </w:r>
    </w:p>
    <w:sectPr w:rsidR="0030007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948465394">
    <w:abstractNumId w:val="8"/>
  </w:num>
  <w:num w:numId="2" w16cid:durableId="865558069">
    <w:abstractNumId w:val="6"/>
  </w:num>
  <w:num w:numId="3" w16cid:durableId="582026716">
    <w:abstractNumId w:val="5"/>
  </w:num>
  <w:num w:numId="4" w16cid:durableId="831219072">
    <w:abstractNumId w:val="4"/>
  </w:num>
  <w:num w:numId="5" w16cid:durableId="1110706349">
    <w:abstractNumId w:val="7"/>
  </w:num>
  <w:num w:numId="6" w16cid:durableId="312107767">
    <w:abstractNumId w:val="3"/>
  </w:num>
  <w:num w:numId="7" w16cid:durableId="2004041410">
    <w:abstractNumId w:val="2"/>
  </w:num>
  <w:num w:numId="8" w16cid:durableId="919678956">
    <w:abstractNumId w:val="1"/>
  </w:num>
  <w:num w:numId="9" w16cid:durableId="3143372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60FE"/>
    <w:rsid w:val="0015074B"/>
    <w:rsid w:val="0029639D"/>
    <w:rsid w:val="0030007E"/>
    <w:rsid w:val="00326F90"/>
    <w:rsid w:val="00660AEF"/>
    <w:rsid w:val="00905356"/>
    <w:rsid w:val="00A75A4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52112E"/>
  <w14:defaultImageDpi w14:val="300"/>
  <w15:docId w15:val="{5DA77030-9D44-4E8F-B3D9-7DD309F71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A75A44"/>
    <w:rPr>
      <w:color w:val="0000FF" w:themeColor="hyperlink"/>
      <w:u w:val="single"/>
    </w:rPr>
  </w:style>
  <w:style w:type="character" w:styleId="Mencinsinresolver">
    <w:name w:val="Unresolved Mention"/>
    <w:basedOn w:val="Fuentedeprrafopredeter"/>
    <w:uiPriority w:val="99"/>
    <w:semiHidden/>
    <w:unhideWhenUsed/>
    <w:rsid w:val="00A75A44"/>
    <w:rPr>
      <w:color w:val="605E5C"/>
      <w:shd w:val="clear" w:color="auto" w:fill="E1DFDD"/>
    </w:rPr>
  </w:style>
  <w:style w:type="character" w:styleId="Hipervnculovisitado">
    <w:name w:val="FollowedHyperlink"/>
    <w:basedOn w:val="Fuentedeprrafopredeter"/>
    <w:uiPriority w:val="99"/>
    <w:semiHidden/>
    <w:unhideWhenUsed/>
    <w:rsid w:val="00A75A4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399/BJGPO.2023.0155" TargetMode="External"/><Relationship Id="rId13" Type="http://schemas.openxmlformats.org/officeDocument/2006/relationships/hyperlink" Target="https://doi.org/10.2196/37641" TargetMode="External"/><Relationship Id="rId18" Type="http://schemas.openxmlformats.org/officeDocument/2006/relationships/hyperlink" Target="https://doi.org/10.3390/ijerph20032076"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doi.org/10.3390/ijgi14070253" TargetMode="External"/><Relationship Id="rId7" Type="http://schemas.openxmlformats.org/officeDocument/2006/relationships/hyperlink" Target="https://doi.org/10.3390/ijerph20043147" TargetMode="External"/><Relationship Id="rId12" Type="http://schemas.openxmlformats.org/officeDocument/2006/relationships/hyperlink" Target="https://doi.org/10.1093/jamia/ocad096" TargetMode="External"/><Relationship Id="rId17" Type="http://schemas.openxmlformats.org/officeDocument/2006/relationships/hyperlink" Target="https://doi.org/10.1055/s-0043-1774819" TargetMode="External"/><Relationship Id="rId25" Type="http://schemas.openxmlformats.org/officeDocument/2006/relationships/hyperlink" Target="https://doi.org/10.3389/fdgth.2023.1253050" TargetMode="External"/><Relationship Id="rId2" Type="http://schemas.openxmlformats.org/officeDocument/2006/relationships/numbering" Target="numbering.xml"/><Relationship Id="rId16" Type="http://schemas.openxmlformats.org/officeDocument/2006/relationships/hyperlink" Target="https://doi.org/10.1038/s41746-024-01073-0" TargetMode="External"/><Relationship Id="rId20" Type="http://schemas.openxmlformats.org/officeDocument/2006/relationships/hyperlink" Target="https://doi.org/10.1097/AIA.0000000000000389" TargetMode="External"/><Relationship Id="rId1" Type="http://schemas.openxmlformats.org/officeDocument/2006/relationships/customXml" Target="../customXml/item1.xml"/><Relationship Id="rId6" Type="http://schemas.openxmlformats.org/officeDocument/2006/relationships/hyperlink" Target="https://doi.org/10.1371/journal.pone.0317215" TargetMode="External"/><Relationship Id="rId11" Type="http://schemas.openxmlformats.org/officeDocument/2006/relationships/hyperlink" Target="https://doi.org/10.1038/s41746-025-01564-8" TargetMode="External"/><Relationship Id="rId24" Type="http://schemas.openxmlformats.org/officeDocument/2006/relationships/hyperlink" Target="https://doi.org/10.3390/app14177713" TargetMode="External"/><Relationship Id="rId5" Type="http://schemas.openxmlformats.org/officeDocument/2006/relationships/webSettings" Target="webSettings.xml"/><Relationship Id="rId15" Type="http://schemas.openxmlformats.org/officeDocument/2006/relationships/hyperlink" Target="https://doi.org/10.1049/smc2.70006" TargetMode="External"/><Relationship Id="rId23" Type="http://schemas.openxmlformats.org/officeDocument/2006/relationships/hyperlink" Target="https://doi.org/10.1038/s41746-024-01146-0" TargetMode="External"/><Relationship Id="rId10" Type="http://schemas.openxmlformats.org/officeDocument/2006/relationships/hyperlink" Target="https://doi.org/10.1017/cts.2024.2" TargetMode="External"/><Relationship Id="rId19" Type="http://schemas.openxmlformats.org/officeDocument/2006/relationships/hyperlink" Target="https://doi.org/10.3389/fmed.2023.1076794" TargetMode="External"/><Relationship Id="rId4" Type="http://schemas.openxmlformats.org/officeDocument/2006/relationships/settings" Target="settings.xml"/><Relationship Id="rId9" Type="http://schemas.openxmlformats.org/officeDocument/2006/relationships/hyperlink" Target="https://doi.org/10.3389/fdgth.2024.1480600" TargetMode="External"/><Relationship Id="rId14" Type="http://schemas.openxmlformats.org/officeDocument/2006/relationships/hyperlink" Target="https://doi.org/10.2196/51727" TargetMode="External"/><Relationship Id="rId22" Type="http://schemas.openxmlformats.org/officeDocument/2006/relationships/hyperlink" Target="https://doi.org/10.1038/s41746-025-01737-5"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Pages>
  <Words>3614</Words>
  <Characters>19877</Characters>
  <Application>Microsoft Office Word</Application>
  <DocSecurity>0</DocSecurity>
  <Lines>165</Lines>
  <Paragraphs>46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23445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Revisión de las 20 fuentes completas: sustento contrastado con Resultados, Discusión y Conclusiones, no solo con Abstract/Introducción.</dc:description>
  <cp:lastModifiedBy>HP</cp:lastModifiedBy>
  <cp:revision>3</cp:revision>
  <dcterms:created xsi:type="dcterms:W3CDTF">2013-12-23T23:15:00Z</dcterms:created>
  <dcterms:modified xsi:type="dcterms:W3CDTF">2026-09-07T15:18:00Z</dcterms:modified>
  <cp:category/>
</cp:coreProperties>
</file>