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DESCRIÇÃO DO PROGRAMA</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O programa “fluxo_aquif_conf.ipynb” implementa um modelo de fluxo de água subterrânea para aquíferos confinados. A descrição do problema se encontra no capítulo 9.4 do livro do Trucotte e Shubert (Geodynamics). Nesta representação, um aquífero confinado em meio poroso é representado por uma seção transversal circular, cuja dedução da solução vem da equação de velocidade de Darcy. </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O código está organizado em três blocos (funções, parâmetros do modelo e tabela), responsáveis pelos cálculos baseados no modelo descrito e plotagem de forma gráfica. O resultado gera uma tabela interativa, onde através do recurso do “ipywidget” pode-se recalcular as soluções em tempo real através do deslizar de cursores. Nesta versão os cursores alteram os parâmetros geométricos do aquífero, entretanto, os demais parâmetros podem ser modificados no bloco correspondente. O escopo de permeabilidades utilizado abrange desde cascalho a granito como material geológico que compõe o aquífero.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