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</w:pPr>
      <w:r>
        <w:rPr>
          <w:b/>
          <w:bCs/>
          <w:color w:val="144FAC"/>
          <w:sz w:val="40"/>
          <w:szCs w:val="40"/>
        </w:rPr>
        <w:t xml:space="preserve">DOCUMENTACIÓN TÉCNICA</w:t>
      </w:r>
    </w:p>
    <w:p>
      <w:pPr>
        <w:spacing w:after="40"/>
      </w:pPr>
      <w:r>
        <w:rPr>
          <w:b/>
          <w:bCs/>
          <w:color w:val="1B2430"/>
          <w:sz w:val="28"/>
          <w:szCs w:val="28"/>
        </w:rPr>
        <w:t xml:space="preserve">Arquitectura de Extracción y Modelo Estrella</w:t>
      </w:r>
    </w:p>
    <w:p>
      <w:pPr>
        <w:spacing w:after="60"/>
      </w:pPr>
      <w:r>
        <w:rPr>
          <w:b/>
          <w:bCs/>
          <w:color w:val="DC9429"/>
          <w:sz w:val="22"/>
          <w:szCs w:val="22"/>
        </w:rPr>
        <w:t xml:space="preserve">DLBENDICION (OLTP)  →  DLBENDICION_DWH (OLAP)  →  Power BI</w:t>
      </w:r>
    </w:p>
    <w:p>
      <w:pPr>
        <w:pBdr>
          <w:bottom w:val="single" w:color="DC9429" w:sz="14" w:space="6"/>
        </w:pBdr>
        <w:spacing w:after="200"/>
      </w:pPr>
      <w:r>
        <w:rPr>
          <w:color w:val="5B6472"/>
          <w:sz w:val="19"/>
          <w:szCs w:val="19"/>
        </w:rPr>
        <w:t xml:space="preserve">Cliente: DLBENDICION   ·   Fecha: 24 de agosto de 2026   ·   Autor: Cesar Albizures</w:t>
      </w:r>
    </w:p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1. Resumen Ejecutivo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Este documento describe la arquitectura técnica y el proceso de extracción, transformación y carga (ETL) que alimenta el modelo dimensional (esquema estrella) del cliente DLBENDICION. El proceso consolida datos transaccionales de ventas desde el sistema operacional (OLTP) hacia un data warehouse (OLAP) dedicado a análisis, mediante el procedimiento almacenado dbo.PaGeneraModeloEstrellaCompleto. El resultado es un modelo de una tabla de hechos y seis dimensiones, listo para ser consumido en Power BI mediante medidas DAX y tableros ejecutivos.</w:t>
      </w:r>
    </w:p>
    <w:p>
      <w:pPr>
        <w:spacing w:before="120"/>
        <w:jc w:val="center"/>
      </w:pPr>
      <w:r>
        <w:drawing>
          <wp:inline distT="0" distB="0" distL="0" distR="0">
            <wp:extent cx="36195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B6472"/>
          <w:sz w:val="18"/>
          <w:szCs w:val="18"/>
        </w:rPr>
        <w:t xml:space="preserve">Figura 1. Arquitectura de extracción y modelo estrella resultante. Se entrega también como archivo independiente en alta resolución (infografia_modelo_estrella.png).</w:t>
      </w:r>
    </w:p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2. Arquitectura de Infraestructura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La solución se apoya en dos servidores físicos independientes, cada uno con su propia instancia de SQL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cantSplit/>
          <w:tblHeader/>
        </w:trPr>
        <w:tc>
          <w:tcPr>
            <w:tcW w:type="dxa" w:w="28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28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Servidor Físico 1 (OLTP)</w:t>
            </w:r>
          </w:p>
        </w:tc>
        <w:tc>
          <w:tcPr>
            <w:tcW w:type="dxa" w:w="328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Servidor Físico 2 (OLAP)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Rol</w:t>
            </w:r>
          </w:p>
        </w:tc>
        <w:tc>
          <w:tcPr>
            <w:tcW w:type="dxa" w:w="32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Motor transaccional (operación diaria)</w:t>
            </w:r>
          </w:p>
        </w:tc>
        <w:tc>
          <w:tcPr>
            <w:tcW w:type="dxa" w:w="32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Motor analítico (data warehouse)</w:t>
            </w:r>
          </w:p>
        </w:tc>
      </w:tr>
      <w:tr>
        <w:trPr>
          <w:cantSplit/>
        </w:trPr>
        <w:tc>
          <w:tcPr>
            <w:tcW w:type="dxa" w:w="28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28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DLBENDICION</w:t>
            </w:r>
          </w:p>
        </w:tc>
        <w:tc>
          <w:tcPr>
            <w:tcW w:type="dxa" w:w="328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DLBENDICION_DWH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Consumido por</w:t>
            </w:r>
          </w:p>
        </w:tc>
        <w:tc>
          <w:tcPr>
            <w:tcW w:type="dxa" w:w="32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Sistema operacional / aplicaciones de negocio</w:t>
            </w:r>
          </w:p>
        </w:tc>
        <w:tc>
          <w:tcPr>
            <w:tcW w:type="dxa" w:w="32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Power BI (modelo dimensional)</w:t>
            </w:r>
          </w:p>
        </w:tc>
      </w:tr>
    </w:tbl>
    <w:p>
      <w:pPr>
        <w:spacing w:after="160" w:before="160"/>
      </w:pPr>
      <w:r>
        <w:rPr>
          <w:b/>
          <w:bCs/>
          <w:color w:val="1B2430"/>
          <w:sz w:val="21"/>
          <w:szCs w:val="21"/>
        </w:rPr>
        <w:t xml:space="preserve">Conectividad: </w:t>
      </w:r>
      <w:r>
        <w:rPr>
          <w:color w:val="1B2430"/>
          <w:sz w:val="21"/>
          <w:szCs w:val="21"/>
        </w:rPr>
        <w:t xml:space="preserve">existe un </w:t>
      </w:r>
      <w:r>
        <w:rPr>
          <w:b/>
          <w:bCs/>
          <w:color w:val="1B2430"/>
          <w:sz w:val="21"/>
          <w:szCs w:val="21"/>
        </w:rPr>
        <w:t xml:space="preserve">Linked Server</w:t>
      </w:r>
      <w:r>
        <w:rPr>
          <w:color w:val="1B2430"/>
          <w:sz w:val="21"/>
          <w:szCs w:val="21"/>
        </w:rPr>
        <w:t xml:space="preserve"> configurado en la instancia OLAP, identificado como </w:t>
      </w:r>
      <w:r>
        <w:rPr>
          <w:rFonts w:ascii="Consolas" w:cs="Consolas" w:eastAsia="Consolas" w:hAnsi="Consolas"/>
          <w:color w:val="144FAC"/>
          <w:sz w:val="19"/>
          <w:szCs w:val="19"/>
        </w:rPr>
        <w:t xml:space="preserve">[SRV-DEMOSOFT]</w:t>
      </w:r>
      <w:r>
        <w:rPr>
          <w:color w:val="1B2430"/>
          <w:sz w:val="21"/>
          <w:szCs w:val="21"/>
        </w:rPr>
        <w:t xml:space="preserve">, que apunta hacia el servidor OLTP. Todas las consultas de extracción del procedimiento usan nomenclatura de cuatro partes (</w:t>
      </w:r>
      <w:r>
        <w:rPr>
          <w:rFonts w:ascii="Consolas" w:cs="Consolas" w:eastAsia="Consolas" w:hAnsi="Consolas"/>
          <w:color w:val="144FAC"/>
          <w:sz w:val="19"/>
          <w:szCs w:val="19"/>
        </w:rPr>
        <w:t xml:space="preserve">[SRV-DEMOSOFT].DLBENDICION.esquema.tabla</w:t>
      </w:r>
      <w:r>
        <w:rPr>
          <w:color w:val="1B2430"/>
          <w:sz w:val="21"/>
          <w:szCs w:val="21"/>
        </w:rPr>
        <w:t xml:space="preserve">) para leer datos en tiempo real desde el origen — no existe una copia intermedia ni un área de staging propia.</w:t>
      </w:r>
    </w:p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3. Procedimiento Almacenado: dbo.PaGeneraModeloEstrellaCompleto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El procedimiento reside y se ejecuta en DLBENDICION_DWH. Toda la carga está envuelta en una única transacción con manejo de errores (BEGIN TRY / BEGIN TRANSACTION ... COMMIT / BEGIN CATCH ... ROLLBACK + RAISERROR), de forma que ante cualquier fallo el modelo no queda en un estado parcialmente reconstruido.</w:t>
      </w:r>
    </w:p>
    <w:p>
      <w:pPr>
        <w:pStyle w:val="Heading2"/>
        <w:spacing w:after="110" w:before="260"/>
      </w:pPr>
      <w:r>
        <w:rPr>
          <w:b/>
          <w:bCs/>
          <w:color w:val="144FAC"/>
          <w:sz w:val="23"/>
          <w:szCs w:val="23"/>
        </w:rPr>
        <w:t xml:space="preserve">3.1 Paso 1 — Limpieza de estructuras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Se eliminan (DROP TABLE IF EXISTS) las siete tablas del modelo — FACT_Movimientos y las seis dimensiones — antes de recrearlas. Es importante notar que esto es una reconstrucción completa (full reload) en cada ejecución, no una carga incremental.</w:t>
      </w:r>
    </w:p>
    <w:p>
      <w:pPr>
        <w:pStyle w:val="Heading2"/>
        <w:spacing w:after="110" w:before="260"/>
      </w:pPr>
      <w:r>
        <w:rPr>
          <w:b/>
          <w:bCs/>
          <w:color w:val="144FAC"/>
          <w:sz w:val="23"/>
          <w:szCs w:val="23"/>
        </w:rPr>
        <w:t xml:space="preserve">3.2 Paso 2 — Carga de dimensiones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Cada dimensión se genera con SELECT ... INTO desde las tablas fuente en DLBENDICION (OLTP):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900"/>
        <w:gridCol w:w="3060"/>
      </w:tblGrid>
      <w:tr>
        <w:trPr>
          <w:cantSplit/>
          <w:tblHeader/>
        </w:trPr>
        <w:tc>
          <w:tcPr>
            <w:tcW w:type="dxa" w:w="19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15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29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Tablas origen (OLTP)</w:t>
            </w:r>
          </w:p>
        </w:tc>
        <w:tc>
          <w:tcPr>
            <w:tcW w:type="dxa" w:w="306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DIM_Bodega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IdBodega
(Empresa-Bodega)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tbl_Bodega, tbl_Empresa,
LocalizacionBodega, tbl_Localizacion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compuesta concatenada para unicidad entre empresas</w:t>
            </w:r>
          </w:p>
        </w:tc>
      </w:tr>
      <w:tr>
        <w:trPr>
          <w:cantSplit/>
        </w:trPr>
        <w:tc>
          <w:tcPr>
            <w:tcW w:type="dxa" w:w="19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DIM_Serie</w:t>
            </w:r>
          </w:p>
        </w:tc>
        <w:tc>
          <w:tcPr>
            <w:tcW w:type="dxa" w:w="15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IdSerie
(Tipo-Serie)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tbl_serie_documento</w:t>
            </w:r>
          </w:p>
        </w:tc>
        <w:tc>
          <w:tcPr>
            <w:tcW w:type="dxa" w:w="30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compuesta concatenada Tipo_Documento + Serie_Documento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DIM_Producto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IdProducto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TBL_PRODUCTO,
tbl_Clase_Producto (LEFT JOIN)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Productos sin clase se agrupan como 'Sin Clase'</w:t>
            </w:r>
          </w:p>
        </w:tc>
      </w:tr>
      <w:tr>
        <w:trPr>
          <w:cantSplit/>
        </w:trPr>
        <w:tc>
          <w:tcPr>
            <w:tcW w:type="dxa" w:w="19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DIM_UnidadMedida</w:t>
            </w:r>
          </w:p>
        </w:tc>
        <w:tc>
          <w:tcPr>
            <w:tcW w:type="dxa" w:w="15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IdUnidadMedida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tbl_Unidad_Medida</w:t>
            </w:r>
          </w:p>
        </w:tc>
        <w:tc>
          <w:tcPr>
            <w:tcW w:type="dxa" w:w="30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Catálogo simple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DIM_Cliente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IdCliente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tbl_cuenta_Correntista,
Tbl_Grupo_Cuenta_Cta,
Tbl_Grupo_Cuenta (LEFT JOIN)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Clientes sin categoría se agrupan como 'Sin Categoría'</w:t>
            </w:r>
          </w:p>
        </w:tc>
      </w:tr>
      <w:tr>
        <w:trPr>
          <w:cantSplit/>
        </w:trPr>
        <w:tc>
          <w:tcPr>
            <w:tcW w:type="dxa" w:w="19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DIM_TipoTransaccion</w:t>
            </w:r>
          </w:p>
        </w:tc>
        <w:tc>
          <w:tcPr>
            <w:tcW w:type="dxa" w:w="15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IdTipoTransaccion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tbl_tipo_transaccion</w:t>
            </w:r>
          </w:p>
        </w:tc>
        <w:tc>
          <w:tcPr>
            <w:tcW w:type="dxa" w:w="30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Catálogo simple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44FAC"/>
          <w:sz w:val="23"/>
          <w:szCs w:val="23"/>
        </w:rPr>
        <w:t xml:space="preserve">3.3 Paso 3 — Carga de la tabla de hechos: FACT_Movimientos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Se construye a partir del INNER JOIN entre tbl_Documento (t0) y tbl_Transaccion (t1), usando una llave compuesta de siete columnas (Documento, Tipo_Documento, Serie_Documento, Empresa, Localizacion, Estacion_Trabajo, Fecha_Reg).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60"/>
        <w:gridCol w:w="4500"/>
      </w:tblGrid>
      <w:tr>
        <w:trPr>
          <w:cantSplit/>
          <w:tblHeader/>
        </w:trPr>
        <w:tc>
          <w:tcPr>
            <w:tcW w:type="dxa" w:w="32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Filtro aplicado</w:t>
            </w:r>
          </w:p>
        </w:tc>
        <w:tc>
          <w:tcPr>
            <w:tcW w:type="dxa" w:w="166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t0.Estado_Documento</w:t>
            </w:r>
          </w:p>
        </w:tc>
        <w:tc>
          <w:tcPr>
            <w:tcW w:type="dxa" w:w="1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= 1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Solo documentos vigentes (no anulados)</w:t>
            </w:r>
          </w:p>
        </w:tc>
      </w:tr>
      <w:tr>
        <w:trPr>
          <w:cantSplit/>
        </w:trPr>
        <w:tc>
          <w:tcPr>
            <w:tcW w:type="dxa" w:w="32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t1.Estado</w:t>
            </w:r>
          </w:p>
        </w:tc>
        <w:tc>
          <w:tcPr>
            <w:tcW w:type="dxa" w:w="16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= 1</w:t>
            </w:r>
          </w:p>
        </w:tc>
        <w:tc>
          <w:tcPr>
            <w:tcW w:type="dxa" w:w="45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Solo líneas de transacción activas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t1.Reversion</w:t>
            </w:r>
          </w:p>
        </w:tc>
        <w:tc>
          <w:tcPr>
            <w:tcW w:type="dxa" w:w="1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= 0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Excluye movimientos reversados</w:t>
            </w:r>
          </w:p>
        </w:tc>
      </w:tr>
      <w:tr>
        <w:trPr>
          <w:cantSplit/>
        </w:trPr>
        <w:tc>
          <w:tcPr>
            <w:tcW w:type="dxa" w:w="32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t1.D_Tipo_Documento</w:t>
            </w:r>
          </w:p>
        </w:tc>
        <w:tc>
          <w:tcPr>
            <w:tcW w:type="dxa" w:w="16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= 99</w:t>
            </w:r>
          </w:p>
        </w:tc>
        <w:tc>
          <w:tcPr>
            <w:tcW w:type="dxa" w:w="45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Restringe al tipo de documento de ventas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t0.Fecha_Documento</w:t>
            </w:r>
          </w:p>
        </w:tc>
        <w:tc>
          <w:tcPr>
            <w:tcW w:type="dxa" w:w="1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&gt; 2020-01-01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Histórico desde el año 2020</w:t>
            </w:r>
          </w:p>
        </w:tc>
      </w:tr>
    </w:tbl>
    <w:p>
      <w:pPr>
        <w:spacing w:after="100" w:before="160"/>
      </w:pPr>
      <w:r>
        <w:rPr>
          <w:b/>
          <w:bCs/>
          <w:color w:val="1B2430"/>
          <w:sz w:val="21"/>
          <w:szCs w:val="21"/>
        </w:rPr>
        <w:t xml:space="preserve">Columna calculada: </w:t>
      </w:r>
      <w:r>
        <w:rPr>
          <w:rFonts w:ascii="Consolas" w:cs="Consolas" w:eastAsia="Consolas" w:hAnsi="Consolas"/>
          <w:color w:val="144FAC"/>
          <w:sz w:val="19"/>
          <w:szCs w:val="19"/>
        </w:rPr>
        <w:t xml:space="preserve">VtaSinIva = t1.monto / 1.12</w:t>
      </w:r>
      <w:r>
        <w:rPr>
          <w:color w:val="1B2430"/>
          <w:sz w:val="21"/>
          <w:szCs w:val="21"/>
        </w:rPr>
        <w:t xml:space="preserve"> — remueve el IVA del 12% vigente en Guatemala para dejar la venta neta.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Nota: la columna Consecutivo se convierte explícitamente a VARCHAR(MAX) mediante CONVERT; ver recomendación en la sección 6.</w:t>
      </w:r>
    </w:p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4. Modelo Dimensional (Esquema Estrella)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El grano de la tabla de hechos es la transacción de venta individual. Las métricas principales disponibles son VtaSinIva (venta neta), Cantidad y CostoTotal, y se relaciona con las seis dimensiones descritas en la sección 3.2 mediante relaciones 1 a muchos (dimensión → hecho).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cantSplit/>
          <w:tblHeader/>
        </w:trPr>
        <w:tc>
          <w:tcPr>
            <w:tcW w:type="dxa" w:w="32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en FACT_Movimientos</w:t>
            </w:r>
          </w:p>
        </w:tc>
        <w:tc>
          <w:tcPr>
            <w:tcW w:type="dxa" w:w="34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Origen (OLTP)</w:t>
            </w:r>
          </w:p>
        </w:tc>
        <w:tc>
          <w:tcPr>
            <w:tcW w:type="dxa" w:w="276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FechaKey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t0.Fecha_Documento</w:t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Fecha del documento (grano diario)</w:t>
            </w:r>
          </w:p>
        </w:tc>
      </w:tr>
      <w:tr>
        <w:trPr>
          <w:cantSplit/>
        </w:trPr>
        <w:tc>
          <w:tcPr>
            <w:tcW w:type="dxa" w:w="32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IdProducto</w:t>
            </w:r>
          </w:p>
        </w:tc>
        <w:tc>
          <w:tcPr>
            <w:tcW w:type="dxa" w:w="34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t1.Producto</w:t>
            </w:r>
          </w:p>
        </w:tc>
        <w:tc>
          <w:tcPr>
            <w:tcW w:type="dxa" w:w="27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hacia DIM_Producto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IdUnidadMedida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t1.Unidad_Medida</w:t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hacia DIM_UnidadMedida</w:t>
            </w:r>
          </w:p>
        </w:tc>
      </w:tr>
      <w:tr>
        <w:trPr>
          <w:cantSplit/>
        </w:trPr>
        <w:tc>
          <w:tcPr>
            <w:tcW w:type="dxa" w:w="32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IdCliente</w:t>
            </w:r>
          </w:p>
        </w:tc>
        <w:tc>
          <w:tcPr>
            <w:tcW w:type="dxa" w:w="34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t0.Cuenta_Correntista</w:t>
            </w:r>
          </w:p>
        </w:tc>
        <w:tc>
          <w:tcPr>
            <w:tcW w:type="dxa" w:w="27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hacia DIM_Cliente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IdBodega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Concat(t1.D_Empresa, t1.Bodega)</w:t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hacia DIM_Bodega</w:t>
            </w:r>
          </w:p>
        </w:tc>
      </w:tr>
      <w:tr>
        <w:trPr>
          <w:cantSplit/>
        </w:trPr>
        <w:tc>
          <w:tcPr>
            <w:tcW w:type="dxa" w:w="32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IdSerie</w:t>
            </w:r>
          </w:p>
        </w:tc>
        <w:tc>
          <w:tcPr>
            <w:tcW w:type="dxa" w:w="34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Concat(t0.Tipo_Documento, t0.Serie_Documento)</w:t>
            </w:r>
          </w:p>
        </w:tc>
        <w:tc>
          <w:tcPr>
            <w:tcW w:type="dxa" w:w="27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hacia DIM_Serie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IdTipoTransaccion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t1.Tipo_Transaccion</w:t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Llave hacia DIM_TipoTransaccion</w:t>
            </w:r>
          </w:p>
        </w:tc>
      </w:tr>
      <w:tr>
        <w:trPr>
          <w:cantSplit/>
        </w:trPr>
        <w:tc>
          <w:tcPr>
            <w:tcW w:type="dxa" w:w="32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VtaSinIva / Cantidad / CostoTotal</w:t>
            </w:r>
          </w:p>
        </w:tc>
        <w:tc>
          <w:tcPr>
            <w:tcW w:type="dxa" w:w="34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t1.monto, t1.Cantidad, t1.Costo_Total</w:t>
            </w:r>
          </w:p>
        </w:tc>
        <w:tc>
          <w:tcPr>
            <w:tcW w:type="dxa" w:w="27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1B2430"/>
                <w:sz w:val="18"/>
                <w:szCs w:val="18"/>
              </w:rPr>
              <w:t xml:space="preserve">Métricas (hechos aditivos)</w:t>
            </w:r>
          </w:p>
        </w:tc>
      </w:tr>
    </w:tbl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5. Consumo en Power BI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Con FACT_Movimientos y las seis dimensiones publicadas en DLBENDICION_DWH, el modelo queda listo para conectarse desde Power BI (Import o DirectQuery), estableciendo las relaciones 1:N desde cada dimensión hacia la tabla de hechos por las llaves indicadas en la sección 4.</w:t>
      </w:r>
    </w:p>
    <w:p>
      <w:pPr>
        <w:spacing w:after="90"/>
      </w:pPr>
      <w:r>
        <w:rPr>
          <w:color w:val="1B2430"/>
          <w:sz w:val="21"/>
          <w:szCs w:val="21"/>
        </w:rPr>
        <w:t xml:space="preserve">Próximos pasos sugeridos para el desarrollo de medidas DAX y tableros: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Definir medidas base: Venta Neta, Costo Total, Margen (Venta Neta − Costo Total) y % Margen.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Agregar una tabla de calendario (DIM_Fecha) para habilitar inteligencia de tiempo (ver sección 6).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Construir tableros por Bodega, Cliente, Producto y Tipo de Transacción usando las dimensiones existentes.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Documentar en el modelo de Power BI el origen de cada medida, referenciando este documento.</w:t>
      </w:r>
    </w:p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6. Consideraciones Técnicas y Recomendaciones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Carga completa (full reload): el procedimiento elimina y reconstruye las 7 tablas en cada ejecución (no hay carga incremental). Se recomienda monitorear el tiempo de ejecución a medida que crezca el volumen histórico y evaluar una estrategia incremental si es necesario.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Ausencia de dimensión de tiempo: FechaKey queda como columna de fecha directa en el hecho, sin una DIM_Fecha dedicada. Se recomienda incorporar una tabla de calendario (en el DWH o nativa en Power BI) para funciones DAX de inteligencia de tiempo (TOTALYTD, SAMEPERIODLASTYEAR, etc.).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Tipo de dato de Consecutivo: se convierte a VARCHAR(MAX), lo cual no es óptimo para compresión ni rendimiento del motor de Power BI. Se recomienda usar un tipo de longitud fija acorde al valor máximo real.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Dependencia del Linked Server: cada ejecución lee en tiempo real desde el OLTP a través de [SRV-DEMOSOFT], generando carga adicional sobre la instancia transaccional. Se recomienda programar la ejecución en horarios de baja actividad y monitorear los tiempos de respuesta.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Manejo transaccional: el procedimiento ya implementa correctamente TRY/CATCH con COMMIT/ROLLBACK y RAISERROR, evitando que el modelo quede en un estado parcialmente reconstruido ante un error — se recomienda mantener este patrón en futuras versiones.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430"/>
          <w:sz w:val="20"/>
          <w:szCs w:val="20"/>
        </w:rPr>
        <w:t xml:space="preserve">Secuencia de refresco: el refresco del modelo en Power BI debe programarse siempre después de que finalice la ejecución del procedimiento, para no leer tablas recién eliminadas o incompletas.</w:t>
      </w:r>
    </w:p>
    <w:p>
      <w:pPr>
        <w:pStyle w:val="Heading1"/>
        <w:pBdr>
          <w:bottom w:val="single" w:color="DC9429" w:sz="10" w:space="4"/>
        </w:pBdr>
        <w:spacing w:after="140" w:before="320"/>
      </w:pPr>
      <w:r>
        <w:rPr>
          <w:b/>
          <w:bCs/>
          <w:color w:val="144FAC"/>
          <w:sz w:val="27"/>
          <w:szCs w:val="27"/>
        </w:rPr>
        <w:t xml:space="preserve">7. Anexo: Ficha del Objeto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5560"/>
            <w:shd w:fill="144FA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Nombre del objeto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dbo.PaGeneraModeloEstrellaCompleto</w:t>
            </w:r>
          </w:p>
        </w:tc>
      </w:tr>
      <w:tr>
        <w:trPr>
          <w:cantSplit/>
        </w:trPr>
        <w:tc>
          <w:tcPr>
            <w:tcW w:type="dxa" w:w="38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DLBENDICION_DWH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Servidor origen (vía Linked Server)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[SRV-DEMOSOFT] → DLBENDICION (OLTP)</w:t>
            </w:r>
          </w:p>
        </w:tc>
      </w:tr>
      <w:tr>
        <w:trPr>
          <w:cantSplit/>
        </w:trPr>
        <w:tc>
          <w:tcPr>
            <w:tcW w:type="dxa" w:w="38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Autor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Cesar Albizures (con apoyo de Gemini)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Fecha de creación del script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12/01/2026</w:t>
            </w:r>
          </w:p>
        </w:tc>
      </w:tr>
      <w:tr>
        <w:trPr>
          <w:cantSplit/>
        </w:trPr>
        <w:tc>
          <w:tcPr>
            <w:tcW w:type="dxa" w:w="380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Fecha de este documento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430"/>
                <w:sz w:val="18"/>
                <w:szCs w:val="18"/>
              </w:rPr>
              <w:t xml:space="preserve">24 de agosto de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00" w:right="1440" w:bottom="1300" w:left="1440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9429" w:sz="8" w:space="4"/>
      </w:pBdr>
      <w:spacing w:after="40"/>
    </w:pPr>
  </w:p>
  <w:p>
    <w:pPr>
      <w:tabs>
        <w:tab w:val="right" w:pos="9026"/>
      </w:tabs>
    </w:pPr>
    <w:r>
      <w:rPr>
        <w:b/>
        <w:bCs/>
        <w:color w:val="144FAC"/>
        <w:sz w:val="15"/>
        <w:szCs w:val="15"/>
      </w:rPr>
      <w:t xml:space="preserve">Desarrollo Moderno de Software, S.A.</w:t>
    </w:r>
    <w:r>
      <w:rPr>
        <w:color w:val="5B6472"/>
        <w:sz w:val="15"/>
        <w:szCs w:val="15"/>
      </w:rPr>
      <w:t xml:space="preserve">	Página </w:t>
    </w:r>
    <w:r>
      <w:rPr>
        <w:color w:val="5B64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5"/>
        <w:szCs w:val="15"/>
      </w:rPr>
      <w:t xml:space="preserve"> de </w:t>
    </w:r>
    <w:r>
      <w:rPr>
        <w:color w:val="5B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  <w:p>
    <w:r>
      <w:rPr>
        <w:color w:val="DC9429"/>
        <w:sz w:val="15"/>
        <w:szCs w:val="15"/>
      </w:rPr>
      <w:t xml:space="preserve">Dr. Ricardo Augusto Rangel Rangel — Cel./WhatsApp +502 31316962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2400"/>
      <w:gridCol w:w="6960"/>
    </w:tblGrid>
    <w:tr>
      <w:tc>
        <w:tcPr>
          <w:tcW w:type="dxa" w:w="2400"/>
          <w:shd w:fill="144FAC" w:val="clear"/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r>
            <w:rPr>
              <w:b/>
              <w:bCs/>
              <w:color w:val="FFFFFF"/>
              <w:sz w:val="20"/>
              <w:szCs w:val="20"/>
            </w:rPr>
            <w:t xml:space="preserve">D'MOSOFT</w:t>
          </w:r>
        </w:p>
      </w:tc>
      <w:tc>
        <w:tcPr>
          <w:tcW w:type="dxa" w:w="6960"/>
          <w:tcMar>
            <w:top w:type="dxa" w:w="100"/>
            <w:left w:type="dxa" w:w="160"/>
            <w:bottom w:type="dxa" w:w="100"/>
            <w:right w:type="dxa" w:w="120"/>
          </w:tcMar>
          <w:vAlign w:val="center"/>
        </w:tcPr>
        <w:p>
          <w:r>
            <w:rPr>
              <w:b/>
              <w:bCs/>
              <w:color w:val="144FAC"/>
              <w:sz w:val="19"/>
              <w:szCs w:val="19"/>
            </w:rPr>
            <w:t xml:space="preserve">Documentación Técnica — DLBENDICION</w:t>
          </w:r>
        </w:p>
        <w:p>
          <w:r>
            <w:rPr>
              <w:color w:val="DC9429"/>
              <w:sz w:val="16"/>
              <w:szCs w:val="16"/>
            </w:rPr>
            <w:t xml:space="preserve">Modelo Estrella / Power BI · 24 de agosto de 2026</w:t>
          </w:r>
        </w:p>
      </w:tc>
    </w:tr>
  </w:tbl>
  <w:p>
    <w:pPr>
      <w:pBdr>
        <w:bottom w:val="single" w:color="DC9429" w:sz="8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6a8216c75dbb7b70ec9d529e8c999c9e24893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2026-08-24T19:52:06.777Z</dcterms:created>
  <dcterms:modified xsi:type="dcterms:W3CDTF">2026-08-24T19:52:06.777Z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