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9CC34" w14:textId="77777777" w:rsidR="00A835AD" w:rsidRDefault="00000000">
      <w:pPr>
        <w:spacing w:before="1400"/>
        <w:jc w:val="center"/>
      </w:pPr>
      <w:r>
        <w:rPr>
          <w:noProof/>
        </w:rPr>
        <w:drawing>
          <wp:inline distT="0" distB="0" distL="0" distR="0" wp14:anchorId="5DE26158" wp14:editId="50BD4502">
            <wp:extent cx="1809750" cy="11239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A1A3" w14:textId="77777777" w:rsidR="00A835AD" w:rsidRDefault="00000000">
      <w:pPr>
        <w:spacing w:before="500" w:after="80"/>
        <w:jc w:val="center"/>
      </w:pPr>
      <w:r>
        <w:rPr>
          <w:b/>
          <w:bCs/>
          <w:color w:val="144FAC"/>
          <w:sz w:val="46"/>
          <w:szCs w:val="46"/>
        </w:rPr>
        <w:t>GUÍA DE ESTUDIO</w:t>
      </w:r>
    </w:p>
    <w:p w14:paraId="0D94AD47" w14:textId="77777777" w:rsidR="00A835AD" w:rsidRDefault="00000000">
      <w:pPr>
        <w:spacing w:after="260"/>
        <w:jc w:val="center"/>
      </w:pPr>
      <w:r>
        <w:rPr>
          <w:b/>
          <w:bCs/>
          <w:color w:val="222222"/>
          <w:sz w:val="26"/>
          <w:szCs w:val="26"/>
        </w:rPr>
        <w:t>Implementación y Modelado de Datos en Power BI — Módulo Dos</w:t>
      </w:r>
    </w:p>
    <w:p w14:paraId="1BC84613" w14:textId="77777777" w:rsidR="00A835AD" w:rsidRDefault="00000000">
      <w:pPr>
        <w:spacing w:after="40"/>
        <w:jc w:val="center"/>
      </w:pPr>
      <w:r>
        <w:rPr>
          <w:i/>
          <w:iCs/>
          <w:color w:val="DC9429"/>
          <w:sz w:val="22"/>
          <w:szCs w:val="22"/>
        </w:rPr>
        <w:t>Contenido cubierto en las sesiones del Día 5 y Día 6</w:t>
      </w:r>
    </w:p>
    <w:p w14:paraId="6D35131A" w14:textId="77777777" w:rsidR="00A835AD" w:rsidRDefault="00000000">
      <w:pPr>
        <w:spacing w:after="500"/>
        <w:jc w:val="center"/>
      </w:pPr>
      <w:r>
        <w:rPr>
          <w:color w:val="555555"/>
          <w:sz w:val="19"/>
          <w:szCs w:val="19"/>
        </w:rPr>
        <w:t>Caso de estudio: arquitectura del Data Warehouse — Cliente La Bendición (DLBENDICION_DWH)</w:t>
      </w:r>
    </w:p>
    <w:p w14:paraId="282AC23C" w14:textId="77777777" w:rsidR="00A835AD" w:rsidRDefault="00000000">
      <w:pPr>
        <w:spacing w:after="20"/>
        <w:jc w:val="center"/>
      </w:pPr>
      <w:r>
        <w:rPr>
          <w:color w:val="555555"/>
          <w:sz w:val="17"/>
          <w:szCs w:val="17"/>
        </w:rPr>
        <w:t>Preparado por Desarrollo Moderno de Software, S.A. (D'MOSOFT)</w:t>
      </w:r>
    </w:p>
    <w:p w14:paraId="0B6A3FF5" w14:textId="77777777" w:rsidR="00A835AD" w:rsidRDefault="00000000">
      <w:pPr>
        <w:jc w:val="center"/>
      </w:pPr>
      <w:r>
        <w:rPr>
          <w:color w:val="555555"/>
          <w:sz w:val="17"/>
          <w:szCs w:val="17"/>
        </w:rPr>
        <w:t>Formación técnica interna</w:t>
      </w:r>
    </w:p>
    <w:p w14:paraId="06244A69" w14:textId="77777777" w:rsidR="00A835AD" w:rsidRDefault="00000000">
      <w:r>
        <w:br w:type="page"/>
      </w:r>
    </w:p>
    <w:p w14:paraId="39475EA9" w14:textId="77777777" w:rsidR="00A835AD" w:rsidRDefault="00A835AD">
      <w:pPr>
        <w:sectPr w:rsidR="00A835AD">
          <w:pgSz w:w="12240" w:h="15840"/>
          <w:pgMar w:top="1350" w:right="1100" w:bottom="1150" w:left="1100" w:header="708" w:footer="708" w:gutter="0"/>
          <w:cols w:space="720"/>
          <w:docGrid w:linePitch="360"/>
        </w:sectPr>
      </w:pPr>
    </w:p>
    <w:p w14:paraId="02073BEF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lastRenderedPageBreak/>
        <w:t>Objetivos de la sesión</w:t>
      </w:r>
    </w:p>
    <w:p w14:paraId="6A92FEB0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Al finalizar el Día 5 y el Día 6, el participante debe ser capaz de:</w:t>
      </w:r>
    </w:p>
    <w:p w14:paraId="24418EFE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Distinguir el rol de Power BI Desktop frente a Power BI Service dentro del ciclo de vida de una solución analítica.</w:t>
      </w:r>
    </w:p>
    <w:p w14:paraId="021763B8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Explicar por qué el motor VertiPaq permite un rendimiento superior al de un motor de fila tradicional.</w:t>
      </w:r>
    </w:p>
    <w:p w14:paraId="56593B38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Conectarse a un origen SQL Server y seleccionar correctamente las tablas de un Data Warehouse ya pre-procesado.</w:t>
      </w:r>
    </w:p>
    <w:p w14:paraId="3841C816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Aplicar limpieza y control de calidad de datos en Power Query antes de cargar el modelo.</w:t>
      </w:r>
    </w:p>
    <w:p w14:paraId="4EA5BE52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Construir un modelo en esquema estrella (Star Schema) con relaciones 1:N correctas.</w:t>
      </w:r>
    </w:p>
    <w:p w14:paraId="478330D2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Crear una tabla de calendario en DAX y vincularla a la tabla de hechos para habilitar inteligencia de tiempo.</w:t>
      </w:r>
    </w:p>
    <w:p w14:paraId="0EF4CAC0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1. Arquitectura del ecosistema Power BI</w:t>
      </w:r>
    </w:p>
    <w:p w14:paraId="6012CEC9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Una solución de Power BI bien diseñada separa con claridad dos entornos: el entorno de desarrollo, donde se construyen el modelo y la lógica de negocio, y el entorno de consumo en la nube, donde se gestionan la seguridad, la distribución y el ciclo de actualización. Mantener esta separación evita que cambios experimentales afecten a los usuarios finales que ya consumen los reportes publicados.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75"/>
        <w:gridCol w:w="3475"/>
      </w:tblGrid>
      <w:tr w:rsidR="00A835AD" w14:paraId="4DE1F7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3E736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3475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9D590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Power BI Desktop</w:t>
            </w:r>
          </w:p>
        </w:tc>
        <w:tc>
          <w:tcPr>
            <w:tcW w:w="3475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2D213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Power BI Service</w:t>
            </w:r>
          </w:p>
        </w:tc>
      </w:tr>
      <w:tr w:rsidR="00A835AD" w14:paraId="33CF71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C1F3A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Entorno</w:t>
            </w:r>
          </w:p>
        </w:tc>
        <w:tc>
          <w:tcPr>
            <w:tcW w:w="3475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76F745" w14:textId="77777777" w:rsidR="00A835AD" w:rsidRDefault="00000000">
            <w:r>
              <w:rPr>
                <w:color w:val="222222"/>
                <w:sz w:val="19"/>
                <w:szCs w:val="19"/>
              </w:rPr>
              <w:t>Aplicación local (equipo del desarrollador)</w:t>
            </w:r>
          </w:p>
        </w:tc>
        <w:tc>
          <w:tcPr>
            <w:tcW w:w="3475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8EE01" w14:textId="77777777" w:rsidR="00A835AD" w:rsidRDefault="00000000">
            <w:r>
              <w:rPr>
                <w:color w:val="222222"/>
                <w:sz w:val="19"/>
                <w:szCs w:val="19"/>
              </w:rPr>
              <w:t>Plataforma SaaS en la nube</w:t>
            </w:r>
          </w:p>
        </w:tc>
      </w:tr>
      <w:tr w:rsidR="00A835AD" w14:paraId="76EC0C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3BA2F8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Uso principal</w:t>
            </w:r>
          </w:p>
        </w:tc>
        <w:tc>
          <w:tcPr>
            <w:tcW w:w="34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7DCCF" w14:textId="77777777" w:rsidR="00A835AD" w:rsidRDefault="00000000">
            <w:r>
              <w:rPr>
                <w:color w:val="222222"/>
                <w:sz w:val="19"/>
                <w:szCs w:val="19"/>
              </w:rPr>
              <w:t>ETL (Power Query), modelado DAX y diseño de visuales</w:t>
            </w:r>
          </w:p>
        </w:tc>
        <w:tc>
          <w:tcPr>
            <w:tcW w:w="34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0ECD6F" w14:textId="77777777" w:rsidR="00A835AD" w:rsidRDefault="00000000">
            <w:r>
              <w:rPr>
                <w:color w:val="222222"/>
                <w:sz w:val="19"/>
                <w:szCs w:val="19"/>
              </w:rPr>
              <w:t>Distribución, colaboración y gobierno de datos</w:t>
            </w:r>
          </w:p>
        </w:tc>
      </w:tr>
      <w:tr w:rsidR="00A835AD" w14:paraId="389CAC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B9660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Requisitos</w:t>
            </w:r>
          </w:p>
        </w:tc>
        <w:tc>
          <w:tcPr>
            <w:tcW w:w="3475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E4C919" w14:textId="77777777" w:rsidR="00A835AD" w:rsidRDefault="00000000">
            <w:r>
              <w:rPr>
                <w:color w:val="222222"/>
                <w:sz w:val="19"/>
                <w:szCs w:val="19"/>
              </w:rPr>
              <w:t>Instalación gratuita en Windows</w:t>
            </w:r>
          </w:p>
        </w:tc>
        <w:tc>
          <w:tcPr>
            <w:tcW w:w="3475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3B752" w14:textId="77777777" w:rsidR="00A835AD" w:rsidRDefault="00000000">
            <w:r>
              <w:rPr>
                <w:color w:val="222222"/>
                <w:sz w:val="19"/>
                <w:szCs w:val="19"/>
              </w:rPr>
              <w:t>Licenciamiento Pro/Premium para compartir</w:t>
            </w:r>
          </w:p>
        </w:tc>
      </w:tr>
      <w:tr w:rsidR="00A835AD" w14:paraId="6983F1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5001A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Capacidades clave</w:t>
            </w:r>
          </w:p>
        </w:tc>
        <w:tc>
          <w:tcPr>
            <w:tcW w:w="34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1E5F3" w14:textId="77777777" w:rsidR="00A835AD" w:rsidRDefault="00000000">
            <w:r>
              <w:rPr>
                <w:color w:val="222222"/>
                <w:sz w:val="19"/>
                <w:szCs w:val="19"/>
              </w:rPr>
              <w:t>Control total del modelo y del origen de datos</w:t>
            </w:r>
          </w:p>
        </w:tc>
        <w:tc>
          <w:tcPr>
            <w:tcW w:w="34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4F6288" w14:textId="77777777" w:rsidR="00A835AD" w:rsidRDefault="00000000">
            <w:r>
              <w:rPr>
                <w:color w:val="222222"/>
                <w:sz w:val="19"/>
                <w:szCs w:val="19"/>
              </w:rPr>
              <w:t>Actualización programada y consumo de reportes publicados</w:t>
            </w:r>
          </w:p>
        </w:tc>
      </w:tr>
    </w:tbl>
    <w:p w14:paraId="05DA12B3" w14:textId="77777777" w:rsidR="00A835AD" w:rsidRDefault="00A835AD">
      <w:pPr>
        <w:spacing w:after="120"/>
      </w:pPr>
    </w:p>
    <w:p w14:paraId="1A0C02A5" w14:textId="77777777" w:rsidR="00A835AD" w:rsidRDefault="00000000">
      <w:pPr>
        <w:pStyle w:val="Ttulo2"/>
        <w:spacing w:before="320" w:after="160"/>
      </w:pPr>
      <w:r>
        <w:rPr>
          <w:b/>
          <w:bCs/>
          <w:color w:val="144FAC"/>
          <w:sz w:val="22"/>
          <w:szCs w:val="22"/>
        </w:rPr>
        <w:t>2. El motor VertiPaq</w:t>
      </w:r>
    </w:p>
    <w:p w14:paraId="59CE2E76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El rendimiento característico de Power BI se debe a su motor de almacenamiento en memoria VertiPaq. A diferencia de un motor transaccional tradicional, que procesa la información fila por fila, VertiPaq utiliza almacenamiento columnar: agrupa y comprime los valores repetidos de cada columna, lo que reduce drásticamente el espacio en memoria y acelera las operaciones de agregación (SUM, AVERAGE, COUNT) incluso sobre volúmenes de datos considerables.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A835AD" w14:paraId="5D360BC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C9429"/>
              <w:left w:val="single" w:sz="24" w:space="0" w:color="DC9429"/>
              <w:bottom w:val="single" w:sz="4" w:space="0" w:color="DC9429"/>
              <w:right w:val="single" w:sz="4" w:space="0" w:color="DC9429"/>
            </w:tcBorders>
            <w:shd w:val="clear" w:color="auto" w:fill="FCF1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D93963" w14:textId="77777777" w:rsidR="00A835AD" w:rsidRDefault="00000000">
            <w:pPr>
              <w:spacing w:after="60"/>
            </w:pPr>
            <w:r>
              <w:rPr>
                <w:b/>
                <w:bCs/>
                <w:color w:val="144FAC"/>
              </w:rPr>
              <w:t>Punto clave para el examen</w:t>
            </w:r>
          </w:p>
          <w:p w14:paraId="097B609D" w14:textId="77777777" w:rsidR="00A835AD" w:rsidRDefault="00000000">
            <w:r>
              <w:rPr>
                <w:color w:val="222222"/>
              </w:rPr>
              <w:t>VertiPaq es columnar, no relacional por fila. Cuantos más valores repetidos tenga una columna (por ejemplo, un código de bodega o un tipo de transacción), mayor será su ratio de compresión y mejor su rendimiento.</w:t>
            </w:r>
          </w:p>
        </w:tc>
      </w:tr>
    </w:tbl>
    <w:p w14:paraId="7D6D9EBC" w14:textId="77777777" w:rsidR="00A835AD" w:rsidRDefault="00A835AD">
      <w:pPr>
        <w:spacing w:after="120"/>
      </w:pPr>
    </w:p>
    <w:p w14:paraId="716F9844" w14:textId="77777777" w:rsidR="00A835AD" w:rsidRDefault="00000000">
      <w:pPr>
        <w:pStyle w:val="Ttulo2"/>
        <w:spacing w:before="320" w:after="160"/>
      </w:pPr>
      <w:r>
        <w:rPr>
          <w:b/>
          <w:bCs/>
          <w:color w:val="144FAC"/>
          <w:sz w:val="22"/>
          <w:szCs w:val="22"/>
        </w:rPr>
        <w:lastRenderedPageBreak/>
        <w:t>3. Mantenimiento del Data Warehouse</w:t>
      </w:r>
    </w:p>
    <w:p w14:paraId="61316036" w14:textId="09B1B22A" w:rsidR="00A835AD" w:rsidRDefault="00000000">
      <w:pPr>
        <w:spacing w:after="160"/>
      </w:pPr>
      <w:r>
        <w:rPr>
          <w:color w:val="222222"/>
          <w:sz w:val="21"/>
          <w:szCs w:val="21"/>
        </w:rPr>
        <w:t>La vigencia de la información depende de la orquestación de un Job de SQL Server que actualiza el Data Warehouse en el servidor de origen. Es fundamental entender la secuencia: primero se ejecuta el Job de SQL que refresca el DWH, y solo después debe dispararse la actualización programada (Scheduled Refresh) en Power BI</w:t>
      </w:r>
      <w:r w:rsidR="00402AB2">
        <w:rPr>
          <w:color w:val="222222"/>
          <w:sz w:val="21"/>
          <w:szCs w:val="21"/>
        </w:rPr>
        <w:t xml:space="preserve"> Desktop</w:t>
      </w:r>
      <w:r>
        <w:rPr>
          <w:color w:val="222222"/>
          <w:sz w:val="21"/>
          <w:szCs w:val="21"/>
        </w:rPr>
        <w:t>. Si el orden se invierte, el reporte publicado mostrará datos desactualizados aunque la actualización se haya ejecutado "a tiempo".</w:t>
      </w:r>
    </w:p>
    <w:p w14:paraId="3E44ED08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4. Conectividad y extracción desde SQL Server</w:t>
      </w:r>
    </w:p>
    <w:p w14:paraId="75461795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Parámetros obligatorios del conector nativo de SQL Server en Power BI:</w:t>
      </w:r>
    </w:p>
    <w:p w14:paraId="1D039A81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Servidor: dirección fija del servidor corporativo.</w:t>
      </w:r>
    </w:p>
    <w:p w14:paraId="2E4B0594" w14:textId="5EF3F77C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 xml:space="preserve">Base de datos: se debe especificar de forma estricta </w:t>
      </w:r>
      <w:r w:rsidR="00402AB2">
        <w:rPr>
          <w:color w:val="555555"/>
          <w:sz w:val="19"/>
          <w:szCs w:val="19"/>
        </w:rPr>
        <w:t>DLBENDICION_DWH</w:t>
      </w:r>
      <w:r>
        <w:rPr>
          <w:color w:val="222222"/>
          <w:sz w:val="21"/>
          <w:szCs w:val="21"/>
        </w:rPr>
        <w:t xml:space="preserve"> (Data Warehouse del cliente La Bendición).</w:t>
      </w:r>
    </w:p>
    <w:p w14:paraId="0F21D9E2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Tras definir el origen, Power BI solicitará las credenciales de autenticación autorizadas para acceder a los esquemas del Data Warehouse.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A835AD" w14:paraId="16E1E21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C9429"/>
              <w:left w:val="single" w:sz="24" w:space="0" w:color="DC9429"/>
              <w:bottom w:val="single" w:sz="4" w:space="0" w:color="DC9429"/>
              <w:right w:val="single" w:sz="4" w:space="0" w:color="DC9429"/>
            </w:tcBorders>
            <w:shd w:val="clear" w:color="auto" w:fill="FCF1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0B061C9" w14:textId="77777777" w:rsidR="00A835AD" w:rsidRDefault="00000000">
            <w:pPr>
              <w:spacing w:after="60"/>
            </w:pPr>
            <w:r>
              <w:rPr>
                <w:b/>
                <w:bCs/>
                <w:color w:val="144FAC"/>
              </w:rPr>
              <w:t>Buena práctica</w:t>
            </w:r>
          </w:p>
          <w:p w14:paraId="29A415B7" w14:textId="77777777" w:rsidR="00A835AD" w:rsidRDefault="00000000">
            <w:r>
              <w:rPr>
                <w:color w:val="222222"/>
              </w:rPr>
              <w:t>Nunca se debe usar una cuenta de administrador de base de datos para la conexión de Power BI en producción; se recomienda un usuario de solo lectura con permisos limitados al esquema del DWH.</w:t>
            </w:r>
          </w:p>
        </w:tc>
      </w:tr>
    </w:tbl>
    <w:p w14:paraId="72AACF83" w14:textId="77777777" w:rsidR="00A835AD" w:rsidRDefault="00A835AD">
      <w:pPr>
        <w:spacing w:after="120"/>
      </w:pPr>
    </w:p>
    <w:p w14:paraId="1DE7C1EA" w14:textId="18F0B040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5. Estructura del modelo de datos — Caso DL</w:t>
      </w:r>
      <w:r w:rsidR="00402AB2">
        <w:rPr>
          <w:b/>
          <w:bCs/>
          <w:color w:val="144FAC"/>
          <w:sz w:val="26"/>
          <w:szCs w:val="26"/>
        </w:rPr>
        <w:t>BENDICION</w:t>
      </w:r>
      <w:r>
        <w:rPr>
          <w:b/>
          <w:bCs/>
          <w:color w:val="144FAC"/>
          <w:sz w:val="26"/>
          <w:szCs w:val="26"/>
        </w:rPr>
        <w:t>_DWH</w:t>
      </w:r>
    </w:p>
    <w:p w14:paraId="5F06E215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El modelo se compone de 7 tablas: 1 tabla de hechos y 6 dimensiones, todas pre-procesadas en SQL Server para minimizar la carga de transformación en Power BI.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550"/>
        <w:gridCol w:w="5200"/>
      </w:tblGrid>
      <w:tr w:rsidR="00A835AD" w14:paraId="3C3203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C22B0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Tabla</w:t>
            </w:r>
          </w:p>
        </w:tc>
        <w:tc>
          <w:tcPr>
            <w:tcW w:w="1550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B725C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200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F04A5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A835AD" w14:paraId="2AA261C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BDC0D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fat_movimientos</w:t>
            </w:r>
          </w:p>
        </w:tc>
        <w:tc>
          <w:tcPr>
            <w:tcW w:w="15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5CE97" w14:textId="77777777" w:rsidR="00A835AD" w:rsidRDefault="00000000">
            <w:r>
              <w:rPr>
                <w:color w:val="222222"/>
                <w:sz w:val="19"/>
                <w:szCs w:val="19"/>
              </w:rPr>
              <w:t>Hechos</w:t>
            </w:r>
          </w:p>
        </w:tc>
        <w:tc>
          <w:tcPr>
            <w:tcW w:w="52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9357F7" w14:textId="77777777" w:rsidR="00A835AD" w:rsidRDefault="00000000">
            <w:r>
              <w:rPr>
                <w:color w:val="222222"/>
                <w:sz w:val="19"/>
                <w:szCs w:val="19"/>
              </w:rPr>
              <w:t>Registros transaccionales y métricas clave del negocio</w:t>
            </w:r>
          </w:p>
        </w:tc>
      </w:tr>
      <w:tr w:rsidR="00A835AD" w14:paraId="79BBBB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E7207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dim_bodega</w:t>
            </w:r>
          </w:p>
        </w:tc>
        <w:tc>
          <w:tcPr>
            <w:tcW w:w="1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942BF" w14:textId="77777777" w:rsidR="00A835AD" w:rsidRDefault="00000000">
            <w:r>
              <w:rPr>
                <w:color w:val="222222"/>
                <w:sz w:val="19"/>
                <w:szCs w:val="19"/>
              </w:rPr>
              <w:t>Dimensión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268CF" w14:textId="77777777" w:rsidR="00A835AD" w:rsidRDefault="00000000">
            <w:r>
              <w:rPr>
                <w:color w:val="222222"/>
                <w:sz w:val="19"/>
                <w:szCs w:val="19"/>
              </w:rPr>
              <w:t>Atributos de ubicación (incluye datos de empresa, ya normalizados aquí)</w:t>
            </w:r>
          </w:p>
        </w:tc>
      </w:tr>
      <w:tr w:rsidR="00A835AD" w14:paraId="5AF1B9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D589D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dim_cliente</w:t>
            </w:r>
          </w:p>
        </w:tc>
        <w:tc>
          <w:tcPr>
            <w:tcW w:w="15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DD3FB3" w14:textId="77777777" w:rsidR="00A835AD" w:rsidRDefault="00000000">
            <w:r>
              <w:rPr>
                <w:color w:val="222222"/>
                <w:sz w:val="19"/>
                <w:szCs w:val="19"/>
              </w:rPr>
              <w:t>Dimensión</w:t>
            </w:r>
          </w:p>
        </w:tc>
        <w:tc>
          <w:tcPr>
            <w:tcW w:w="52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18681" w14:textId="77777777" w:rsidR="00A835AD" w:rsidRDefault="00000000">
            <w:r>
              <w:rPr>
                <w:color w:val="222222"/>
                <w:sz w:val="19"/>
                <w:szCs w:val="19"/>
              </w:rPr>
              <w:t>Maestro de clientes</w:t>
            </w:r>
          </w:p>
        </w:tc>
      </w:tr>
      <w:tr w:rsidR="00A835AD" w14:paraId="54CA82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5B3D9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dim_producto</w:t>
            </w:r>
          </w:p>
        </w:tc>
        <w:tc>
          <w:tcPr>
            <w:tcW w:w="1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15198" w14:textId="77777777" w:rsidR="00A835AD" w:rsidRDefault="00000000">
            <w:r>
              <w:rPr>
                <w:color w:val="222222"/>
                <w:sz w:val="19"/>
                <w:szCs w:val="19"/>
              </w:rPr>
              <w:t>Dimensión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3EBD0" w14:textId="77777777" w:rsidR="00A835AD" w:rsidRDefault="00000000">
            <w:r>
              <w:rPr>
                <w:color w:val="222222"/>
                <w:sz w:val="19"/>
                <w:szCs w:val="19"/>
              </w:rPr>
              <w:t>Catálogo técnico de productos</w:t>
            </w:r>
          </w:p>
        </w:tc>
      </w:tr>
      <w:tr w:rsidR="00A835AD" w14:paraId="7E676C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2A19D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dim_serie</w:t>
            </w:r>
          </w:p>
        </w:tc>
        <w:tc>
          <w:tcPr>
            <w:tcW w:w="15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F0D3B" w14:textId="77777777" w:rsidR="00A835AD" w:rsidRDefault="00000000">
            <w:r>
              <w:rPr>
                <w:color w:val="222222"/>
                <w:sz w:val="19"/>
                <w:szCs w:val="19"/>
              </w:rPr>
              <w:t>Dimensión</w:t>
            </w:r>
          </w:p>
        </w:tc>
        <w:tc>
          <w:tcPr>
            <w:tcW w:w="52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B5A63" w14:textId="77777777" w:rsidR="00A835AD" w:rsidRDefault="00000000">
            <w:r>
              <w:rPr>
                <w:color w:val="222222"/>
                <w:sz w:val="19"/>
                <w:szCs w:val="19"/>
              </w:rPr>
              <w:t>Identificadores de series</w:t>
            </w:r>
          </w:p>
        </w:tc>
      </w:tr>
      <w:tr w:rsidR="00A835AD" w14:paraId="7DF3C1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BAFB03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dim_tipo_transaccion</w:t>
            </w:r>
          </w:p>
        </w:tc>
        <w:tc>
          <w:tcPr>
            <w:tcW w:w="1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C940F" w14:textId="77777777" w:rsidR="00A835AD" w:rsidRDefault="00000000">
            <w:r>
              <w:rPr>
                <w:color w:val="222222"/>
                <w:sz w:val="19"/>
                <w:szCs w:val="19"/>
              </w:rPr>
              <w:t>Dimensión</w:t>
            </w:r>
          </w:p>
        </w:tc>
        <w:tc>
          <w:tcPr>
            <w:tcW w:w="5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08C17E" w14:textId="77777777" w:rsidR="00A835AD" w:rsidRDefault="00000000">
            <w:r>
              <w:rPr>
                <w:color w:val="222222"/>
                <w:sz w:val="19"/>
                <w:szCs w:val="19"/>
              </w:rPr>
              <w:t>Clasificación de los movimientos</w:t>
            </w:r>
          </w:p>
        </w:tc>
      </w:tr>
      <w:tr w:rsidR="00A835AD" w14:paraId="06F52EF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5486EE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dim_unidad_de_medida</w:t>
            </w:r>
          </w:p>
        </w:tc>
        <w:tc>
          <w:tcPr>
            <w:tcW w:w="15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90A23" w14:textId="77777777" w:rsidR="00A835AD" w:rsidRDefault="00000000">
            <w:r>
              <w:rPr>
                <w:color w:val="222222"/>
                <w:sz w:val="19"/>
                <w:szCs w:val="19"/>
              </w:rPr>
              <w:t>Dimensión</w:t>
            </w:r>
          </w:p>
        </w:tc>
        <w:tc>
          <w:tcPr>
            <w:tcW w:w="52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6CAF6" w14:textId="77777777" w:rsidR="00A835AD" w:rsidRDefault="00000000">
            <w:r>
              <w:rPr>
                <w:color w:val="222222"/>
                <w:sz w:val="19"/>
                <w:szCs w:val="19"/>
              </w:rPr>
              <w:t>Unidades de cuantificación</w:t>
            </w:r>
          </w:p>
        </w:tc>
      </w:tr>
    </w:tbl>
    <w:p w14:paraId="07167280" w14:textId="77777777" w:rsidR="00A835AD" w:rsidRDefault="00A835AD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A835AD" w14:paraId="2A327F2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C9429"/>
              <w:left w:val="single" w:sz="24" w:space="0" w:color="DC9429"/>
              <w:bottom w:val="single" w:sz="4" w:space="0" w:color="DC9429"/>
              <w:right w:val="single" w:sz="4" w:space="0" w:color="DC9429"/>
            </w:tcBorders>
            <w:shd w:val="clear" w:color="auto" w:fill="FCF1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3334CA7" w14:textId="77777777" w:rsidR="00A835AD" w:rsidRDefault="00000000">
            <w:pPr>
              <w:spacing w:after="60"/>
            </w:pPr>
            <w:r>
              <w:rPr>
                <w:b/>
                <w:bCs/>
                <w:color w:val="144FAC"/>
              </w:rPr>
              <w:t>Nota de arquitectura — por qué no existe dim_empresa</w:t>
            </w:r>
          </w:p>
          <w:p w14:paraId="62106654" w14:textId="77777777" w:rsidR="00A835AD" w:rsidRDefault="00000000">
            <w:r>
              <w:rPr>
                <w:color w:val="222222"/>
              </w:rPr>
              <w:t>dim_empresa no aparece como dimensión independiente porque sus atributos fueron normalizados y concatenados dentro de dim_bodega durante el pre-procesamiento en SQL. Esta decisión reduce el número de joins del modelo sin perder información de negocio.</w:t>
            </w:r>
          </w:p>
        </w:tc>
      </w:tr>
    </w:tbl>
    <w:p w14:paraId="6E45F04F" w14:textId="77777777" w:rsidR="00A835AD" w:rsidRDefault="00A835AD">
      <w:pPr>
        <w:spacing w:after="120"/>
      </w:pPr>
    </w:p>
    <w:p w14:paraId="0C20F66C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lastRenderedPageBreak/>
        <w:t>La estrategia general delega la limpieza pesada a procedimientos almacenados en SQL Server, que generan y normalizan las tablas antes de la ingesta. Realizar el ETL pesado en el servidor —en vez de en Power Query— garantiza que Power BI reciba datos ya refinados y minimiza el uso de recursos del equipo local durante cada actualización.</w:t>
      </w:r>
    </w:p>
    <w:p w14:paraId="679A3A1D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6. Transformación y limpieza en Power Query</w:t>
      </w:r>
    </w:p>
    <w:p w14:paraId="22B4632C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Power Query es la capa de ETL interna de Power BI. Aquí se aplica la higiene final antes de que los datos lleguen al motor VertiPaq:</w:t>
      </w:r>
    </w:p>
    <w:p w14:paraId="7D4D5364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Gestión de columnas: eliminar campos redundantes y agregar columnas calculadas.</w:t>
      </w:r>
    </w:p>
    <w:p w14:paraId="1A851D50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Encabezados: promover la primera fila como encabezado para leer los metadatos correctamente.</w:t>
      </w:r>
    </w:p>
    <w:p w14:paraId="7FC254CF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Control de orígenes: reconfigurar el servidor de origen o refrescar la vista previa para validar cambios en la fuente.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A835AD" w14:paraId="2731F4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C9429"/>
              <w:left w:val="single" w:sz="24" w:space="0" w:color="DC9429"/>
              <w:bottom w:val="single" w:sz="4" w:space="0" w:color="DC9429"/>
              <w:right w:val="single" w:sz="4" w:space="0" w:color="DC9429"/>
            </w:tcBorders>
            <w:shd w:val="clear" w:color="auto" w:fill="FCF1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3C85BB" w14:textId="77777777" w:rsidR="00A835AD" w:rsidRDefault="00000000">
            <w:pPr>
              <w:spacing w:after="60"/>
            </w:pPr>
            <w:r>
              <w:rPr>
                <w:b/>
                <w:bCs/>
                <w:color w:val="144FAC"/>
              </w:rPr>
              <w:t>Control de calidad — señal de alerta</w:t>
            </w:r>
          </w:p>
          <w:p w14:paraId="75E32C93" w14:textId="77777777" w:rsidR="00A835AD" w:rsidRDefault="00000000">
            <w:r>
              <w:rPr>
                <w:color w:val="222222"/>
              </w:rPr>
              <w:t>Un signo de interrogación (?) en un encabezado de columna indica un error de lectura, una inconsistencia de metadatos o una ruptura en la conexión con el origen. No se debe continuar con la carga hasta resolver esta alerta.</w:t>
            </w:r>
          </w:p>
        </w:tc>
      </w:tr>
    </w:tbl>
    <w:p w14:paraId="428ADC9C" w14:textId="77777777" w:rsidR="00A835AD" w:rsidRDefault="00A835AD">
      <w:pPr>
        <w:spacing w:after="120"/>
      </w:pPr>
    </w:p>
    <w:p w14:paraId="643E13DA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Casos prácticos aplicados en este módulo:</w:t>
      </w:r>
    </w:p>
    <w:p w14:paraId="3C8C8177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Concatenación bodega/empresa: unión de los campos de bodega y empresa para generar identificadores únicos y legibles.</w:t>
      </w:r>
    </w:p>
    <w:p w14:paraId="754F81F4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Gestión de localizaciones: tratamiento de datos para empresas de transporte que operan en múltiples ubicaciones geográficas.</w:t>
      </w:r>
    </w:p>
    <w:p w14:paraId="063951AC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Al terminar las transformaciones, el botón "Cerrar y aplicar" ejecuta la carga definitiva de los datos transformados hacia el modelo en memoria.</w:t>
      </w:r>
    </w:p>
    <w:p w14:paraId="5FFEF9D7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7. Modelado lógico: esquema estrella (Star Schema)</w:t>
      </w:r>
    </w:p>
    <w:p w14:paraId="53C39C73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El esquema estrella es el estándar de referencia en Power BI porque optimiza el filtrado entre tablas y simplifica la escritura de fórmulas DAX. La tabla de hechos se ubica en el centro del modelo, rodeada por las dimensiones, con relaciones predominantemente de uno a muchos (1:N): el lado "uno" reside en la dimensión y el lado "muchos" en la tabla de hechos.</w:t>
      </w:r>
    </w:p>
    <w:p w14:paraId="1255BE79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 xml:space="preserve">La relación se construye arrastrando la llave primaria de la dimensión hacia su llave foránea correspondiente en </w:t>
      </w:r>
      <w:r>
        <w:rPr>
          <w:rFonts w:ascii="Consolas" w:eastAsia="Consolas" w:hAnsi="Consolas" w:cs="Consolas"/>
          <w:color w:val="144FAC"/>
        </w:rPr>
        <w:t>fat_movimientos</w:t>
      </w:r>
      <w:r>
        <w:rPr>
          <w:color w:val="222222"/>
          <w:sz w:val="21"/>
          <w:szCs w:val="21"/>
        </w:rPr>
        <w:t xml:space="preserve"> (por ejemplo, ID Bodega en ambas tablas).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A835AD" w14:paraId="23D24B3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C9429"/>
              <w:left w:val="single" w:sz="24" w:space="0" w:color="DC9429"/>
              <w:bottom w:val="single" w:sz="4" w:space="0" w:color="DC9429"/>
              <w:right w:val="single" w:sz="4" w:space="0" w:color="DC9429"/>
            </w:tcBorders>
            <w:shd w:val="clear" w:color="auto" w:fill="FCF1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E78E180" w14:textId="77777777" w:rsidR="00A835AD" w:rsidRDefault="00000000">
            <w:pPr>
              <w:spacing w:after="60"/>
            </w:pPr>
            <w:r>
              <w:rPr>
                <w:b/>
                <w:bCs/>
                <w:color w:val="144FAC"/>
              </w:rPr>
              <w:t>Caso especial — dim_serie</w:t>
            </w:r>
          </w:p>
          <w:p w14:paraId="7E6FD884" w14:textId="77777777" w:rsidR="00A835AD" w:rsidRDefault="00000000">
            <w:r>
              <w:rPr>
                <w:color w:val="222222"/>
              </w:rPr>
              <w:t>Esta dimensión genera una relación de muchos a muchos, probablemente por llaves compuestas no resueltas en el procedimiento de origen. Solución temporal: forzar la carga y activar el filtro de seguridad en ambas direcciones. Acción pendiente de ingeniería: auditar el procedimiento almacenado en SQL para normalizar la tabla y volver a una relación 1:N estándar.</w:t>
            </w:r>
          </w:p>
        </w:tc>
      </w:tr>
    </w:tbl>
    <w:p w14:paraId="559D7D23" w14:textId="77777777" w:rsidR="00A835AD" w:rsidRDefault="00A835AD">
      <w:pPr>
        <w:spacing w:after="120"/>
      </w:pPr>
    </w:p>
    <w:p w14:paraId="5A106D41" w14:textId="77777777" w:rsidR="00402AB2" w:rsidRDefault="00402AB2">
      <w:pPr>
        <w:spacing w:after="120"/>
      </w:pPr>
    </w:p>
    <w:p w14:paraId="7B48F3B3" w14:textId="77777777" w:rsidR="00402AB2" w:rsidRDefault="00402AB2">
      <w:pPr>
        <w:spacing w:after="120"/>
      </w:pPr>
    </w:p>
    <w:p w14:paraId="56B5595E" w14:textId="77777777" w:rsidR="00402AB2" w:rsidRDefault="00402AB2">
      <w:pPr>
        <w:spacing w:after="120"/>
      </w:pPr>
    </w:p>
    <w:p w14:paraId="5561A37B" w14:textId="77777777" w:rsidR="00402AB2" w:rsidRDefault="00402AB2">
      <w:pPr>
        <w:spacing w:after="120"/>
      </w:pPr>
    </w:p>
    <w:p w14:paraId="15D68BF9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8. Inteligencia de tiempo con DAX</w:t>
      </w:r>
    </w:p>
    <w:p w14:paraId="62C48448" w14:textId="77777777" w:rsidR="00A835AD" w:rsidRDefault="00000000">
      <w:pPr>
        <w:spacing w:after="160"/>
      </w:pPr>
      <w:r>
        <w:rPr>
          <w:color w:val="222222"/>
          <w:sz w:val="21"/>
          <w:szCs w:val="21"/>
        </w:rPr>
        <w:t>Las jerarquías automáticas de fecha de Power BI son insuficientes para un análisis profesional de tendencias y comparativas de periodos. Por eso se construye una tabla de calendario dedicada en DAX, que garantiza que no existan huecos en la línea de tiempo.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250"/>
      </w:tblGrid>
      <w:tr w:rsidR="00A835AD" w14:paraId="24A925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39A2C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Función / parámetro</w:t>
            </w:r>
          </w:p>
        </w:tc>
        <w:tc>
          <w:tcPr>
            <w:tcW w:w="6250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E3F90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Aplicación técnica</w:t>
            </w:r>
          </w:p>
        </w:tc>
      </w:tr>
      <w:tr w:rsidR="00A835AD" w14:paraId="1D06845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08177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CALENDAR(MIN, MAX)</w:t>
            </w:r>
          </w:p>
        </w:tc>
        <w:tc>
          <w:tcPr>
            <w:tcW w:w="62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36495" w14:textId="77777777" w:rsidR="00A835AD" w:rsidRDefault="00000000">
            <w:r>
              <w:rPr>
                <w:color w:val="222222"/>
                <w:sz w:val="19"/>
                <w:szCs w:val="19"/>
              </w:rPr>
              <w:t>Genera el rango de fechas a partir de fat_movimientos</w:t>
            </w:r>
          </w:p>
        </w:tc>
      </w:tr>
      <w:tr w:rsidR="00A835AD" w14:paraId="25C98BE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0D4A1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YEAR, QUARTER, DAY</w:t>
            </w:r>
          </w:p>
        </w:tc>
        <w:tc>
          <w:tcPr>
            <w:tcW w:w="6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B9ED19" w14:textId="77777777" w:rsidR="00A835AD" w:rsidRDefault="00000000">
            <w:r>
              <w:rPr>
                <w:color w:val="222222"/>
                <w:sz w:val="19"/>
                <w:szCs w:val="19"/>
              </w:rPr>
              <w:t>Extraen las dimensiones granulares de la fecha</w:t>
            </w:r>
          </w:p>
        </w:tc>
      </w:tr>
      <w:tr w:rsidR="00A835AD" w14:paraId="537F3E6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0A1DFA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WEEKNUM(date, 2)</w:t>
            </w:r>
          </w:p>
        </w:tc>
        <w:tc>
          <w:tcPr>
            <w:tcW w:w="62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CC49A" w14:textId="77777777" w:rsidR="00A835AD" w:rsidRDefault="00000000">
            <w:r>
              <w:rPr>
                <w:color w:val="222222"/>
                <w:sz w:val="19"/>
                <w:szCs w:val="19"/>
              </w:rPr>
              <w:t>Calcula el número de semana; el parámetro 2 fija el lunes como inicio de semana</w:t>
            </w:r>
          </w:p>
        </w:tc>
      </w:tr>
      <w:tr w:rsidR="00A835AD" w14:paraId="7A9899F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89FC4A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FORMAT(date, "MMMM")</w:t>
            </w:r>
          </w:p>
        </w:tc>
        <w:tc>
          <w:tcPr>
            <w:tcW w:w="62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07AEC" w14:textId="77777777" w:rsidR="00A835AD" w:rsidRDefault="00000000">
            <w:r>
              <w:rPr>
                <w:color w:val="222222"/>
                <w:sz w:val="19"/>
                <w:szCs w:val="19"/>
              </w:rPr>
              <w:t>Define nombres de mes/día con formatos específicos (MMM, dddd)</w:t>
            </w:r>
          </w:p>
        </w:tc>
      </w:tr>
      <w:tr w:rsidR="00A835AD" w14:paraId="5DA4138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821E7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Llaves de orden (AñoMes)</w:t>
            </w:r>
          </w:p>
        </w:tc>
        <w:tc>
          <w:tcPr>
            <w:tcW w:w="62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96E2B" w14:textId="77777777" w:rsidR="00A835AD" w:rsidRDefault="00000000">
            <w:r>
              <w:rPr>
                <w:color w:val="222222"/>
                <w:sz w:val="19"/>
                <w:szCs w:val="19"/>
              </w:rPr>
              <w:t>Llaves numéricas indispensables para el ordenamiento cronológico correcto</w:t>
            </w:r>
          </w:p>
        </w:tc>
      </w:tr>
    </w:tbl>
    <w:p w14:paraId="7A8E0CD0" w14:textId="77777777" w:rsidR="00A835AD" w:rsidRDefault="00A835AD">
      <w:pPr>
        <w:spacing w:after="120"/>
      </w:pPr>
    </w:p>
    <w:p w14:paraId="368E818C" w14:textId="22994F4B" w:rsidR="00A835AD" w:rsidRDefault="00000000">
      <w:pPr>
        <w:spacing w:after="160"/>
      </w:pPr>
      <w:r>
        <w:rPr>
          <w:color w:val="222222"/>
          <w:sz w:val="21"/>
          <w:szCs w:val="21"/>
        </w:rPr>
        <w:t xml:space="preserve">Para activar estas capacidades es obligatorio relacionar el campo </w:t>
      </w:r>
      <w:r>
        <w:rPr>
          <w:rFonts w:ascii="Consolas" w:eastAsia="Consolas" w:hAnsi="Consolas" w:cs="Consolas"/>
          <w:color w:val="144FAC"/>
        </w:rPr>
        <w:t>Date</w:t>
      </w:r>
      <w:r>
        <w:rPr>
          <w:color w:val="222222"/>
          <w:sz w:val="21"/>
          <w:szCs w:val="21"/>
        </w:rPr>
        <w:t xml:space="preserve"> de la tabla Calendario con la llave de fecha (</w:t>
      </w:r>
      <w:r>
        <w:rPr>
          <w:rFonts w:ascii="Consolas" w:eastAsia="Consolas" w:hAnsi="Consolas" w:cs="Consolas"/>
          <w:color w:val="144FAC"/>
        </w:rPr>
        <w:t>fecha_key</w:t>
      </w:r>
      <w:r>
        <w:rPr>
          <w:color w:val="222222"/>
          <w:sz w:val="21"/>
          <w:szCs w:val="21"/>
        </w:rPr>
        <w:t xml:space="preserve">) de </w:t>
      </w:r>
      <w:r w:rsidR="00402AB2">
        <w:rPr>
          <w:rFonts w:ascii="Consolas" w:eastAsia="Consolas" w:hAnsi="Consolas" w:cs="Consolas"/>
          <w:color w:val="144FAC"/>
        </w:rPr>
        <w:t>FAC</w:t>
      </w:r>
      <w:r>
        <w:rPr>
          <w:rFonts w:ascii="Consolas" w:eastAsia="Consolas" w:hAnsi="Consolas" w:cs="Consolas"/>
          <w:color w:val="144FAC"/>
        </w:rPr>
        <w:t>_</w:t>
      </w:r>
      <w:r w:rsidR="00402AB2">
        <w:rPr>
          <w:rFonts w:ascii="Consolas" w:eastAsia="Consolas" w:hAnsi="Consolas" w:cs="Consolas"/>
          <w:color w:val="144FAC"/>
        </w:rPr>
        <w:t>M</w:t>
      </w:r>
      <w:r>
        <w:rPr>
          <w:rFonts w:ascii="Consolas" w:eastAsia="Consolas" w:hAnsi="Consolas" w:cs="Consolas"/>
          <w:color w:val="144FAC"/>
        </w:rPr>
        <w:t>ovimientos</w:t>
      </w:r>
      <w:r>
        <w:rPr>
          <w:color w:val="222222"/>
          <w:sz w:val="21"/>
          <w:szCs w:val="21"/>
        </w:rPr>
        <w:t>. Esta relación es el eje central de todos los cálculos de periodos anteriores o acumulados.</w:t>
      </w:r>
    </w:p>
    <w:p w14:paraId="140CA69D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9. Flujo de trabajo resumido</w:t>
      </w:r>
    </w:p>
    <w:p w14:paraId="446084D7" w14:textId="1B3A92F5" w:rsidR="00A835AD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222222"/>
          <w:sz w:val="21"/>
          <w:szCs w:val="21"/>
        </w:rPr>
        <w:t>Importación: conexión parametrizada a DL</w:t>
      </w:r>
      <w:r w:rsidR="00402AB2">
        <w:rPr>
          <w:color w:val="222222"/>
          <w:sz w:val="21"/>
          <w:szCs w:val="21"/>
        </w:rPr>
        <w:t>BENDICION</w:t>
      </w:r>
      <w:r>
        <w:rPr>
          <w:color w:val="222222"/>
          <w:sz w:val="21"/>
          <w:szCs w:val="21"/>
        </w:rPr>
        <w:t>_DWH.</w:t>
      </w:r>
    </w:p>
    <w:p w14:paraId="45D50199" w14:textId="77777777" w:rsidR="00A835AD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222222"/>
          <w:sz w:val="21"/>
          <w:szCs w:val="21"/>
        </w:rPr>
        <w:t>Power Query: limpieza, normalización y control de errores (señal "?").</w:t>
      </w:r>
    </w:p>
    <w:p w14:paraId="17AB2E17" w14:textId="77777777" w:rsidR="00A835AD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222222"/>
          <w:sz w:val="21"/>
          <w:szCs w:val="21"/>
        </w:rPr>
        <w:t>Carga: migración de los datos transformados al motor VertiPaq.</w:t>
      </w:r>
    </w:p>
    <w:p w14:paraId="1D13E43A" w14:textId="77777777" w:rsidR="00A835AD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222222"/>
          <w:sz w:val="21"/>
          <w:szCs w:val="21"/>
        </w:rPr>
        <w:t>Modelado estrella: vinculación de dimensiones (1:N) con la tabla de hechos.</w:t>
      </w:r>
    </w:p>
    <w:p w14:paraId="1F273D92" w14:textId="77777777" w:rsidR="00A835AD" w:rsidRDefault="00000000">
      <w:pPr>
        <w:pStyle w:val="Prrafodelista"/>
        <w:numPr>
          <w:ilvl w:val="0"/>
          <w:numId w:val="3"/>
        </w:numPr>
        <w:spacing w:after="100"/>
      </w:pPr>
      <w:r>
        <w:rPr>
          <w:color w:val="222222"/>
          <w:sz w:val="21"/>
          <w:szCs w:val="21"/>
        </w:rPr>
        <w:t>DAX Calendario: creación de la inteligencia de tiempo y unión por llave de fecha.</w:t>
      </w:r>
    </w:p>
    <w:p w14:paraId="3F71BBDE" w14:textId="77777777" w:rsidR="00A835AD" w:rsidRDefault="00A835AD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5"/>
      </w:tblGrid>
      <w:tr w:rsidR="00A835AD" w14:paraId="0AB22AB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DC9429"/>
              <w:left w:val="single" w:sz="24" w:space="0" w:color="DC9429"/>
              <w:bottom w:val="single" w:sz="4" w:space="0" w:color="DC9429"/>
              <w:right w:val="single" w:sz="4" w:space="0" w:color="DC9429"/>
            </w:tcBorders>
            <w:shd w:val="clear" w:color="auto" w:fill="FCF1E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9410579" w14:textId="77777777" w:rsidR="00A835AD" w:rsidRDefault="00000000">
            <w:pPr>
              <w:spacing w:after="60"/>
            </w:pPr>
            <w:r>
              <w:rPr>
                <w:b/>
                <w:bCs/>
                <w:color w:val="144FAC"/>
              </w:rPr>
              <w:t>Protocolo de guardado</w:t>
            </w:r>
          </w:p>
          <w:p w14:paraId="1E7BB3EC" w14:textId="77777777" w:rsidR="00A835AD" w:rsidRDefault="00000000">
            <w:r>
              <w:rPr>
                <w:color w:val="222222"/>
              </w:rPr>
              <w:t>El proyecto trabajado en estas sesiones debe almacenarse bajo el nombre: "Módulo dos".</w:t>
            </w:r>
          </w:p>
        </w:tc>
      </w:tr>
    </w:tbl>
    <w:p w14:paraId="701DA158" w14:textId="77777777" w:rsidR="00A835AD" w:rsidRDefault="00A835AD">
      <w:pPr>
        <w:spacing w:after="120"/>
      </w:pPr>
    </w:p>
    <w:p w14:paraId="3BC39844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10. Glosario rápido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A835AD" w14:paraId="13629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546BD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750" w:type="dxa"/>
            <w:shd w:val="clear" w:color="auto" w:fill="144FA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798EE" w14:textId="77777777" w:rsidR="00A835AD" w:rsidRDefault="00000000"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A835AD" w14:paraId="62E146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F6ABAB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DWH</w:t>
            </w:r>
          </w:p>
        </w:tc>
        <w:tc>
          <w:tcPr>
            <w:tcW w:w="67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4ABD7" w14:textId="77777777" w:rsidR="00A835AD" w:rsidRDefault="00000000">
            <w:r>
              <w:rPr>
                <w:color w:val="222222"/>
                <w:sz w:val="19"/>
                <w:szCs w:val="19"/>
              </w:rPr>
              <w:t>Data Warehouse: base de datos analítica, separada de la transaccional (OLTP)</w:t>
            </w:r>
          </w:p>
        </w:tc>
      </w:tr>
      <w:tr w:rsidR="00A835AD" w14:paraId="14D42A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88077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ETL</w:t>
            </w:r>
          </w:p>
        </w:tc>
        <w:tc>
          <w:tcPr>
            <w:tcW w:w="6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55B81" w14:textId="77777777" w:rsidR="00A835AD" w:rsidRDefault="00000000">
            <w:r>
              <w:rPr>
                <w:color w:val="222222"/>
                <w:sz w:val="19"/>
                <w:szCs w:val="19"/>
              </w:rPr>
              <w:t>Extract, Transform, Load: extracción, transformación y carga de datos</w:t>
            </w:r>
          </w:p>
        </w:tc>
      </w:tr>
      <w:tr w:rsidR="00A835AD" w14:paraId="0D92DC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70152C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Star Schema</w:t>
            </w:r>
          </w:p>
        </w:tc>
        <w:tc>
          <w:tcPr>
            <w:tcW w:w="67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8FF32" w14:textId="77777777" w:rsidR="00A835AD" w:rsidRDefault="00000000">
            <w:r>
              <w:rPr>
                <w:color w:val="222222"/>
                <w:sz w:val="19"/>
                <w:szCs w:val="19"/>
              </w:rPr>
              <w:t>Modelo con una tabla de hechos central y dimensiones alrededor, en relaciones 1:N</w:t>
            </w:r>
          </w:p>
        </w:tc>
      </w:tr>
      <w:tr w:rsidR="00A835AD" w14:paraId="107327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6BC30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lastRenderedPageBreak/>
              <w:t>DAX</w:t>
            </w:r>
          </w:p>
        </w:tc>
        <w:tc>
          <w:tcPr>
            <w:tcW w:w="6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E5C99" w14:textId="77777777" w:rsidR="00A835AD" w:rsidRDefault="00000000">
            <w:r>
              <w:rPr>
                <w:color w:val="222222"/>
                <w:sz w:val="19"/>
                <w:szCs w:val="19"/>
              </w:rPr>
              <w:t>Data Analysis Expressions: lenguaje de fórmulas de Power BI</w:t>
            </w:r>
          </w:p>
        </w:tc>
      </w:tr>
      <w:tr w:rsidR="00A835AD" w14:paraId="0452DB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6DCDC" w14:textId="77777777" w:rsidR="00A835AD" w:rsidRDefault="00000000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Scheduled Refresh</w:t>
            </w:r>
          </w:p>
        </w:tc>
        <w:tc>
          <w:tcPr>
            <w:tcW w:w="6750" w:type="dxa"/>
            <w:shd w:val="clear" w:color="auto" w:fill="F4F7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3A661" w14:textId="77777777" w:rsidR="00A835AD" w:rsidRDefault="00000000">
            <w:r>
              <w:rPr>
                <w:color w:val="222222"/>
                <w:sz w:val="19"/>
                <w:szCs w:val="19"/>
              </w:rPr>
              <w:t>Actualización programada de los datos en Power BI Service</w:t>
            </w:r>
          </w:p>
        </w:tc>
      </w:tr>
    </w:tbl>
    <w:p w14:paraId="79C9743D" w14:textId="77777777" w:rsidR="00A835AD" w:rsidRDefault="00A835AD">
      <w:pPr>
        <w:spacing w:after="120"/>
      </w:pPr>
    </w:p>
    <w:p w14:paraId="407D48E3" w14:textId="77777777" w:rsidR="00A835AD" w:rsidRDefault="00000000">
      <w:pPr>
        <w:pStyle w:val="Ttulo1"/>
        <w:pBdr>
          <w:bottom w:val="single" w:sz="6" w:space="4" w:color="DC9429"/>
        </w:pBdr>
        <w:spacing w:before="320" w:after="160"/>
      </w:pPr>
      <w:r>
        <w:rPr>
          <w:b/>
          <w:bCs/>
          <w:color w:val="144FAC"/>
          <w:sz w:val="26"/>
          <w:szCs w:val="26"/>
        </w:rPr>
        <w:t>11. Preguntas de repaso</w:t>
      </w:r>
    </w:p>
    <w:p w14:paraId="216208B4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¿Qué diferencia arquitectónica explica por qué VertiPaq es más rápido que un motor por filas?</w:t>
      </w:r>
    </w:p>
    <w:p w14:paraId="48F4ABDE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¿Por qué debe ejecutarse primero el Job de SQL y después el Scheduled Refresh de Power BI Service?</w:t>
      </w:r>
    </w:p>
    <w:p w14:paraId="6D72529D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¿Por qué dim_empresa no existe como tabla independiente en este modelo?</w:t>
      </w:r>
    </w:p>
    <w:p w14:paraId="55D8519C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¿Qué significa encontrar un símbolo "?" en un encabezado de columna dentro de Power Query?</w:t>
      </w:r>
    </w:p>
    <w:p w14:paraId="66BFC22F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¿Cuál es la relación correcta (1:N) entre una dimensión y la tabla de hechos en un esquema estrella?</w:t>
      </w:r>
    </w:p>
    <w:p w14:paraId="65897038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¿Qué problema presenta dim_serie y cuál es la solución temporal frente a la solución definitiva?</w:t>
      </w:r>
    </w:p>
    <w:p w14:paraId="64A30ACE" w14:textId="77777777" w:rsidR="00A835AD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222222"/>
          <w:sz w:val="21"/>
          <w:szCs w:val="21"/>
        </w:rPr>
        <w:t>¿Para qué se usa el parámetro 2 en WEEKNUM(date, 2)?</w:t>
      </w:r>
    </w:p>
    <w:sectPr w:rsidR="00A835AD">
      <w:headerReference w:type="default" r:id="rId8"/>
      <w:footerReference w:type="default" r:id="rId9"/>
      <w:pgSz w:w="12240" w:h="15840"/>
      <w:pgMar w:top="1350" w:right="1100" w:bottom="115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86B20" w14:textId="77777777" w:rsidR="00FE647B" w:rsidRDefault="00FE647B">
      <w:r>
        <w:separator/>
      </w:r>
    </w:p>
  </w:endnote>
  <w:endnote w:type="continuationSeparator" w:id="0">
    <w:p w14:paraId="7B454B2E" w14:textId="77777777" w:rsidR="00FE647B" w:rsidRDefault="00FE6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F661B" w14:textId="77777777" w:rsidR="00A835AD" w:rsidRDefault="00000000">
    <w:pPr>
      <w:pBdr>
        <w:top w:val="single" w:sz="4" w:space="4" w:color="DC9429"/>
      </w:pBdr>
      <w:spacing w:before="60"/>
      <w:jc w:val="center"/>
    </w:pPr>
    <w:r>
      <w:rPr>
        <w:b/>
        <w:bCs/>
        <w:color w:val="144FAC"/>
        <w:sz w:val="16"/>
        <w:szCs w:val="16"/>
      </w:rPr>
      <w:t>Desarrollo Moderno de Software, S.A.</w:t>
    </w:r>
  </w:p>
  <w:p w14:paraId="64ED1D88" w14:textId="77777777" w:rsidR="00A835AD" w:rsidRDefault="00000000">
    <w:pPr>
      <w:jc w:val="center"/>
    </w:pPr>
    <w:r>
      <w:rPr>
        <w:color w:val="555555"/>
        <w:sz w:val="16"/>
        <w:szCs w:val="16"/>
      </w:rPr>
      <w:t>Dr. Ricardo Augusto Rangel Rangel  ·  Cel. y WhatsApp +502 3131-6962</w:t>
    </w:r>
  </w:p>
  <w:p w14:paraId="7792D0D5" w14:textId="77777777" w:rsidR="00A835AD" w:rsidRDefault="00000000">
    <w:pPr>
      <w:jc w:val="center"/>
    </w:pPr>
    <w:r>
      <w:rPr>
        <w:color w:val="555555"/>
        <w:sz w:val="15"/>
        <w:szCs w:val="15"/>
      </w:rPr>
      <w:t xml:space="preserve">Página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PAGE</w:instrText>
    </w:r>
    <w:r>
      <w:rPr>
        <w:color w:val="555555"/>
        <w:sz w:val="15"/>
        <w:szCs w:val="15"/>
      </w:rPr>
      <w:fldChar w:fldCharType="separate"/>
    </w:r>
    <w:r w:rsidR="00402AB2">
      <w:rPr>
        <w:noProof/>
        <w:color w:val="555555"/>
        <w:sz w:val="15"/>
        <w:szCs w:val="15"/>
      </w:rPr>
      <w:t>2</w:t>
    </w:r>
    <w:r>
      <w:rPr>
        <w:color w:val="555555"/>
        <w:sz w:val="15"/>
        <w:szCs w:val="15"/>
      </w:rPr>
      <w:fldChar w:fldCharType="end"/>
    </w:r>
    <w:r>
      <w:rPr>
        <w:color w:val="555555"/>
        <w:sz w:val="15"/>
        <w:szCs w:val="15"/>
      </w:rPr>
      <w:t xml:space="preserve"> de </w:t>
    </w:r>
    <w:r>
      <w:rPr>
        <w:color w:val="555555"/>
        <w:sz w:val="15"/>
        <w:szCs w:val="15"/>
      </w:rPr>
      <w:fldChar w:fldCharType="begin"/>
    </w:r>
    <w:r>
      <w:rPr>
        <w:color w:val="555555"/>
        <w:sz w:val="15"/>
        <w:szCs w:val="15"/>
      </w:rPr>
      <w:instrText>NUMPAGES</w:instrText>
    </w:r>
    <w:r>
      <w:rPr>
        <w:color w:val="555555"/>
        <w:sz w:val="15"/>
        <w:szCs w:val="15"/>
      </w:rPr>
      <w:fldChar w:fldCharType="separate"/>
    </w:r>
    <w:r w:rsidR="00402AB2">
      <w:rPr>
        <w:noProof/>
        <w:color w:val="555555"/>
        <w:sz w:val="15"/>
        <w:szCs w:val="15"/>
      </w:rPr>
      <w:t>3</w:t>
    </w:r>
    <w:r>
      <w:rPr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5784B8" w14:textId="77777777" w:rsidR="00FE647B" w:rsidRDefault="00FE647B">
      <w:r>
        <w:separator/>
      </w:r>
    </w:p>
  </w:footnote>
  <w:footnote w:type="continuationSeparator" w:id="0">
    <w:p w14:paraId="5F2C9A43" w14:textId="77777777" w:rsidR="00FE647B" w:rsidRDefault="00FE64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0" w:type="dxa"/>
      <w:tblBorders>
        <w:bottom w:val="single" w:sz="8" w:space="0" w:color="DC9429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700"/>
      <w:gridCol w:w="7650"/>
    </w:tblGrid>
    <w:tr w:rsidR="00A835AD" w14:paraId="7B05BAC9" w14:textId="77777777">
      <w:tblPrEx>
        <w:tblCellMar>
          <w:top w:w="0" w:type="dxa"/>
          <w:bottom w:w="0" w:type="dxa"/>
        </w:tblCellMar>
      </w:tblPrEx>
      <w:tc>
        <w:tcPr>
          <w:tcW w:w="1700" w:type="dxa"/>
          <w:tcMar>
            <w:bottom w:w="120" w:type="dxa"/>
          </w:tcMar>
          <w:vAlign w:val="center"/>
        </w:tcPr>
        <w:p w14:paraId="123C5C41" w14:textId="77777777" w:rsidR="00A835AD" w:rsidRDefault="00000000">
          <w:r>
            <w:rPr>
              <w:noProof/>
            </w:rPr>
            <w:drawing>
              <wp:inline distT="0" distB="0" distL="0" distR="0" wp14:anchorId="3363AAA3" wp14:editId="119608E8">
                <wp:extent cx="904875" cy="56197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4875" cy="561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tcMar>
            <w:bottom w:w="120" w:type="dxa"/>
          </w:tcMar>
          <w:vAlign w:val="center"/>
        </w:tcPr>
        <w:p w14:paraId="30ABF31F" w14:textId="77777777" w:rsidR="00A835AD" w:rsidRDefault="00000000">
          <w:pPr>
            <w:jc w:val="right"/>
          </w:pPr>
          <w:r>
            <w:rPr>
              <w:b/>
              <w:bCs/>
              <w:color w:val="144FAC"/>
            </w:rPr>
            <w:t>Guía de Estudio · Power BI — Módulo Dos</w:t>
          </w:r>
        </w:p>
        <w:p w14:paraId="4F9AA701" w14:textId="77777777" w:rsidR="00A835AD" w:rsidRDefault="00000000">
          <w:pPr>
            <w:jc w:val="right"/>
          </w:pPr>
          <w:r>
            <w:rPr>
              <w:color w:val="DC9429"/>
              <w:sz w:val="17"/>
              <w:szCs w:val="17"/>
            </w:rPr>
            <w:t>Sesiones: Día 5 y Día 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D7446"/>
    <w:multiLevelType w:val="hybridMultilevel"/>
    <w:tmpl w:val="DAF0C4D2"/>
    <w:lvl w:ilvl="0" w:tplc="5ECE9D12">
      <w:start w:val="1"/>
      <w:numFmt w:val="bullet"/>
      <w:lvlText w:val="●"/>
      <w:lvlJc w:val="left"/>
      <w:pPr>
        <w:ind w:left="420" w:hanging="260"/>
      </w:pPr>
      <w:rPr>
        <w:color w:val="DC9429"/>
      </w:rPr>
    </w:lvl>
    <w:lvl w:ilvl="1" w:tplc="38FA2410">
      <w:numFmt w:val="decimal"/>
      <w:lvlText w:val=""/>
      <w:lvlJc w:val="left"/>
    </w:lvl>
    <w:lvl w:ilvl="2" w:tplc="DDDE1AF4">
      <w:numFmt w:val="decimal"/>
      <w:lvlText w:val=""/>
      <w:lvlJc w:val="left"/>
    </w:lvl>
    <w:lvl w:ilvl="3" w:tplc="79B20ED0">
      <w:numFmt w:val="decimal"/>
      <w:lvlText w:val=""/>
      <w:lvlJc w:val="left"/>
    </w:lvl>
    <w:lvl w:ilvl="4" w:tplc="9A24E180">
      <w:numFmt w:val="decimal"/>
      <w:lvlText w:val=""/>
      <w:lvlJc w:val="left"/>
    </w:lvl>
    <w:lvl w:ilvl="5" w:tplc="A01279D2">
      <w:numFmt w:val="decimal"/>
      <w:lvlText w:val=""/>
      <w:lvlJc w:val="left"/>
    </w:lvl>
    <w:lvl w:ilvl="6" w:tplc="FBFC7F02">
      <w:numFmt w:val="decimal"/>
      <w:lvlText w:val=""/>
      <w:lvlJc w:val="left"/>
    </w:lvl>
    <w:lvl w:ilvl="7" w:tplc="CCD0E3FC">
      <w:numFmt w:val="decimal"/>
      <w:lvlText w:val=""/>
      <w:lvlJc w:val="left"/>
    </w:lvl>
    <w:lvl w:ilvl="8" w:tplc="FE22299E">
      <w:numFmt w:val="decimal"/>
      <w:lvlText w:val=""/>
      <w:lvlJc w:val="left"/>
    </w:lvl>
  </w:abstractNum>
  <w:abstractNum w:abstractNumId="1" w15:restartNumberingAfterBreak="0">
    <w:nsid w:val="40012C56"/>
    <w:multiLevelType w:val="hybridMultilevel"/>
    <w:tmpl w:val="27844DEC"/>
    <w:lvl w:ilvl="0" w:tplc="D17E58FC">
      <w:start w:val="1"/>
      <w:numFmt w:val="bullet"/>
      <w:lvlText w:val="●"/>
      <w:lvlJc w:val="left"/>
      <w:pPr>
        <w:ind w:left="720" w:hanging="360"/>
      </w:pPr>
    </w:lvl>
    <w:lvl w:ilvl="1" w:tplc="554A7EFA">
      <w:start w:val="1"/>
      <w:numFmt w:val="bullet"/>
      <w:lvlText w:val="○"/>
      <w:lvlJc w:val="left"/>
      <w:pPr>
        <w:ind w:left="1440" w:hanging="360"/>
      </w:pPr>
    </w:lvl>
    <w:lvl w:ilvl="2" w:tplc="B1F22ADE">
      <w:start w:val="1"/>
      <w:numFmt w:val="bullet"/>
      <w:lvlText w:val="■"/>
      <w:lvlJc w:val="left"/>
      <w:pPr>
        <w:ind w:left="2160" w:hanging="360"/>
      </w:pPr>
    </w:lvl>
    <w:lvl w:ilvl="3" w:tplc="00D418AC">
      <w:start w:val="1"/>
      <w:numFmt w:val="bullet"/>
      <w:lvlText w:val="●"/>
      <w:lvlJc w:val="left"/>
      <w:pPr>
        <w:ind w:left="2880" w:hanging="360"/>
      </w:pPr>
    </w:lvl>
    <w:lvl w:ilvl="4" w:tplc="DAEC2A58">
      <w:start w:val="1"/>
      <w:numFmt w:val="bullet"/>
      <w:lvlText w:val="○"/>
      <w:lvlJc w:val="left"/>
      <w:pPr>
        <w:ind w:left="3600" w:hanging="360"/>
      </w:pPr>
    </w:lvl>
    <w:lvl w:ilvl="5" w:tplc="D33C6310">
      <w:start w:val="1"/>
      <w:numFmt w:val="bullet"/>
      <w:lvlText w:val="■"/>
      <w:lvlJc w:val="left"/>
      <w:pPr>
        <w:ind w:left="4320" w:hanging="360"/>
      </w:pPr>
    </w:lvl>
    <w:lvl w:ilvl="6" w:tplc="ED18618C">
      <w:start w:val="1"/>
      <w:numFmt w:val="bullet"/>
      <w:lvlText w:val="●"/>
      <w:lvlJc w:val="left"/>
      <w:pPr>
        <w:ind w:left="5040" w:hanging="360"/>
      </w:pPr>
    </w:lvl>
    <w:lvl w:ilvl="7" w:tplc="CAD4A368">
      <w:start w:val="1"/>
      <w:numFmt w:val="bullet"/>
      <w:lvlText w:val="●"/>
      <w:lvlJc w:val="left"/>
      <w:pPr>
        <w:ind w:left="5760" w:hanging="360"/>
      </w:pPr>
    </w:lvl>
    <w:lvl w:ilvl="8" w:tplc="5936CA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4D02A3D"/>
    <w:multiLevelType w:val="hybridMultilevel"/>
    <w:tmpl w:val="47620AE0"/>
    <w:lvl w:ilvl="0" w:tplc="7AA23B6C">
      <w:start w:val="1"/>
      <w:numFmt w:val="decimal"/>
      <w:lvlText w:val="%1."/>
      <w:lvlJc w:val="left"/>
      <w:pPr>
        <w:ind w:left="420" w:hanging="260"/>
      </w:pPr>
      <w:rPr>
        <w:b/>
        <w:bCs/>
        <w:color w:val="144FAC"/>
      </w:rPr>
    </w:lvl>
    <w:lvl w:ilvl="1" w:tplc="05362BB6">
      <w:numFmt w:val="decimal"/>
      <w:lvlText w:val=""/>
      <w:lvlJc w:val="left"/>
    </w:lvl>
    <w:lvl w:ilvl="2" w:tplc="67768518">
      <w:numFmt w:val="decimal"/>
      <w:lvlText w:val=""/>
      <w:lvlJc w:val="left"/>
    </w:lvl>
    <w:lvl w:ilvl="3" w:tplc="5AD647DE">
      <w:numFmt w:val="decimal"/>
      <w:lvlText w:val=""/>
      <w:lvlJc w:val="left"/>
    </w:lvl>
    <w:lvl w:ilvl="4" w:tplc="8432F098">
      <w:numFmt w:val="decimal"/>
      <w:lvlText w:val=""/>
      <w:lvlJc w:val="left"/>
    </w:lvl>
    <w:lvl w:ilvl="5" w:tplc="7884C86C">
      <w:numFmt w:val="decimal"/>
      <w:lvlText w:val=""/>
      <w:lvlJc w:val="left"/>
    </w:lvl>
    <w:lvl w:ilvl="6" w:tplc="78C489B0">
      <w:numFmt w:val="decimal"/>
      <w:lvlText w:val=""/>
      <w:lvlJc w:val="left"/>
    </w:lvl>
    <w:lvl w:ilvl="7" w:tplc="CDF4A9D8">
      <w:numFmt w:val="decimal"/>
      <w:lvlText w:val=""/>
      <w:lvlJc w:val="left"/>
    </w:lvl>
    <w:lvl w:ilvl="8" w:tplc="67B89EC6">
      <w:numFmt w:val="decimal"/>
      <w:lvlText w:val=""/>
      <w:lvlJc w:val="left"/>
    </w:lvl>
  </w:abstractNum>
  <w:num w:numId="1" w16cid:durableId="172233952">
    <w:abstractNumId w:val="1"/>
    <w:lvlOverride w:ilvl="0">
      <w:startOverride w:val="1"/>
    </w:lvlOverride>
  </w:num>
  <w:num w:numId="2" w16cid:durableId="1311129582">
    <w:abstractNumId w:val="0"/>
    <w:lvlOverride w:ilvl="0">
      <w:startOverride w:val="1"/>
    </w:lvlOverride>
  </w:num>
  <w:num w:numId="3" w16cid:durableId="3818323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5AD"/>
    <w:rsid w:val="00402AB2"/>
    <w:rsid w:val="00837474"/>
    <w:rsid w:val="00A835AD"/>
    <w:rsid w:val="00FE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362B16"/>
  <w15:docId w15:val="{90F9405C-5757-4BCB-9F66-905DDFF7A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1502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Cesar Augusto Albizures Beza</cp:lastModifiedBy>
  <cp:revision>2</cp:revision>
  <dcterms:created xsi:type="dcterms:W3CDTF">2026-09-02T14:49:00Z</dcterms:created>
  <dcterms:modified xsi:type="dcterms:W3CDTF">2026-09-02T14:58:00Z</dcterms:modified>
</cp:coreProperties>
</file>