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B89668"/>
          <w:spacing w:val="80"/>
          <w:sz w:val="22"/>
          <w:szCs w:val="22"/>
        </w:rPr>
        <w:t xml:space="preserve">KIT OPERATIVO</w:t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2A2520"/>
          <w:sz w:val="56"/>
          <w:szCs w:val="56"/>
        </w:rPr>
        <w:t xml:space="preserve">Primo incontro di mediazione familiare</w:t>
      </w:r>
    </w:p>
    <w:p>
      <w:pPr>
        <w:spacing w:after="600"/>
        <w:jc w:val="center"/>
      </w:pPr>
      <w:r>
        <w:rPr>
          <w:rFonts w:ascii="Arial" w:cs="Arial" w:eastAsia="Arial" w:hAnsi="Arial"/>
          <w:i/>
          <w:iCs/>
          <w:color w:val="6B5D50"/>
          <w:sz w:val="28"/>
          <w:szCs w:val="28"/>
        </w:rPr>
        <w:t xml:space="preserve">Facsimile della modulistica essenziale</w:t>
      </w:r>
    </w:p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4A6B82"/>
          <w:sz w:val="28"/>
          <w:szCs w:val="28"/>
        </w:rPr>
        <w:t xml:space="preserve">Avv. Carlo Alberto Calcagno</w:t>
      </w:r>
    </w:p>
    <w:p>
      <w:pPr>
        <w:spacing w:after="40"/>
        <w:jc w:val="center"/>
      </w:pPr>
      <w:r>
        <w:rPr>
          <w:rFonts w:ascii="Arial" w:cs="Arial" w:eastAsia="Arial" w:hAnsi="Arial"/>
          <w:color w:val="6B5D50"/>
          <w:sz w:val="20"/>
          <w:szCs w:val="20"/>
        </w:rPr>
        <w:t xml:space="preserve">Mediatore familiare · Mediatore civile · Formatore</w:t>
      </w:r>
    </w:p>
    <w:p>
      <w:pPr>
        <w:spacing w:after="800"/>
        <w:jc w:val="center"/>
      </w:pPr>
      <w:r>
        <w:rPr>
          <w:rFonts w:ascii="Arial" w:cs="Arial" w:eastAsia="Arial" w:hAnsi="Arial"/>
          <w:color w:val="6B5D50"/>
          <w:sz w:val="20"/>
          <w:szCs w:val="20"/>
        </w:rPr>
        <w:t xml:space="preserve">Genova · olismo-integrato.it · mediaresenzaconfini.org</w:t>
      </w:r>
    </w:p>
    <w:p>
      <w:pPr>
        <w:pBdr>
          <w:top w:val="single" w:color="B89668" w:sz="6" w:space="8"/>
          <w:bottom w:val="single" w:color="B89668" w:sz="6" w:space="8"/>
        </w:pBdr>
        <w:spacing w:after="160"/>
        <w:jc w:val="center"/>
      </w:pPr>
      <w:r>
        <w:rPr>
          <w:rFonts w:ascii="Arial" w:cs="Arial" w:eastAsia="Arial" w:hAnsi="Arial"/>
          <w:b/>
          <w:bCs/>
          <w:color w:val="4A6B82"/>
          <w:sz w:val="22"/>
          <w:szCs w:val="22"/>
        </w:rPr>
        <w:t xml:space="preserve">Cornice normativa di riferimento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c>
          <w:tcPr>
            <w:tcW w:type="dxa" w:w="35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Legge 4/2013</w:t>
            </w:r>
          </w:p>
        </w:tc>
        <w:tc>
          <w:tcPr>
            <w:tcW w:type="dxa" w:w="58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Professioni non organizzate in ordini o collegi</w:t>
            </w:r>
          </w:p>
        </w:tc>
      </w:tr>
      <w:tr>
        <w:tc>
          <w:tcPr>
            <w:tcW w:type="dxa" w:w="35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D.M. 151/2023</w:t>
            </w:r>
          </w:p>
        </w:tc>
        <w:tc>
          <w:tcPr>
            <w:tcW w:type="dxa" w:w="58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Disciplina del mediatore familiare</w:t>
            </w:r>
          </w:p>
        </w:tc>
      </w:tr>
      <w:tr>
        <w:tc>
          <w:tcPr>
            <w:tcW w:type="dxa" w:w="35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UNI 11644:2025</w:t>
            </w:r>
          </w:p>
        </w:tc>
        <w:tc>
          <w:tcPr>
            <w:tcW w:type="dxa" w:w="58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Requisiti di certificazione e principi di qualificazione</w:t>
            </w:r>
          </w:p>
        </w:tc>
      </w:tr>
      <w:tr>
        <w:tc>
          <w:tcPr>
            <w:tcW w:type="dxa" w:w="35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Art. 473-bis.12 c.p.c.</w:t>
            </w:r>
          </w:p>
        </w:tc>
        <w:tc>
          <w:tcPr>
            <w:tcW w:type="dxa" w:w="58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Piano genitoriale e mediazione familiare nel rito Cartabia</w:t>
            </w:r>
          </w:p>
        </w:tc>
      </w:tr>
      <w:tr>
        <w:tc>
          <w:tcPr>
            <w:tcW w:type="dxa" w:w="35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Convenzione di Istanbul</w:t>
            </w:r>
          </w:p>
        </w:tc>
        <w:tc>
          <w:tcPr>
            <w:tcW w:type="dxa" w:w="58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Art. 48: divieto di mediazione obbligatoria in caso di violenza</w:t>
            </w:r>
          </w:p>
        </w:tc>
      </w:tr>
      <w:tr>
        <w:tc>
          <w:tcPr>
            <w:tcW w:type="dxa" w:w="35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Reg. UE 2016/679 (GDPR)</w:t>
            </w:r>
          </w:p>
        </w:tc>
        <w:tc>
          <w:tcPr>
            <w:tcW w:type="dxa" w:w="58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Trattamento dei dati personali</w:t>
            </w:r>
          </w:p>
        </w:tc>
      </w:tr>
      <w:tr>
        <w:tc>
          <w:tcPr>
            <w:tcW w:type="dxa" w:w="35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Codice deontologico A.I.Me.F.</w:t>
            </w:r>
          </w:p>
        </w:tc>
        <w:tc>
          <w:tcPr>
            <w:tcW w:type="dxa" w:w="58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Principi cardine della professione</w:t>
            </w:r>
          </w:p>
        </w:tc>
      </w:tr>
    </w:tbl>
    <w:p>
      <w:pPr>
        <w:spacing w:after="4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jc w:val="center"/>
      </w:pPr>
      <w:r>
        <w:rPr>
          <w:rFonts w:ascii="Arial" w:cs="Arial" w:eastAsia="Arial" w:hAnsi="Arial"/>
          <w:i/>
          <w:iCs/>
          <w:color w:val="6B5D50"/>
          <w:sz w:val="18"/>
          <w:szCs w:val="18"/>
        </w:rPr>
        <w:t xml:space="preserve">Documento di lavoro · Personalizzare i campi tra parentesi quadre</w:t>
      </w:r>
    </w:p>
    <w:p>
      <w:r>
        <w:br w:type="pag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B89668"/>
          <w:spacing w:val="30"/>
          <w:sz w:val="18"/>
          <w:szCs w:val="18"/>
        </w:rPr>
        <w:t xml:space="preserve">INDICE</w:t>
      </w:r>
    </w:p>
    <w:p>
      <w:pPr>
        <w:pStyle w:val="Heading1"/>
        <w:pBdr>
          <w:bottom w:val="single" w:color="B89668" w:sz="12" w:space="6"/>
        </w:pBdr>
        <w:spacing w:after="240" w:before="480"/>
      </w:pPr>
      <w:r>
        <w:rPr>
          <w:rFonts w:ascii="Arial" w:cs="Arial" w:eastAsia="Arial" w:hAnsi="Arial"/>
          <w:b/>
          <w:bCs/>
          <w:color w:val="4A6B82"/>
          <w:sz w:val="36"/>
          <w:szCs w:val="36"/>
        </w:rPr>
        <w:t xml:space="preserve">Sommario del kit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Sette documenti che coprono l'arco operativo del primo incontro: dall'invito pre-colloquio alla chiusura del verbale, includendo gli strumenti di tutela della persona e di trasparenza economica.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89668"/>
                <w:sz w:val="22"/>
                <w:szCs w:val="22"/>
              </w:rPr>
              <w:t xml:space="preserve">1</w:t>
            </w:r>
          </w:p>
        </w:tc>
        <w:tc>
          <w:tcPr>
            <w:tcW w:type="dxa" w:w="85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Informativa pre-colloquio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5D50"/>
                <w:sz w:val="19"/>
                <w:szCs w:val="19"/>
              </w:rPr>
              <w:t xml:space="preserve">Da inviare alla parte istante prima del primo incontro</w:t>
            </w:r>
          </w:p>
        </w:tc>
      </w:tr>
      <w:tr>
        <w:tc>
          <w:tcPr>
            <w:tcW w:type="dxa" w:w="8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89668"/>
                <w:sz w:val="22"/>
                <w:szCs w:val="22"/>
              </w:rPr>
              <w:t xml:space="preserve">2</w:t>
            </w:r>
          </w:p>
        </w:tc>
        <w:tc>
          <w:tcPr>
            <w:tcW w:type="dxa" w:w="85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Informativa privacy GDPR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5D50"/>
                <w:sz w:val="19"/>
                <w:szCs w:val="19"/>
              </w:rPr>
              <w:t xml:space="preserve">Art. 13 Reg. UE 2016/679 — finalità, base giuridica, conservazione</w:t>
            </w:r>
          </w:p>
        </w:tc>
      </w:tr>
      <w:tr>
        <w:tc>
          <w:tcPr>
            <w:tcW w:type="dxa" w:w="8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89668"/>
                <w:sz w:val="22"/>
                <w:szCs w:val="22"/>
              </w:rPr>
              <w:t xml:space="preserve">3</w:t>
            </w:r>
          </w:p>
        </w:tc>
        <w:tc>
          <w:tcPr>
            <w:tcW w:type="dxa" w:w="85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Consenso informato alla mediazione familiare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5D50"/>
                <w:sz w:val="19"/>
                <w:szCs w:val="19"/>
              </w:rPr>
              <w:t xml:space="preserve">Cornice del servizio, principi cardine, limiti della mediazione</w:t>
            </w:r>
          </w:p>
        </w:tc>
      </w:tr>
      <w:tr>
        <w:tc>
          <w:tcPr>
            <w:tcW w:type="dxa" w:w="8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89668"/>
                <w:sz w:val="22"/>
                <w:szCs w:val="22"/>
              </w:rPr>
              <w:t xml:space="preserve">4</w:t>
            </w:r>
          </w:p>
        </w:tc>
        <w:tc>
          <w:tcPr>
            <w:tcW w:type="dxa" w:w="85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Accordo di partecipazione volontaria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5D50"/>
                <w:sz w:val="19"/>
                <w:szCs w:val="19"/>
              </w:rPr>
              <w:t xml:space="preserve">Cornice operativa: sede, calendario, riservatezza condivisa</w:t>
            </w:r>
          </w:p>
        </w:tc>
      </w:tr>
      <w:tr>
        <w:tc>
          <w:tcPr>
            <w:tcW w:type="dxa" w:w="8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89668"/>
                <w:sz w:val="22"/>
                <w:szCs w:val="22"/>
              </w:rPr>
              <w:t xml:space="preserve">5</w:t>
            </w:r>
          </w:p>
        </w:tc>
        <w:tc>
          <w:tcPr>
            <w:tcW w:type="dxa" w:w="85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Pattuizione economica e parametri tariffari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5D50"/>
                <w:sz w:val="19"/>
                <w:szCs w:val="19"/>
              </w:rPr>
              <w:t xml:space="preserve">Conforme al motore di calcolo del portale</w:t>
            </w:r>
          </w:p>
        </w:tc>
      </w:tr>
      <w:tr>
        <w:tc>
          <w:tcPr>
            <w:tcW w:type="dxa" w:w="8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89668"/>
                <w:sz w:val="22"/>
                <w:szCs w:val="22"/>
              </w:rPr>
              <w:t xml:space="preserve">6</w:t>
            </w:r>
          </w:p>
        </w:tc>
        <w:tc>
          <w:tcPr>
            <w:tcW w:type="dxa" w:w="85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Verbale del primo incontro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5D50"/>
                <w:sz w:val="19"/>
                <w:szCs w:val="19"/>
              </w:rPr>
              <w:t xml:space="preserve">Documento ufficiale ad uso interno e probatorio</w:t>
            </w:r>
          </w:p>
        </w:tc>
      </w:tr>
      <w:tr>
        <w:tc>
          <w:tcPr>
            <w:tcW w:type="dxa" w:w="80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B89668"/>
                <w:sz w:val="22"/>
                <w:szCs w:val="22"/>
              </w:rPr>
              <w:t xml:space="preserve">7</w:t>
            </w:r>
          </w:p>
        </w:tc>
        <w:tc>
          <w:tcPr>
            <w:tcW w:type="dxa" w:w="856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Griglia interna di rilevazione segnali violenza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/>
                <w:iCs/>
                <w:color w:val="6B5D50"/>
                <w:sz w:val="19"/>
                <w:szCs w:val="19"/>
              </w:rPr>
              <w:t xml:space="preserve">Strumento di lavoro del mediatore — non si consegna alle parti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B89668"/>
          <w:spacing w:val="30"/>
          <w:sz w:val="18"/>
          <w:szCs w:val="18"/>
        </w:rPr>
        <w:t xml:space="preserve">DOCUMENTO 1</w:t>
      </w:r>
    </w:p>
    <w:p>
      <w:pPr>
        <w:pStyle w:val="Heading1"/>
        <w:pBdr>
          <w:bottom w:val="single" w:color="B89668" w:sz="12" w:space="6"/>
        </w:pBdr>
        <w:spacing w:after="240" w:before="480"/>
      </w:pPr>
      <w:r>
        <w:rPr>
          <w:rFonts w:ascii="Arial" w:cs="Arial" w:eastAsia="Arial" w:hAnsi="Arial"/>
          <w:b/>
          <w:bCs/>
          <w:color w:val="4A6B82"/>
          <w:sz w:val="36"/>
          <w:szCs w:val="36"/>
        </w:rPr>
        <w:t xml:space="preserve">Informativa pre-colloquio</w:t>
      </w:r>
    </w:p>
    <w:p>
      <w:pPr>
        <w:pBdr>
          <w:left w:val="single" w:color="B89668" w:sz="12" w:space="12"/>
        </w:pBdr>
        <w:spacing w:after="120" w:before="80" w:line="260"/>
        <w:ind w:left="36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Da inviare alla parte istante via e-mail o consegnare a mano almeno tre giorni prima del primo incontro. Aiuta la persona ad arrivare informata, riduce l'ansia, prepara il consenso informato.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Gentile Signora, gentile Signore,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la ringrazio per avermi contattato. Le scrivo qualche riga per accompagnarLa al primo incontro di mediazione familiare e per sciogliere alcuni dubbi che è normale avere a questo punto del percorso.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Cos'è la mediazione familiare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La mediazione familiare è un percorso volontario nel quale un professionista terzo, imparziale e indipendente — il mediatore familiare — accompagna due persone in conflitto a costruire intese che riguardano i figli, l'organizzazione della vita quotidiana e gli aspetti economici della separazione.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Il mediatore non è un giudice, non decide; non è un avvocato, non difende; non è uno psicologo, non cura. Aiuta a parlarsi e a scegliere insieme, restituendo alle persone il governo della propria vita.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La cornice giuridica essenziale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Legge 4/2013 sulle professioni non organizzate in ordini o collegi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D.M. 151/2023 sulla disciplina del mediatore familiare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UNI 11644:2025 — norma tecnica sui requisiti di certificazione e qualificazione, in vigore dal 13 febbraio 2025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Art. 473-bis.12 c.p.c. — il piano genitoriale e la mediazione familiare nel nuovo rito famiglia introdotto dalla Riforma Cartabia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Convenzione di Istanbul, art. 48 — la mediazione non è praticabile in presenza di violenza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Il primo incontro: dove, quando, come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Sede dell'incontro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[indirizzo studio o link videoconferenza]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Data e ora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[gg/mm/aaaa  ore hh:mm]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Durata orientativa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60-90 minuti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Modalità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in presenza · da remoto · ibrida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Cosa portare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Documento di identità in corso di validità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Codice fiscale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Eventuale informativa che le sia stata consegnata da un avvocato o da un giudice (provvedimento ex art. 473-bis.10 c.p.c., delega del giudice)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Una breve nota scritta — anche solo qualche riga — su cosa si aspetta dall'incontro: aiuta a focalizzare il tempo che abbiamo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Cosa portare, ma con prudenza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Documenti economici (estratti conto, buste paga, dichiarazioni dei redditi) li valuteremo insieme se e quando il percorso lo richiederà; non occorre portarli al primo incontro.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Cosa NON fa il mediatore familiare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Non dà consigli legali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— per quelli serve un avvocato.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Non fa diagnosi né terapia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— per quelle servono uno psicologo o uno psicoterapeuta.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Non decide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— le decisioni restano sempre delle parti.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Non testimonia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— ciò che si dice in mediazione resta in mediazione, salvi i casi tassativi previsti dalla legge.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Costi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Al primo incontro Le verrà consegnato il documento di pattuizione economica con il dettaglio dei costi per parte e per incontro, conforme alla disciplina del portale e alle Sue facoltà di regolazione (rateizzazione, eventuale gratuità nei casi previsti dalla legge).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Domande frequenti</w:t>
      </w:r>
    </w:p>
    <w:p>
      <w:pPr>
        <w:spacing w:after="120" w:before="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Devo venire con il mio avvocato?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No, non è obbligatorio al primo incontro. Se il percorso prosegue, è buona prassi che ciascuna parte si confronti con il proprio avvocato di fiducia prima di sottoscrivere accordi.</w:t>
      </w:r>
    </w:p>
    <w:p>
      <w:pPr>
        <w:spacing w:after="120" w:before="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Posso ritirarmi se cambio idea?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Sì, in qualsiasi momento. La volontarietà è uno dei principi cardine della mediazione.</w:t>
      </w:r>
    </w:p>
    <w:p>
      <w:pPr>
        <w:spacing w:after="120" w:before="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Quante sedute servono?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Dipende dalle questioni in gioco. La media è di 6-10 incontri, ma alcune coppie chiudono in tre sedute, altre necessitano di più tempo.</w:t>
      </w:r>
    </w:p>
    <w:p>
      <w:pPr>
        <w:spacing w:after="120" w:before="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L'altra parte sa che le ho scritto?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No, salvo che Lei me lo abbia chiesto. Il primo contatto resta riservato fino a quando l'altra parte non aderisce al percorso.</w:t>
      </w:r>
    </w:p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 w:line="280"/>
      </w:pPr>
      <w:r>
        <w:rPr>
          <w:rFonts w:ascii="Arial" w:cs="Arial" w:eastAsia="Arial" w:hAnsi="Arial"/>
          <w:i/>
          <w:iCs/>
          <w:color w:val="2A2520"/>
          <w:sz w:val="22"/>
          <w:szCs w:val="22"/>
        </w:rPr>
        <w:t xml:space="preserve">Resto a disposizione per qualsiasi chiarimento. La aspetto.</w:t>
      </w:r>
    </w:p>
    <w:p>
      <w:pPr>
        <w:spacing w:after="2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 w:line="280"/>
      </w:pPr>
      <w:r>
        <w:rPr>
          <w:rFonts w:ascii="Arial" w:cs="Arial" w:eastAsia="Arial" w:hAnsi="Arial"/>
          <w:b/>
          <w:bCs/>
          <w:color w:val="4A6B82"/>
          <w:sz w:val="22"/>
          <w:szCs w:val="22"/>
        </w:rPr>
        <w:t xml:space="preserve">Avv. Carlo Alberto Calcagno</w:t>
      </w:r>
    </w:p>
    <w:p>
      <w:pPr>
        <w:spacing w:after="120" w:before="0" w:line="28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Mediatore familiare</w:t>
      </w:r>
    </w:p>
    <w:p>
      <w:r>
        <w:br w:type="pag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B89668"/>
          <w:spacing w:val="30"/>
          <w:sz w:val="18"/>
          <w:szCs w:val="18"/>
        </w:rPr>
        <w:t xml:space="preserve">DOCUMENTO 2</w:t>
      </w:r>
    </w:p>
    <w:p>
      <w:pPr>
        <w:pStyle w:val="Heading1"/>
        <w:pBdr>
          <w:bottom w:val="single" w:color="B89668" w:sz="12" w:space="6"/>
        </w:pBdr>
        <w:spacing w:after="240" w:before="480"/>
      </w:pPr>
      <w:r>
        <w:rPr>
          <w:rFonts w:ascii="Arial" w:cs="Arial" w:eastAsia="Arial" w:hAnsi="Arial"/>
          <w:b/>
          <w:bCs/>
          <w:color w:val="4A6B82"/>
          <w:sz w:val="36"/>
          <w:szCs w:val="36"/>
        </w:rPr>
        <w:t xml:space="preserve">Informativa privacy</w:t>
      </w:r>
    </w:p>
    <w:p>
      <w:pPr>
        <w:spacing w:after="120" w:before="0" w:line="28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Ai sensi dell'art. 13 Reg. UE 2016/679 (GDPR) e del D.Lgs. 196/2003 come novellato dal D.Lgs. 101/2018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1. Titolare del trattamento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Avv. Carlo Alberto Calcagno, mediatore familiare, con studio in [indirizzo studio], Genova. Contatti: [e-mail], [telefono]. PEC: [pec].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2. Dati personali oggetto del trattamento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Nell'ambito del servizio di mediazione familiare il titolare tratta: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Dati anagrafici e identificativi: nome, cognome, luogo e data di nascita, codice fiscale, residenza, recapiti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Dati relativi alla situazione familiare: stato civile, composizione del nucleo, presenza di figli e relativi dati anagrafici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Dati di contesto della controversia: comunicati liberamente dalle parti per la finalità del servizio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Eventuali dati relativi alla salute, all'orientamento e alla vita privata (categorie particolari ex art. 9 GDPR), ove conferiti dall'interessato e strettamente necessari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3. Finalità e base giuridica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Esecuzione del contratto di servizio professionale di mediazione familiare — base giuridica: art. 6 par. 1 lett. b GDPR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Adempimento di obblighi di legge fiscali, contabili e di tenuta della documentazione professionale — base giuridica: art. 6 par. 1 lett. c GDPR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Trattamento di categorie particolari di dati ex art. 9 GDPR — base giuridica: consenso esplicito dell'interessato e necessità per esercitare l'attività professionale di mediazione familiare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4. Modalità del trattamento e riservatezza specifica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 dati sono trattati con strumenti cartacei e informatici, con misure di sicurezza idonee a preservarne riservatezza, integrità e disponibilità. Tutto ciò che è detto, scritto o esibito durante le sedute è coperto da riservatezza specifica della procedura di mediazione, oltre che dalle norme generali sulla privacy.</w:t>
      </w:r>
    </w:p>
    <w:p>
      <w:pPr>
        <w:pBdr>
          <w:left w:val="single" w:color="B89668" w:sz="12" w:space="12"/>
        </w:pBdr>
        <w:spacing w:after="120" w:before="80" w:line="260"/>
        <w:ind w:left="36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La riservatezza ha limiti tassativi: ipotesi di pregiudizio per minori, segnalazioni dovute per legge, esigenze di tutela in caso di violenza. Questi limiti sono dettagliati nel documento 3 (Consenso informato).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5. Tempi di conservazione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 dati sono conservati per il tempo strettamente necessario alle finalità per cui sono stati raccolti e, comunque: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Per il fascicolo professionale: dieci anni dalla chiusura del percorso (art. 2946 c.c. e obblighi professionali)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Per la documentazione fiscale e contabile: dieci anni (art. 2220 c.c.)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Per le categorie particolari di dati: limitatamente al periodo del percorso, salvo successivo consenso espresso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6. Comunicazione e trasferimento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 dati non sono diffusi né trasferiti a terzi, salvi i casi di adempimento di obblighi di legge. Possono essere trattati da incaricati del titolare (es. consulenti contabili) tenuti agli stessi obblighi di riservatezza. Nessun trasferimento extra-UE è previsto.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7. Diritti dell'interessato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Ai sensi degli artt. 15-22 GDPR Lei ha il diritto di chiedere al titolare: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Accesso ai propri dati e copia degli stessi (art. 15)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Rettifica dei dati inesatti o integrazione di quelli incompleti (art. 16)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Cancellazione, nei casi previsti dalla legge (art. 17)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Limitazione del trattamento (art. 18)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Portabilità dei dati (art. 20)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Opposizione al trattamento (art. 21)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Reclamo all'Autorità Garante per la Protezione dei Dati Personali — Piazza Venezia 11, 00187 Roma — www.garanteprivacy.it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8. Conferimento dei dati e conseguenze del rifiuto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Il conferimento dei dati anagrafici è necessario per l'erogazione del servizio: il rifiuto comporta l'impossibilità di avviare la mediazione. Il conferimento dei dati di contesto e delle eventuali categorie particolari è facoltativo e oggetto di consenso esplicito.</w:t>
      </w:r>
    </w:p>
    <w:p>
      <w:pPr>
        <w:spacing w:after="2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Dichiarazione di presa visione e consenso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Il/La sottoscritto/a, presa visione dell'informativa che precede:</w:t>
      </w:r>
    </w:p>
    <w:p>
      <w:pPr>
        <w:spacing w:after="1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Cognome e nome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Luogo e data di nascita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Codice fiscale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0" w:line="280"/>
            </w:pPr>
            <w:r>
              <w:rPr>
                <w:rFonts w:ascii="Arial" w:cs="Arial" w:eastAsia="Arial" w:hAnsi="Arial"/>
                <w:color w:val="2A2520"/>
                <w:sz w:val="22"/>
                <w:szCs w:val="22"/>
              </w:rPr>
              <w:t xml:space="preserve">Trattamento dei dati per le finalità del servizio di mediazione (art. 6 GDPR)</w:t>
            </w:r>
          </w:p>
          <w:p>
            <w:pPr>
              <w:spacing w:after="120" w:before="0" w:line="28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☐ Acconsento     ☐ Non acconsento</w:t>
            </w:r>
          </w:p>
        </w:tc>
        <w:tc>
          <w:tcPr>
            <w:tcW w:type="dxa" w:w="468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0" w:line="280"/>
            </w:pPr>
            <w:r>
              <w:rPr>
                <w:rFonts w:ascii="Arial" w:cs="Arial" w:eastAsia="Arial" w:hAnsi="Arial"/>
                <w:color w:val="2A2520"/>
                <w:sz w:val="22"/>
                <w:szCs w:val="22"/>
              </w:rPr>
              <w:t xml:space="preserve">Trattamento di categorie particolari di dati ex art. 9 GDPR (salute, orientamento, vita privata) ove necessario</w:t>
            </w:r>
          </w:p>
          <w:p>
            <w:pPr>
              <w:spacing w:after="120" w:before="0" w:line="28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☐ Acconsento     ☐ Non acconsento</w:t>
            </w:r>
          </w:p>
        </w:tc>
      </w:tr>
    </w:tbl>
    <w:p>
      <w:pPr>
        <w:spacing w:after="2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12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 w:line="280"/>
            </w:pPr>
            <w:r>
              <w:rPr>
                <w:rFonts w:ascii="Arial" w:cs="Arial" w:eastAsia="Arial" w:hAnsi="Arial"/>
                <w:color w:val="2A2520"/>
                <w:sz w:val="22"/>
                <w:szCs w:val="22"/>
              </w:rPr>
              <w:t xml:space="preserve">Genova, lì _________________________</w:t>
            </w:r>
          </w:p>
        </w:tc>
        <w:tc>
          <w:tcPr>
            <w:tcW w:type="dxa" w:w="62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 w:before="0" w:line="280"/>
            </w:pPr>
            <w:r>
              <w:rPr>
                <w:rFonts w:ascii="Arial" w:cs="Arial" w:eastAsia="Arial" w:hAnsi="Arial"/>
                <w:color w:val="2A2520"/>
                <w:sz w:val="22"/>
                <w:szCs w:val="22"/>
              </w:rPr>
              <w:t xml:space="preserve">Firma _____________________________________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B89668"/>
          <w:spacing w:val="30"/>
          <w:sz w:val="18"/>
          <w:szCs w:val="18"/>
        </w:rPr>
        <w:t xml:space="preserve">DOCUMENTO 3</w:t>
      </w:r>
    </w:p>
    <w:p>
      <w:pPr>
        <w:pStyle w:val="Heading1"/>
        <w:pBdr>
          <w:bottom w:val="single" w:color="B89668" w:sz="12" w:space="6"/>
        </w:pBdr>
        <w:spacing w:after="240" w:before="480"/>
      </w:pPr>
      <w:r>
        <w:rPr>
          <w:rFonts w:ascii="Arial" w:cs="Arial" w:eastAsia="Arial" w:hAnsi="Arial"/>
          <w:b/>
          <w:bCs/>
          <w:color w:val="4A6B82"/>
          <w:sz w:val="36"/>
          <w:szCs w:val="36"/>
        </w:rPr>
        <w:t xml:space="preserve">Consenso informato alla mediazione familiare</w:t>
      </w:r>
    </w:p>
    <w:p>
      <w:pPr>
        <w:spacing w:after="120" w:before="0" w:line="28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Conforme al D.M. 151/2023, alla UNI 11644:2025 e al codice deontologico A.I.Me.F.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1. Definizione del servizio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La mediazione familiare è un percorso volontario di accompagnamento delle parti nel quale un professionista terzo, imparziale e indipendente — il mediatore familiare — agevola la comunicazione e la negoziazione fra persone unite o un tempo unite da legami affettivi e/o genitoriali, in vista della costruzione di intese che riguardano l'organizzazione della vita personale, familiare ed economica delle parti e dei figli.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2. Principi cardine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Volontarietà — l'adesione al percorso è libera e revocabile in qualsiasi momento, senza obbligo di motivazione e senza conseguenze pregiudizievoli per la parte che si ritira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Imparzialità — il mediatore non favorisce alcuna delle parti, non assume né esprime giudizi sui comportamenti dichiarati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Neutralità rispetto al contenuto — il mediatore non ha un esito predefinito da raggiungere; sono le parti a decidere il contenuto degli accordi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Indipendenza — il mediatore non ha legami che possano comprometterne il ruolo; dichiara per iscritto eventuali rapporti pregressi con le parti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Riservatezza — quanto detto, scritto o esibito in mediazione resta in mediazione, salvi i limiti tassativi indicati al paragrafo 4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Autodeterminazione — le decisioni sono e restano delle parti; il mediatore non propone soluzioni se non in casi eccezionali e con il consenso di entrambe</w:t>
      </w:r>
    </w:p>
    <w:p>
      <w:pPr>
        <w:pStyle w:val="ListParagraph"/>
        <w:numPr>
          <w:ilvl w:val="0"/>
          <w:numId w:val="3"/>
        </w:numPr>
        <w:spacing w:after="10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Tutela dei figli — la mediazione tiene al centro l'interesse e i diritti dei figli minori, ascoltandone la voce, ove compatibile con la loro età e con la situazione, secondo l'art. 473-bis.4 c.p.c.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3. Cosa fa e cosa NON fa il mediatore familiare</w:t>
      </w:r>
    </w:p>
    <w:p>
      <w:pPr>
        <w:spacing w:after="120" w:before="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Il mediatore familiare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agevola la comunicazione, struttura le sedute, aiuta a generare opzioni, accompagna alla redazione di un piano genitoriale e di intese economiche. Documenta gli incontri con verbali essenziali.</w:t>
      </w:r>
    </w:p>
    <w:p>
      <w:pPr>
        <w:spacing w:after="120" w:before="0" w:line="280"/>
      </w:pPr>
      <w:r>
        <w:rPr>
          <w:rFonts w:ascii="Arial" w:cs="Arial" w:eastAsia="Arial" w:hAnsi="Arial"/>
          <w:b/>
          <w:bCs/>
          <w:color w:val="4A6B82"/>
          <w:sz w:val="22"/>
          <w:szCs w:val="22"/>
        </w:rPr>
        <w:t xml:space="preserve">Il mediatore familiare NON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è giudice, non è avvocato, non è psicologo né psicoterapeuta. Non dà pareri legali, non redige atti giudiziari, non fa diagnosi né terapia, non testimonia né rilascia attestazioni utilizzabili in giudizio salvi i casi tassativi previsti dalla legge.</w:t>
      </w:r>
    </w:p>
    <w:p>
      <w:pPr>
        <w:pBdr>
          <w:left w:val="single" w:color="B89668" w:sz="12" w:space="12"/>
        </w:pBdr>
        <w:spacing w:after="120" w:before="80" w:line="260"/>
        <w:ind w:left="36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Il mediatore familiare opera in distinzione netta da figure affini (counselor, psicologo, coordinatore genitoriale, conduttore di gruppi di parola, mediatore civile/commerciale). Per approfondimenti: capitolo 2 del manuale «Leggere la persona, accompagnare il conflitto».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4. Riservatezza: regola e limiti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Tutto ciò che viene detto, scritto o esibito durante le sedute è coperto da riservatezza, sia tra le parti rispetto a terzi sia, salvo diversa intesa, fra le parti stesse nel rapporto con il giudizio successivo. Il mediatore non testimonia su quanto appreso in mediazione.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La riservatezza incontra i seguenti limiti tassativi: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Pregiudizio per minori — quando emergano elementi che facciano ragionevolmente ritenere un pregiudizio attuale e grave per un figlio minore, il mediatore segnala alle autorità competenti, dopo averne informato le parti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Obblighi di segnalazione previsti dalla legge per fattispecie penali specifiche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Tutela in presenza di violenza — vedere il paragrafo successivo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5. Divieto di mediazione in presenza di violenza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La mediazione familiare </w:t>
      </w:r>
      <w:r>
        <w:rPr>
          <w:rFonts w:ascii="Arial" w:cs="Arial" w:eastAsia="Arial" w:hAnsi="Arial"/>
          <w:b/>
          <w:bCs/>
          <w:color w:val="4A6B82"/>
          <w:sz w:val="22"/>
          <w:szCs w:val="22"/>
        </w:rPr>
        <w:t xml:space="preserve">NON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è praticabile in presenza di violenza domestica, controllo coercitivo o squilibri gravi di potere fra le parti.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Il fondamento normativo è triplice: l'art. 48 della Convenzione di Istanbul (L. 77/2013), l'art. 473-bis.46 c.p.c. introdotto dal D.Lgs. 149/2022 (Riforma Cartabia) e i protocolli professionali del mediatore familiare. La Direttiva (UE) 2024/1385 sulla violenza contro le donne e la violenza domestica, di prossimo recepimento (entro il 14 giugno 2027), rafforza ulteriormente questa cornice.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In presenza di tali elementi, il mediatore non avvia o sospende il percorso e orienta la persona alle reti specializzate: 1522 (numero antiviolenza nazionale), Centri Antiviolenza della rete D.i.Re, patrocinio a spese dello Stato senza limiti di reddito (art. 76 D.P.R. 115/2002, come modificato dal Codice Rosso, L. 69/2019), 112 in caso di pericolo immediato.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6. Esito del percorso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Le intese conclusive — in materia di figli, casa familiare, mantenimento, organizzazione della vita quotidiana — possono essere portate dalle parti, con i rispettivi avvocati, dinanzi all'autorità giudiziaria per la formalizzazione (omologazione di separazione/divorzio, accordo di negoziazione assistita, ricorso congiunto ex art. 473-bis.51 c.p.c.). La mediazione familiare di per sé non produce un titolo direttamente esecutivo.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7. Diritto di ritiro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Ciascuna parte può ritirarsi dal percorso in qualsiasi momento, senza obbligo di motivazione. Il mediatore stesso, se rileva l'impraticabilità del percorso o un proprio difetto di neutralità sopravvenuto, sospende o chiude la mediazione, dandone conto a verbale in forma essenziale.</w:t>
      </w:r>
    </w:p>
    <w:p>
      <w:pPr>
        <w:spacing w:after="2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Dichiarazione di consenso informato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Il/La sottoscritto/a, letta e compresa l'informativa che precede, dichiara di avere ricevuto chiarimenti su ogni punto, di aver compreso natura, principi, limiti ed effetti della mediazione familiare, e: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 w:line="280"/>
      </w:pPr>
      <w:r>
        <w:rPr>
          <w:rFonts w:ascii="Arial" w:cs="Arial" w:eastAsia="Arial" w:hAnsi="Arial"/>
          <w:b/>
          <w:bCs/>
          <w:color w:val="2A2520"/>
          <w:sz w:val="24"/>
          <w:szCs w:val="24"/>
        </w:rPr>
        <w:t xml:space="preserve">☐  ACCETTO 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di partecipare al percorso di mediazione familiare alle condizioni esposte.</w:t>
      </w:r>
    </w:p>
    <w:p>
      <w:pPr>
        <w:spacing w:after="120" w:before="0" w:line="280"/>
      </w:pPr>
      <w:r>
        <w:rPr>
          <w:rFonts w:ascii="Arial" w:cs="Arial" w:eastAsia="Arial" w:hAnsi="Arial"/>
          <w:b/>
          <w:bCs/>
          <w:color w:val="4A6B82"/>
          <w:sz w:val="24"/>
          <w:szCs w:val="24"/>
        </w:rPr>
        <w:t xml:space="preserve">☐  NON ACCETTO  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di partecipare al percorso di mediazione familiare.</w:t>
      </w:r>
    </w:p>
    <w:p>
      <w:pPr>
        <w:spacing w:after="32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0" w:line="280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Parte A</w:t>
            </w:r>
          </w:p>
          <w:p>
            <w:pPr>
              <w:pBdr>
                <w:bottom w:val="dotted" w:color="C9BFA8" w:sz="4" w:space="4"/>
              </w:pBdr>
              <w:tabs>
                <w:tab w:val="right" w:pos="9026"/>
              </w:tabs>
              <w:spacing w:after="60" w:before="60" w:line="28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Cognome e nome  </w:t>
            </w:r>
            <w:r>
              <w:rPr>
                <w:rFonts w:ascii="Arial" w:cs="Arial" w:eastAsia="Arial" w:hAnsi="Arial"/>
                <w:i/>
                <w:iCs/>
                <w:color w:val="6B5D50"/>
                <w:sz w:val="20"/>
                <w:szCs w:val="20"/>
              </w:rPr>
              <w:t xml:space="preserve"/>
            </w:r>
          </w:p>
          <w:p>
            <w:pPr>
              <w:pBdr>
                <w:bottom w:val="dotted" w:color="C9BFA8" w:sz="4" w:space="4"/>
              </w:pBdr>
              <w:tabs>
                <w:tab w:val="right" w:pos="9026"/>
              </w:tabs>
              <w:spacing w:after="60" w:before="60" w:line="28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Luogo e data di nascita  </w:t>
            </w:r>
            <w:r>
              <w:rPr>
                <w:rFonts w:ascii="Arial" w:cs="Arial" w:eastAsia="Arial" w:hAnsi="Arial"/>
                <w:i/>
                <w:iCs/>
                <w:color w:val="6B5D50"/>
                <w:sz w:val="20"/>
                <w:szCs w:val="20"/>
              </w:rPr>
              <w:t xml:space="preserve"/>
            </w:r>
          </w:p>
          <w:p>
            <w:pPr>
              <w:pBdr>
                <w:bottom w:val="dotted" w:color="C9BFA8" w:sz="4" w:space="4"/>
              </w:pBdr>
              <w:tabs>
                <w:tab w:val="right" w:pos="9026"/>
              </w:tabs>
              <w:spacing w:after="60" w:before="60" w:line="28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Codice fiscale  </w:t>
            </w:r>
            <w:r>
              <w:rPr>
                <w:rFonts w:ascii="Arial" w:cs="Arial" w:eastAsia="Arial" w:hAnsi="Arial"/>
                <w:i/>
                <w:iCs/>
                <w:color w:val="6B5D50"/>
                <w:sz w:val="20"/>
                <w:szCs w:val="20"/>
              </w:rPr>
              <w:t xml:space="preserve"/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280" w:before="0" w:line="280"/>
            </w:pPr>
            <w:r>
              <w:rPr>
                <w:rFonts w:ascii="Arial" w:cs="Arial" w:eastAsia="Arial" w:hAnsi="Arial"/>
                <w:color w:val="2A2520"/>
                <w:sz w:val="22"/>
                <w:szCs w:val="22"/>
              </w:rPr>
              <w:t xml:space="preserve">Genova, lì _____________________</w:t>
            </w:r>
          </w:p>
          <w:p>
            <w:pPr>
              <w:pBdr>
                <w:top w:val="single" w:color="2A2520" w:sz="6" w:space="6"/>
              </w:pBdr>
              <w:spacing w:after="40" w:before="28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Firma</w:t>
            </w:r>
          </w:p>
        </w:tc>
        <w:tc>
          <w:tcPr>
            <w:tcW w:type="dxa" w:w="468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 w:before="0" w:line="280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Parte B</w:t>
            </w:r>
          </w:p>
          <w:p>
            <w:pPr>
              <w:pBdr>
                <w:bottom w:val="dotted" w:color="C9BFA8" w:sz="4" w:space="4"/>
              </w:pBdr>
              <w:tabs>
                <w:tab w:val="right" w:pos="9026"/>
              </w:tabs>
              <w:spacing w:after="60" w:before="60" w:line="28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Cognome e nome  </w:t>
            </w:r>
            <w:r>
              <w:rPr>
                <w:rFonts w:ascii="Arial" w:cs="Arial" w:eastAsia="Arial" w:hAnsi="Arial"/>
                <w:i/>
                <w:iCs/>
                <w:color w:val="6B5D50"/>
                <w:sz w:val="20"/>
                <w:szCs w:val="20"/>
              </w:rPr>
              <w:t xml:space="preserve"/>
            </w:r>
          </w:p>
          <w:p>
            <w:pPr>
              <w:pBdr>
                <w:bottom w:val="dotted" w:color="C9BFA8" w:sz="4" w:space="4"/>
              </w:pBdr>
              <w:tabs>
                <w:tab w:val="right" w:pos="9026"/>
              </w:tabs>
              <w:spacing w:after="60" w:before="60" w:line="28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Luogo e data di nascita  </w:t>
            </w:r>
            <w:r>
              <w:rPr>
                <w:rFonts w:ascii="Arial" w:cs="Arial" w:eastAsia="Arial" w:hAnsi="Arial"/>
                <w:i/>
                <w:iCs/>
                <w:color w:val="6B5D50"/>
                <w:sz w:val="20"/>
                <w:szCs w:val="20"/>
              </w:rPr>
              <w:t xml:space="preserve"/>
            </w:r>
          </w:p>
          <w:p>
            <w:pPr>
              <w:pBdr>
                <w:bottom w:val="dotted" w:color="C9BFA8" w:sz="4" w:space="4"/>
              </w:pBdr>
              <w:tabs>
                <w:tab w:val="right" w:pos="9026"/>
              </w:tabs>
              <w:spacing w:after="60" w:before="60" w:line="280"/>
            </w:pPr>
            <w:r>
              <w:rPr>
                <w:rFonts w:ascii="Arial" w:cs="Arial" w:eastAsia="Arial" w:hAnsi="Arial"/>
                <w:b/>
                <w:bCs/>
                <w:color w:val="2A2520"/>
                <w:sz w:val="22"/>
                <w:szCs w:val="22"/>
              </w:rPr>
              <w:t xml:space="preserve">Codice fiscale  </w:t>
            </w:r>
            <w:r>
              <w:rPr>
                <w:rFonts w:ascii="Arial" w:cs="Arial" w:eastAsia="Arial" w:hAnsi="Arial"/>
                <w:i/>
                <w:iCs/>
                <w:color w:val="6B5D50"/>
                <w:sz w:val="20"/>
                <w:szCs w:val="20"/>
              </w:rPr>
              <w:t xml:space="preserve"/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spacing w:after="280" w:before="0" w:line="280"/>
            </w:pPr>
            <w:r>
              <w:rPr>
                <w:rFonts w:ascii="Arial" w:cs="Arial" w:eastAsia="Arial" w:hAnsi="Arial"/>
                <w:color w:val="2A2520"/>
                <w:sz w:val="22"/>
                <w:szCs w:val="22"/>
              </w:rPr>
              <w:t xml:space="preserve">Genova, lì _____________________</w:t>
            </w:r>
          </w:p>
          <w:p>
            <w:pPr>
              <w:pBdr>
                <w:top w:val="single" w:color="2A2520" w:sz="6" w:space="6"/>
              </w:pBdr>
              <w:spacing w:after="40" w:before="28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Firma</w:t>
            </w:r>
          </w:p>
        </w:tc>
      </w:tr>
    </w:tbl>
    <w:p>
      <w:pPr>
        <w:spacing w:after="20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 w:line="280"/>
      </w:pPr>
      <w:r>
        <w:rPr>
          <w:rFonts w:ascii="Arial" w:cs="Arial" w:eastAsia="Arial" w:hAnsi="Arial"/>
          <w:b/>
          <w:bCs/>
          <w:color w:val="4A6B82"/>
          <w:sz w:val="22"/>
          <w:szCs w:val="22"/>
        </w:rPr>
        <w:t xml:space="preserve">Per il mediatore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Avv. Carlo Alberto Calcagno · iscritto a [associazione/registro] n. [____]</w:t>
      </w:r>
    </w:p>
    <w:p>
      <w:pPr>
        <w:spacing w:after="2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top w:val="single" w:color="2A2520" w:sz="6" w:space="6"/>
        </w:pBdr>
        <w:spacing w:after="40" w:before="280"/>
      </w:pPr>
      <w:r>
        <w:rPr>
          <w:rFonts w:ascii="Arial" w:cs="Arial" w:eastAsia="Arial" w:hAnsi="Arial"/>
          <w:color w:val="2A2520"/>
          <w:sz w:val="20"/>
          <w:szCs w:val="20"/>
        </w:rPr>
        <w:t xml:space="preserve">Firma del mediatore</w:t>
      </w:r>
    </w:p>
    <w:p>
      <w:r>
        <w:br w:type="pag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B89668"/>
          <w:spacing w:val="30"/>
          <w:sz w:val="18"/>
          <w:szCs w:val="18"/>
        </w:rPr>
        <w:t xml:space="preserve">DOCUMENTO 4</w:t>
      </w:r>
    </w:p>
    <w:p>
      <w:pPr>
        <w:pStyle w:val="Heading1"/>
        <w:pBdr>
          <w:bottom w:val="single" w:color="B89668" w:sz="12" w:space="6"/>
        </w:pBdr>
        <w:spacing w:after="240" w:before="480"/>
      </w:pPr>
      <w:r>
        <w:rPr>
          <w:rFonts w:ascii="Arial" w:cs="Arial" w:eastAsia="Arial" w:hAnsi="Arial"/>
          <w:b/>
          <w:bCs/>
          <w:color w:val="4A6B82"/>
          <w:sz w:val="36"/>
          <w:szCs w:val="36"/>
        </w:rPr>
        <w:t xml:space="preserve">Accordo di partecipazione volontaria</w:t>
      </w:r>
    </w:p>
    <w:p>
      <w:pPr>
        <w:spacing w:after="120" w:before="0" w:line="28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Cornice operativa del percorso · da firmare al primo incontro o al secondo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Tra le parti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Parte A — Cognome e nome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Parte B — Cognome e nome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Con il mediatore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Mediatore designato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Avv. Carlo Alberto Calcagno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le parti, premesso di avere preso visione e firmato l'informativa privacy (doc. 2) e il consenso informato (doc. 3), convengono quanto segue: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1. Oggetto del percorso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Il percorso di mediazione familiare ha per oggetto la costruzione di intese in materia di: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Affidamento, collocazione e tempi di permanenza dei figli minori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Piano genitoriale ex art. 473-bis.12 c.p.c.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Casa familiare, beni mobili, organizzazione della vita quotidiana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Aspetti economici (mantenimento, contribuzione alle spese, gestione patrimoniale)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Comunicazione e gestione del conflitto fra le parti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Altro: ______________________________________________________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2. Modalità e calendario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Sede ordinaria degli incontri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Modalità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☐ in presenza   ☐ da remoto   ☐ ibrida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Durata di ciascun incontro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60 minuti — salvo diverso accordo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Cadenza orientativa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ogni [____] settimane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Numero indicativo di incontri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6 — 10 (rivedibile)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3. Comportamento in seduta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Parlare uno alla volta, non interrompersi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Rispetto reciproco — niente offese, intimidazioni, pressioni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Cellulari spenti o silenziati; non si registra né si trasmette nulla all'esterno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Puntualità — un ritardo superiore ai 20 minuti senza preavviso fa decadere la seduta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Sospensione temporanea: ciascuno può chiedere una pausa breve, sempre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4. Riservatezza condivisa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Quanto emerge in seduta non sarà riferito a terzi, salvo necessità condivise (es. comunicazione ai rispettivi avvocati). Le parti si impegnano reciprocamente a non utilizzare nei procedimenti giudiziali pendenti o futuri quanto detto, scritto o esibito in mediazione, salvi i casi tassativi previsti dalla legge.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5. Aspetti economici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Le parti si impegnano a sottoscrivere e rispettare la pattuizione economica (doc. 5). Le spese sono ripartite di norma in parti uguali, salvo diverso accordo o casi di gratuità previsti dalla legge.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6. Sospensione e chiusura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Ciascuna parte può ritirarsi dal percorso in qualsiasi momento. Il mediatore può sospendere o chiudere la mediazione qualora rilevi: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Mancanza dei presupposti di volontarietà o autodeterminazione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Squilibri gravi di potere fra le parti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Indicatori di violenza, controllo coercitivo o pericolo per uno dei figli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Comportamenti gravemente lesivi delle regole di seduta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Difetto sopravvenuto di neutralità o conflitto di interessi del mediatore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7. Documentazione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Di ciascun incontro il mediatore redige un verbale essenziale. Al termine del percorso, in caso di intesa, le parti porteranno il documento conclusivo ai rispettivi avvocati per la formalizzazione.</w:t>
      </w:r>
    </w:p>
    <w:p>
      <w:pPr>
        <w:spacing w:after="2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40" w:before="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Parte A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2A2520" w:sz="6" w:space="6"/>
              </w:pBdr>
              <w:spacing w:after="40" w:before="28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Firma</w:t>
            </w:r>
          </w:p>
        </w:tc>
        <w:tc>
          <w:tcPr>
            <w:tcW w:type="dxa" w:w="312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40" w:before="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Parte B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2A2520" w:sz="6" w:space="6"/>
              </w:pBdr>
              <w:spacing w:after="40" w:before="28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Firma</w:t>
            </w:r>
          </w:p>
        </w:tc>
        <w:tc>
          <w:tcPr>
            <w:tcW w:type="dxa" w:w="312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40" w:before="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Mediatore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2A2520" w:sz="6" w:space="6"/>
              </w:pBdr>
              <w:spacing w:after="40" w:before="28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Firma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 w:line="280"/>
        <w:jc w:val="center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Genova, lì _________________________</w:t>
      </w:r>
    </w:p>
    <w:p>
      <w:r>
        <w:br w:type="pag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B89668"/>
          <w:spacing w:val="30"/>
          <w:sz w:val="18"/>
          <w:szCs w:val="18"/>
        </w:rPr>
        <w:t xml:space="preserve">DOCUMENTO 5</w:t>
      </w:r>
    </w:p>
    <w:p>
      <w:pPr>
        <w:pStyle w:val="Heading1"/>
        <w:pBdr>
          <w:bottom w:val="single" w:color="B89668" w:sz="12" w:space="6"/>
        </w:pBdr>
        <w:spacing w:after="240" w:before="480"/>
      </w:pPr>
      <w:r>
        <w:rPr>
          <w:rFonts w:ascii="Arial" w:cs="Arial" w:eastAsia="Arial" w:hAnsi="Arial"/>
          <w:b/>
          <w:bCs/>
          <w:color w:val="4A6B82"/>
          <w:sz w:val="36"/>
          <w:szCs w:val="36"/>
        </w:rPr>
        <w:t xml:space="preserve">Pattuizione economica e parametri tariffari</w:t>
      </w:r>
    </w:p>
    <w:p>
      <w:pPr>
        <w:spacing w:after="120" w:before="0" w:line="28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Conforme al motore di calcolo del portale e ai principi del D.M. 151/2023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1. Tariffa base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La tariffa base è di € 40,00 per ciascun mediando per ciascun incontro, con coefficiente di complessità modulato secondo l'oggetto e l'andamento del percorso.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2. Coefficienti di complessità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shd w:fill="4A6B8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Fascia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shd w:fill="4A6B8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Coefficiente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shd w:fill="4A6B8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Tariffa per parte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shd w:fill="4A6B82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Compreso forfait 21%</w:t>
            </w:r>
          </w:p>
        </w:tc>
      </w:tr>
      <w:tr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Minima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× 1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€ 40,00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shd w:fill="FA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A2520"/>
                <w:sz w:val="20"/>
                <w:szCs w:val="20"/>
              </w:rPr>
              <w:t xml:space="preserve">€ 48,40</w:t>
            </w:r>
          </w:p>
        </w:tc>
      </w:tr>
      <w:tr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Media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× 1,5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€ 60,00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shd w:fill="FA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A2520"/>
                <w:sz w:val="20"/>
                <w:szCs w:val="20"/>
              </w:rPr>
              <w:t xml:space="preserve">€ 72,60</w:t>
            </w:r>
          </w:p>
        </w:tc>
      </w:tr>
      <w:tr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Massima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× 2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€ 80,00</w:t>
            </w:r>
          </w:p>
        </w:tc>
        <w:tc>
          <w:tcPr>
            <w:tcW w:type="dxa" w:w="234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shd w:fill="FAF5EE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2A2520"/>
                <w:sz w:val="20"/>
                <w:szCs w:val="20"/>
              </w:rPr>
              <w:t xml:space="preserve">€ 96,80</w:t>
            </w:r>
          </w:p>
        </w:tc>
      </w:tr>
    </w:tbl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left w:val="single" w:color="B89668" w:sz="12" w:space="12"/>
        </w:pBdr>
        <w:spacing w:after="120" w:before="80" w:line="260"/>
        <w:ind w:left="36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La fascia di partenza è di norma minima (× 1) o media (× 1,5). La fascia massima si applica a casi tecnicamente complessi: presenza di perizie, profili patrimoniali articolati, profili di diritto internazionale privato. Il coefficiente è dichiarato in apertura e può essere rivisto in corso di percorso, sentite le parti.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3. Spese forfettarie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Sulla tariffa è applicato un forfait spese del 21 % a copertura di cancelleria, comunicazioni, archiviazione e oneri ordinari di studio. Il forfait è già compreso negli importi esposti nella colonna a destra della tabella.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4. Imposte e oneri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IVA al 22 % se applicabile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Cassa professionale o gestione separata INPS nelle misure di legge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Marca da bollo da € 2,00 per fatture di importo superiore a € 77,47, ai sensi del D.P.R. 642/1972 (regimi forfettari)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5. Modalità e tempistica del pagamento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Le indennità sono dovute al termine di ogni incontro o secondo il calendario concordato (es. fattura mensile). Modalità ammesse: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Bonifico bancario sul conto IBAN [_______________________________]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Pagamento in contanti entro i limiti di legge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Sistemi elettronici (POS, app)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Eventuali rateizzazioni sono ammesse su richiesta scritta e motivata, da valutare caso per caso.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6. Casi di gratuità o riduzione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Il servizio è gratuito o a tariffa ridotta, senza limiti di reddito, nei casi di patrocinio a spese dello Stato per le vittime di violenza e di altri delitti contro la libertà personale (art. 76 D.P.R. 115/2002, come modificato dalla L. 69/2019, «Codice Rosso»). Riduzioni possono essere accordate per ragioni motivate e previa intesa scritta.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7. Ripartizione fra le parti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Salvo diverso accordo espresso, le indennità sono ripartite in parti uguali fra i due mediandi. La ripartizione vale per le sedute effettivamente svolte; eventuali sedute non disdette con almeno 24 ore di preavviso restano a carico della parte che non si è presentata.</w:t>
      </w:r>
    </w:p>
    <w:p>
      <w:pPr>
        <w:spacing w:after="2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Accettazione delle condizioni economiche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Le parti dichiarano di aver ricevuto e compreso la presente pattuizione e si impegnano al rispetto delle condizioni che precedono.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Coefficiente applicato in apertura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☐ × 1   ☐ × 1,5   ☐ × 2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Tariffa per parte e per incontro (con forfait)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€ __________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Modalità di pagamento concordata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spacing w:after="2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0" w:before="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Parte A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2A2520" w:sz="6" w:space="6"/>
              </w:pBdr>
              <w:spacing w:after="40" w:before="28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Firma</w:t>
            </w:r>
          </w:p>
        </w:tc>
        <w:tc>
          <w:tcPr>
            <w:tcW w:type="dxa" w:w="312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0" w:before="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Parte B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2A2520" w:sz="6" w:space="6"/>
              </w:pBdr>
              <w:spacing w:after="40" w:before="28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Firma</w:t>
            </w:r>
          </w:p>
        </w:tc>
        <w:tc>
          <w:tcPr>
            <w:tcW w:type="dxa" w:w="312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00" w:before="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Mediatore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2A2520" w:sz="6" w:space="6"/>
              </w:pBdr>
              <w:spacing w:after="40" w:before="28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Firma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B89668"/>
          <w:spacing w:val="30"/>
          <w:sz w:val="18"/>
          <w:szCs w:val="18"/>
        </w:rPr>
        <w:t xml:space="preserve">DOCUMENTO 6</w:t>
      </w:r>
    </w:p>
    <w:p>
      <w:pPr>
        <w:pStyle w:val="Heading1"/>
        <w:pBdr>
          <w:bottom w:val="single" w:color="B89668" w:sz="12" w:space="6"/>
        </w:pBdr>
        <w:spacing w:after="240" w:before="480"/>
      </w:pPr>
      <w:r>
        <w:rPr>
          <w:rFonts w:ascii="Arial" w:cs="Arial" w:eastAsia="Arial" w:hAnsi="Arial"/>
          <w:b/>
          <w:bCs/>
          <w:color w:val="4A6B82"/>
          <w:sz w:val="36"/>
          <w:szCs w:val="36"/>
        </w:rPr>
        <w:t xml:space="preserve">Verbale del primo incontro</w:t>
      </w:r>
    </w:p>
    <w:p>
      <w:pPr>
        <w:spacing w:after="120" w:before="0" w:line="28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Documento essenziale ad uso del fascicolo professionale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Intestazione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Procedura n.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[____ / ____]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Mediatore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Avv. Carlo Alberto Calcagno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Data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Luogo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☐ studio   ☐ da remoto (link: __________________________)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Ora di inizio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Ora di chiusura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Parti presenti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Parte A — cognome, nome, codice fiscale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Parte B — cognome, nome, codice fiscale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spacing w:after="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Eventuali altri presenti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Avvocato di parte A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☐ presente   ☐ assente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Avvocato di parte B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☐ presente   ☐ assente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Co-mediatore o tirocinante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Documenti consegnati e firmati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Informativa pre-colloquio (doc. 1)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Informativa privacy GDPR e consenso al trattamento (doc. 2)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Consenso informato alla mediazione familiare (doc. 3)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Accordo di partecipazione volontaria (doc. 4)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Pattuizione economica e parametri tariffari (doc. 5)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Esiti del primo incontro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Il primo incontro si è svolto regolarmente. Il mediatore ha esposto la cornice del servizio, i principi cardine e i limiti della mediazione familiare. Le parti hanno ricevuto e compreso le informazioni; hanno avuto modo di porre domande; hanno firmato la documentazione.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Verifica preliminare deontologica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Il mediatore dichiara, sulla base degli elementi acquisiti al primo incontro, che non sussistono indicatori di violenza domestica, controllo coercitivo o squilibri gravi di potere tali da imporre la sospensione del percorso ai sensi dell'art. 48 della Convenzione di Istanbul e dell'art. 473-bis.46 c.p.c. La verifica è continuativa e si rinnova ad ogni seduta.</w:t>
      </w:r>
    </w:p>
    <w:p>
      <w:pPr>
        <w:pBdr>
          <w:left w:val="single" w:color="B89668" w:sz="12" w:space="12"/>
        </w:pBdr>
        <w:spacing w:after="120" w:before="80" w:line="260"/>
        <w:ind w:left="36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In caso di indicatori positivi, sostituire questo paragrafo con la formula di sospensione/chiusura del percorso e con il rinvio della parte alle reti specializzate (1522, CAV/D.i.Re, art. 76 D.P.R. 115/2002). Vedere documento 7.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Decisione delle parti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Le parti convengono di proseguire il percorso di mediazione familiare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Le parti chiedono un tempo di riflessione fino al [______________]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Una delle parti dichiara di non voler proseguire — chiusura del percorso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☐  Il mediatore sospende/chiude il percorso per i motivi indicati nelle annotazioni</w:t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Calendario degli incontri successivi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Secondo incontro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data: _____________  ora: _________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Terzo incontro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data: _____________  ora: _________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Quarto incontro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  data: _____________  ora: _________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Style w:val="Heading3"/>
        <w:spacing w:after="120" w:before="24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Annotazioni essenziali del mediatore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[Spazio per annotazioni essenziali, non riferite al merito delle questioni emerse, nel rispetto della riservatezza specifica della mediazione]</w:t>
      </w:r>
    </w:p>
    <w:p>
      <w:pPr>
        <w:spacing w:after="16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 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 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 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 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spacing w:after="28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40" w:before="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Parte A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2A2520" w:sz="6" w:space="6"/>
              </w:pBdr>
              <w:spacing w:after="40" w:before="28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Firma</w:t>
            </w:r>
          </w:p>
        </w:tc>
        <w:tc>
          <w:tcPr>
            <w:tcW w:type="dxa" w:w="312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40" w:before="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Parte B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2A2520" w:sz="6" w:space="6"/>
              </w:pBdr>
              <w:spacing w:after="40" w:before="28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Firma</w:t>
            </w:r>
          </w:p>
        </w:tc>
        <w:tc>
          <w:tcPr>
            <w:tcW w:type="dxa" w:w="3120"/>
            <w:tcBorders>
              <w:top w:val="single" w:color="C9BFA8" w:sz="6"/>
              <w:left w:val="single" w:color="C9BFA8" w:sz="6"/>
              <w:bottom w:val="single" w:color="C9BFA8" w:sz="6"/>
              <w:right w:val="single" w:color="C9BFA8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240" w:before="0" w:line="280"/>
              <w:jc w:val="center"/>
            </w:pPr>
            <w:r>
              <w:rPr>
                <w:rFonts w:ascii="Arial" w:cs="Arial" w:eastAsia="Arial" w:hAnsi="Arial"/>
                <w:b/>
                <w:bCs/>
                <w:color w:val="4A6B82"/>
                <w:sz w:val="20"/>
                <w:szCs w:val="20"/>
              </w:rPr>
              <w:t xml:space="preserve">Mediatore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/>
            </w:r>
          </w:p>
          <w:p>
            <w:pPr>
              <w:pBdr>
                <w:top w:val="single" w:color="2A2520" w:sz="6" w:space="6"/>
              </w:pBdr>
              <w:spacing w:after="40" w:before="280"/>
            </w:pPr>
            <w:r>
              <w:rPr>
                <w:rFonts w:ascii="Arial" w:cs="Arial" w:eastAsia="Arial" w:hAnsi="Arial"/>
                <w:color w:val="2A2520"/>
                <w:sz w:val="20"/>
                <w:szCs w:val="20"/>
              </w:rPr>
              <w:t xml:space="preserve">Firma</w:t>
            </w:r>
          </w:p>
        </w:tc>
      </w:tr>
    </w:tbl>
    <w:p>
      <w:r>
        <w:br w:type="page"/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B89668"/>
          <w:spacing w:val="30"/>
          <w:sz w:val="18"/>
          <w:szCs w:val="18"/>
        </w:rPr>
        <w:t xml:space="preserve">DOCUMENTO 7 · USO INTERNO</w:t>
      </w:r>
    </w:p>
    <w:p>
      <w:pPr>
        <w:pStyle w:val="Heading1"/>
        <w:pBdr>
          <w:bottom w:val="single" w:color="B89668" w:sz="12" w:space="6"/>
        </w:pBdr>
        <w:spacing w:after="240" w:before="480"/>
      </w:pPr>
      <w:r>
        <w:rPr>
          <w:rFonts w:ascii="Arial" w:cs="Arial" w:eastAsia="Arial" w:hAnsi="Arial"/>
          <w:b/>
          <w:bCs/>
          <w:color w:val="4A6B82"/>
          <w:sz w:val="36"/>
          <w:szCs w:val="36"/>
        </w:rPr>
        <w:t xml:space="preserve">Griglia di rilevazione segnali di violenza</w:t>
      </w:r>
    </w:p>
    <w:p>
      <w:pPr>
        <w:spacing w:after="120" w:before="0" w:line="28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Strumento di lavoro del mediatore — non si consegna alle parti</w:t>
      </w:r>
    </w:p>
    <w:p>
      <w:pPr>
        <w:pBdr>
          <w:left w:val="single" w:color="B89668" w:sz="12" w:space="12"/>
        </w:pBdr>
        <w:spacing w:after="120" w:before="80" w:line="260"/>
        <w:ind w:left="36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Questa griglia integra la verifica deontologica del primo incontro (vedere doc. 6 §3). È compilata dal mediatore in proprio, sulla base di osservazione diretta, ascolto dei mediandi separati e — ove utilizzati — colloqui individuali preliminari. Non è uno strumento diagnostico né una check-list meccanica: i segnali vanno letti nel loro insieme, attraverso le sette strategie del controllo coercitivo (Stark) e il ciclo della violenza (Walker).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A. Controllo coercitivo (sette strategie di Stark)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Isolamento progressivo: limitazione dei contatti familiari, amicali, professionali della parte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Sorveglianza pervasiva: controllo di telefono, social, posizione GPS, frequentazioni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Controllo economico: gestione esclusiva di conti, accesso negato alle risorse, trattenimento di documenti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Controllo dell'agenda: limitazione di tempo, spostamenti, scelte minute della quotidianità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Controllo del corpo e delle decisioni intime: dieta, abbigliamento, sessualità, scelte mediche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Microregolazioni e correzioni continue: critiche su tono, parole, gesti, espressioni del viso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Distorsione della realtà condivisa (gaslighting): negazione di fatti, riscrittura della storia comune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B. Indicatori di violenza fisica (anche pregressa)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Riferimenti a episodi di spinte, strattonamenti, percosse, anche un solo episodio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Segni fisici visibili (lesioni, lividi, posture protettive)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Riferimenti a interventi sanitari di pronto soccorso negli anni della relazione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Paura del contatto fisico nel set della seduta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C. Indicatori di violenza psicologica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Espressioni di paura per la reazione dell'altro mediando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Sguardi di controllo dell'altro durante il colloquio congiunto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Cambio rapido di postura/espressione quando l'altro parla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Auto-svalutazione sistematica («sono io che esagero», «forse ho capito male»)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Ritiro del proprio contenuto se l'altro lo contraddice anche solo con uno sguardo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D. Indicatori di violenza economica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Mancata conoscenza di conti, mutui, redditi familiari da parte di un mediando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Documenti di identità o sanitari trattenuti dall'altra parte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Limitazione dell'attività lavorativa («non vuole che lavori»)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Debiti contratti dall'altra parte a nome del mediando, all'insaputa o sotto pressione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E. Indicatori di violenza tecnologica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Sospetti di stalkerware o app di tracciamento sui dispositivi del mediando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Episodi di condivisione non consensuale di immagini intime (revenge porn)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Deepfake, false identità digitali, account fake usati per molestare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Controllo sistematico delle credenziali (e-mail, social, cloud)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F. Indicatori sui figli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Riferimenti a violenza assistita (i figli hanno visto/sentito episodi)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Strumentalizzazione dei figli come canale di controllo dell'altra parte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Comportamenti di paura dei minori riferiti dalla parte (insonnia, sintomi psicosomatici, regressioni)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Procedimenti penali pendenti o sentenze in materia di maltrattamenti, stalking, violenza sessuale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G. Esito della rilevazione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4A6B82"/>
          <w:sz w:val="22"/>
          <w:szCs w:val="22"/>
        </w:rPr>
        <w:t xml:space="preserve">Nessun indicatore rilevato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 — il percorso di mediazione può proseguire. La verifica si rinnova ad ogni seduta.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4A6B82"/>
          <w:sz w:val="22"/>
          <w:szCs w:val="22"/>
        </w:rPr>
        <w:t xml:space="preserve">Indicatori isolati, non gravi, da chiarire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 — colloquio individuale di approfondimento prima di proseguire; in caso di dubbio, sospendere.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b/>
          <w:bCs/>
          <w:color w:val="4A6B82"/>
          <w:sz w:val="22"/>
          <w:szCs w:val="22"/>
        </w:rPr>
        <w:t xml:space="preserve">Indicatori multipli o convergenti — DIVIETO DI MEDIAZIONE</w:t>
      </w:r>
      <w:r>
        <w:rPr>
          <w:rFonts w:ascii="Arial" w:cs="Arial" w:eastAsia="Arial" w:hAnsi="Arial"/>
          <w:color w:val="2A2520"/>
          <w:sz w:val="22"/>
          <w:szCs w:val="22"/>
        </w:rPr>
        <w:t xml:space="preserve"> ai sensi dell'art. 48 Convenzione di Istanbul, art. 473-bis.46 c.p.c. e codice deontologico A.I.Me.F. Sospensione/chiusura del percorso e orientamento alla rete specializzata.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H. Risorse di rinvio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1522 — Numero antiviolenza nazionale, gratuito, anonimo, attivo 24/7 (Dipartimento per le Pari Opportunità)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Rete D.i.Re — Centri Antiviolenza, www.direcontrolaviolenza.it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Sportelli rosa territoriali (presso ASL, comuni, ospedali)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112 — in caso di pericolo immediato per la persona o per i figli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Patrocinio a spese dello Stato senza limiti di reddito per le vittime: art. 76 D.P.R. 115/2002 come modificato dalla L. 69/2019 (Codice Rosso)</w:t>
      </w:r>
    </w:p>
    <w:p>
      <w:pPr>
        <w:pStyle w:val="Heading2"/>
        <w:spacing w:after="160" w:before="360"/>
      </w:pPr>
      <w:r>
        <w:rPr>
          <w:rFonts w:ascii="Arial" w:cs="Arial" w:eastAsia="Arial" w:hAnsi="Arial"/>
          <w:b/>
          <w:bCs/>
          <w:color w:val="4A6B82"/>
          <w:sz w:val="26"/>
          <w:szCs w:val="26"/>
        </w:rPr>
        <w:t xml:space="preserve">I. Cura del mediatore (trauma vicario)</w:t>
      </w:r>
    </w:p>
    <w:p>
      <w:pPr>
        <w:spacing w:after="120" w:before="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L'esposizione ripetuta a narrazioni di violenza ha un costo. Il mediatore familiare attento alla propria sostenibilità professionale prevede: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Supervisione individuale o di gruppo, con cadenza regolare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Tempo di decompressione fra una seduta intensa e l'altra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Diario di lavoro per separare il proprio vissuto dal contenuto del fascicolo</w:t>
      </w:r>
    </w:p>
    <w:p>
      <w:pPr>
        <w:pStyle w:val="ListParagraph"/>
        <w:numPr>
          <w:ilvl w:val="0"/>
          <w:numId w:val="2"/>
        </w:numPr>
        <w:spacing w:after="80" w:line="280"/>
      </w:pPr>
      <w:r>
        <w:rPr>
          <w:rFonts w:ascii="Arial" w:cs="Arial" w:eastAsia="Arial" w:hAnsi="Arial"/>
          <w:color w:val="2A2520"/>
          <w:sz w:val="22"/>
          <w:szCs w:val="22"/>
        </w:rPr>
        <w:t xml:space="preserve">Cura del corpo e del sistema nervoso autonomo (vagale ventrale): cammino, respiro, contatto sociale sicuro</w:t>
      </w:r>
    </w:p>
    <w:p>
      <w:pPr>
        <w:spacing w:after="2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80" w:before="0" w:line="280"/>
      </w:pPr>
      <w:r>
        <w:rPr>
          <w:rFonts w:ascii="Arial" w:cs="Arial" w:eastAsia="Arial" w:hAnsi="Arial"/>
          <w:b/>
          <w:bCs/>
          <w:color w:val="4A6B82"/>
          <w:sz w:val="22"/>
          <w:szCs w:val="22"/>
        </w:rPr>
        <w:t xml:space="preserve">Compilazione interna a cura di:</w:t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Mediatore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Data della rilevazione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pBdr>
          <w:bottom w:val="dotted" w:color="C9BFA8" w:sz="4" w:space="4"/>
        </w:pBdr>
        <w:tabs>
          <w:tab w:val="right" w:pos="9026"/>
        </w:tabs>
        <w:spacing w:after="60" w:before="60" w:line="280"/>
      </w:pPr>
      <w:r>
        <w:rPr>
          <w:rFonts w:ascii="Arial" w:cs="Arial" w:eastAsia="Arial" w:hAnsi="Arial"/>
          <w:b/>
          <w:bCs/>
          <w:color w:val="2A2520"/>
          <w:sz w:val="22"/>
          <w:szCs w:val="22"/>
        </w:rPr>
        <w:t xml:space="preserve">Esito (vedere § G)  </w:t>
      </w: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/>
      </w:r>
    </w:p>
    <w:p>
      <w:pPr>
        <w:spacing w:after="28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 w:line="280"/>
      </w:pPr>
      <w:r>
        <w:rPr>
          <w:rFonts w:ascii="Arial" w:cs="Arial" w:eastAsia="Arial" w:hAnsi="Arial"/>
          <w:i/>
          <w:iCs/>
          <w:color w:val="6B5D50"/>
          <w:sz w:val="20"/>
          <w:szCs w:val="20"/>
        </w:rPr>
        <w:t xml:space="preserve">Per gli aspetti normativi e operativi di dettaglio: Parte 10 del manuale «Leggere la persona, accompagnare il conflitto», capp. 30-32, e Parte 1 §1.1bis sulla UNI 11644:2025 (T8 «Gestione di situazioni a rischio»).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BFA8" w:sz="4" w:space="4"/>
      </w:pBdr>
      <w:jc w:val="center"/>
    </w:pPr>
    <w:r>
      <w:rPr>
        <w:rFonts w:ascii="Arial" w:cs="Arial" w:eastAsia="Arial" w:hAnsi="Arial"/>
        <w:i/>
        <w:iCs/>
        <w:color w:val="6B5D50"/>
        <w:sz w:val="16"/>
        <w:szCs w:val="16"/>
      </w:rPr>
      <w:t xml:space="preserve">Documento di lavoro · personalizzare i campi · </w:t>
    </w:r>
    <w:r>
      <w:rPr>
        <w:rFonts w:ascii="Arial" w:cs="Arial" w:eastAsia="Arial" w:hAnsi="Arial"/>
        <w:color w:val="6B5D50"/>
        <w:sz w:val="16"/>
        <w:szCs w:val="16"/>
      </w:rPr>
      <w:t xml:space="preserve">pag.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BFA8" w:sz="4" w:space="4"/>
      </w:pBdr>
      <w:jc w:val="right"/>
    </w:pPr>
    <w:r>
      <w:rPr>
        <w:rFonts w:ascii="Arial" w:cs="Arial" w:eastAsia="Arial" w:hAnsi="Arial"/>
        <w:i/>
        <w:iCs/>
        <w:color w:val="6B5D50"/>
        <w:sz w:val="16"/>
        <w:szCs w:val="16"/>
      </w:rPr>
      <w:t xml:space="preserve">Kit operativo · Primo incontro di mediazione familiare · Avv. Carlo Alberto Calcagno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480"/>
      <w:outlineLvl w:val="0"/>
    </w:pPr>
    <w:rPr>
      <w:rFonts w:ascii="Arial" w:cs="Arial" w:eastAsia="Arial" w:hAnsi="Arial"/>
      <w:b/>
      <w:bCs/>
      <w:color w:val="4A6B8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Arial" w:cs="Arial" w:eastAsia="Arial" w:hAnsi="Arial"/>
      <w:b/>
      <w:bCs/>
      <w:color w:val="4A6B82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2A252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Kit operativo - Primo incontro di mediazione familiare</dc:title>
  <dc:creator>Avv. Carlo Alberto Calcagno</dc:creator>
  <dc:description>Facsimile della modulistica essenziale (D.M. 151/2023, UNI 11644:2025)</dc:description>
  <cp:lastModifiedBy>Un-named</cp:lastModifiedBy>
  <cp:revision>1</cp:revision>
  <dcterms:created xsi:type="dcterms:W3CDTF">2026-05-09T13:10:33.884Z</dcterms:created>
  <dcterms:modified xsi:type="dcterms:W3CDTF">2026-05-09T13:10:33.896Z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