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- INGENIERÍA CIVIL</w:t>
      </w:r>
    </w:p>
    <w:p>
      <w:r>
        <w:t>Universidad Privada de Trujillo</w:t>
      </w:r>
    </w:p>
    <w:p>
      <w:r>
        <w:t>Alumno: GUTIERREZ ABANTO, GERSON DAVID</w:t>
      </w:r>
    </w:p>
    <w:p>
      <w:r>
        <w:t>DNI: 77334286</w:t>
      </w:r>
    </w:p>
    <w:p>
      <w:r>
        <w:t>Institución de procedencia: Instituto de Educación Superior Tecnológico Público "NUEVA ESPERANZA"</w:t>
      </w:r>
    </w:p>
    <w:p>
      <w:r>
        <w:t>Carrera de procedencia: CONSTRUCCIÓN CIVIL</w:t>
      </w:r>
    </w:p>
    <w:p>
      <w:r>
        <w:t>Carrera UPRIT de destino: Ingeniería Civil</w:t>
      </w:r>
    </w:p>
    <w:p>
      <w:pPr>
        <w:pStyle w:val="Heading2"/>
      </w:pPr>
      <w:r>
        <w:t>Motivo del caso especial</w:t>
      </w:r>
    </w:p>
    <w:p>
      <w:r>
        <w:t>CASO ESPECIAL - INGENIERÍA CIVIL: el umbral ordinario es de 5 asignaturas de suficiencia. Antes de la segunda revisión se identificaron 10 candidatos reales a suficiencia. El expediente fue sometido a una segunda revisión integral de todos los cursos del certificado y de la proforma, utilizando a DeepSeek como especialista académico en Ingeniería Civil. Después de la segunda revisión quedaron 10 cursos todavía faltantes. De ellos, se seleccionaron 7 asignaturas para examen de suficiencia, respetando un máximo absoluto de 7. Adicionalmente, 3 asignatura(s) quedaron como PENDIENTES DE REVISIÓN ACADÉMICA y NO se consideran convalidadas ni se agregan como exámenes de suficiencia. Cursos pendientes: ANÁLISIS MATEMÁTICO I, ANÁLISIS MATEMÁTICO II, ESTÁTICA.</w:t>
      </w:r>
    </w:p>
    <w:p>
      <w:r>
        <w:t>La proforma principal ha sido generada igualmente. Este reporte deja constancia de la segunda revisión académica efectuada y de las asignaturas finalmente seleccionadas para examen de suficiencia.</w:t>
      </w:r>
    </w:p>
    <w:p>
      <w:pPr>
        <w:pStyle w:val="Heading2"/>
      </w:pPr>
      <w:r>
        <w:t>1. Candidatos detectados antes de la segunda revisión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INTRODUCCIÓN A LA INGENIERÍA CIVIL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DESARROLLO DEL PENSAMIENTO CRÍTICO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QUÍMICA GENERAL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DINÁMICA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GEOMETRÍA DESCRIPTIVA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ESTÁTICA</w:t>
            </w:r>
          </w:p>
        </w:tc>
      </w:tr>
    </w:tbl>
    <w:p>
      <w:r>
        <w:t>Total inicial: 10</w:t>
      </w:r>
    </w:p>
    <w:p>
      <w:pPr>
        <w:pStyle w:val="Heading2"/>
      </w:pPr>
      <w:r>
        <w:t>2. Cursos faltantes después de la revisión especialista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INTRODUCCIÓN A LA INGENIERÍA CIVIL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DESARROLLO DEL PENSAMIENTO CRÍTICO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QUÍMICA GENERAL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DINÁMICA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GEOMETRÍA DESCRIPTIVA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ESTÁTICA</w:t>
            </w:r>
          </w:p>
        </w:tc>
      </w:tr>
    </w:tbl>
    <w:p>
      <w:r>
        <w:t>Total después de revisión: 10</w:t>
      </w:r>
    </w:p>
    <w:p>
      <w:pPr>
        <w:pStyle w:val="Heading2"/>
      </w:pPr>
      <w:r>
        <w:t>3. Asignaturas seleccionadas para examen de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INTRODUCCIÓN A LA INGENIERÍA CIVIL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DESARROLLO DEL PENSAMIENTO CRÍTICO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QUÍMICA GENERAL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DINÁMICA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GEOMETRÍA DESCRIPTIVA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</w:tbl>
    <w:p>
      <w:r>
        <w:t>Total seleccionado para suficiencia: 7</w:t>
      </w:r>
    </w:p>
    <w:p>
      <w:pPr>
        <w:pStyle w:val="Heading2"/>
      </w:pPr>
      <w:r>
        <w:t>4. Pendientes adicionales de revisión académica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ESTÁTICA</w:t>
            </w:r>
          </w:p>
        </w:tc>
      </w:tr>
    </w:tbl>
    <w:p>
      <w:r>
        <w:t>Estos cursos NO se consideran convalidados y tampoco se agregan a la tabla principal de suficiencias. Requieren revisión académica adicional.</w:t>
      </w:r>
    </w:p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Comunicación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Uso información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CONVALIDADA POR COMPETENCIAS</w:t>
            </w:r>
          </w:p>
        </w:tc>
      </w:tr>
      <w:tr>
        <w:tc>
          <w:tcPr>
            <w:tcW w:type="dxa" w:w="1728"/>
          </w:tcPr>
          <w:p>
            <w:r>
              <w:t>Trabajo en equipo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CONVALIDADA POR COMPETENCIAS</w:t>
            </w:r>
          </w:p>
        </w:tc>
      </w:tr>
      <w:tr>
        <w:tc>
          <w:tcPr>
            <w:tcW w:type="dxa" w:w="1728"/>
          </w:tcPr>
          <w:p>
            <w:r>
              <w:t>Análisis crítico y reflexivo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Compromiso con principios, valores y mejora continua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Pensamiento creativo e innovador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