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REPORTE DE CASO ESPECIAL DE CONVALIDACIÓN</w:t>
      </w:r>
    </w:p>
    <w:p>
      <w:r>
        <w:t>Universidad Privada de Trujillo</w:t>
      </w:r>
    </w:p>
    <w:p>
      <w:r>
        <w:t>Alumno: SALAZAR TORRES, DEYSI MELISSA</w:t>
      </w:r>
    </w:p>
    <w:p>
      <w:r>
        <w:t>DNI: 74976204</w:t>
      </w:r>
    </w:p>
    <w:p>
      <w:r>
        <w:t>Institución de procedencia: Servicio Nacional de Adiestramiento en Trabajo Industrial</w:t>
      </w:r>
    </w:p>
    <w:p>
      <w:r>
        <w:t>Carrera de procedencia: ADMINISTRACIÓN INDUSTRIAL</w:t>
      </w:r>
    </w:p>
    <w:p>
      <w:r>
        <w:t>Carrera UPRIT de destino: Ingeniería de Sistemas e IA</w:t>
      </w:r>
    </w:p>
    <w:p>
      <w:pPr>
        <w:pStyle w:val="Heading2"/>
      </w:pPr>
      <w:r>
        <w:t>Motivo del caso especial</w:t>
      </w:r>
    </w:p>
    <w:p>
      <w:r>
        <w:t>CASO ESPECIAL: se han identificado 13 asignaturas candidatas a examen de suficiencia. El máximo ordinario es de 7. La proforma principal debe generarse igualmente y, adicionalmente, debe emitirse un documento de CASO ESPECIAL para evaluación académica.</w:t>
      </w:r>
    </w:p>
    <w:p>
      <w:r>
        <w:t>La proforma principal ha sido generada igualmente. Este reporte deja constancia de que existen más de 7 asignaturas candidatas a suficiencia y que el expediente requiere evaluación académica especial.</w:t>
      </w:r>
    </w:p>
    <w:p>
      <w:pPr>
        <w:pStyle w:val="Heading2"/>
      </w:pPr>
      <w:r>
        <w:t>Asignaturas candidatas a suficiencia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N.°</w:t>
            </w:r>
          </w:p>
        </w:tc>
        <w:tc>
          <w:tcPr>
            <w:tcW w:type="dxa" w:w="4320"/>
          </w:tcPr>
          <w:p>
            <w:r>
              <w:t>Asignatura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REALIDAD NACIONAL Y DERECHOS HUMANOS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REDES Y SISTEMAS OPERATIVOS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DERECHO EMPRESARIAL Y DE SOCIEDADES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ELECTIVO II: NEGOCIACION Y ADMINISTRACION DE CONFLICTOS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FISICA II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ESTADÍSTICA INFERENCIAL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ACTIVIDADES DE PROYECCIÓN SOCIAL Y VIDA UNIVERSITARIA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LÓGICA GENERAL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ARQUITECTURA DEL COMPUTADOR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ANÁLISIS MATEMÁTICO II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ANÁLISIS MATEMÁTICO III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INVESTIGACIÓN DE OPERACIONES I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INVESTIGACIÓN DE OPERACIONES II</w:t>
            </w:r>
          </w:p>
        </w:tc>
      </w:tr>
    </w:tbl>
    <w:p>
      <w:pPr>
        <w:pStyle w:val="Heading2"/>
      </w:pPr>
      <w:r>
        <w:t>Resumen por competencias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Competencia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>
              <w:t>Equivalencias</w:t>
            </w:r>
          </w:p>
        </w:tc>
        <w:tc>
          <w:tcPr>
            <w:tcW w:type="dxa" w:w="1728"/>
          </w:tcPr>
          <w:p>
            <w:r>
              <w:t>Faltantes</w:t>
            </w:r>
          </w:p>
        </w:tc>
        <w:tc>
          <w:tcPr>
            <w:tcW w:type="dxa" w:w="1728"/>
          </w:tcPr>
          <w:p>
            <w:r>
              <w:t>Estado</w:t>
            </w:r>
          </w:p>
        </w:tc>
      </w:tr>
      <w:tr>
        <w:tc>
          <w:tcPr>
            <w:tcW w:type="dxa" w:w="1728"/>
          </w:tcPr>
          <w:p>
            <w:r>
              <w:t>SIN COMPETENCIA IDENTIFICADA #1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#16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#19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  <w:tr>
        <w:tc>
          <w:tcPr>
            <w:tcW w:type="dxa" w:w="1728"/>
          </w:tcPr>
          <w:p>
            <w:r>
              <w:t>SIN COMPETENCIA IDENTIFICADA #20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#22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#23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COMPETENCIA PENDIENTE - SUFICIENCIA</w:t>
            </w:r>
          </w:p>
        </w:tc>
      </w:tr>
      <w:tr>
        <w:tc>
          <w:tcPr>
            <w:tcW w:type="dxa" w:w="1728"/>
          </w:tcPr>
          <w:p>
            <w:r>
              <w:t>SIN COMPETENCIA IDENTIFICADA #24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COMPETENCIA CONVALIDADA</w:t>
            </w:r>
          </w:p>
        </w:tc>
      </w:tr>
    </w:tbl>
    <w:p>
      <w:r>
        <w:t>El expediente deberá ser revisado por los evaluadores académicos competentes antes de adoptar una decisión.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