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1FD82F" w14:textId="77777777" w:rsidR="009512DB" w:rsidRPr="005B3F83" w:rsidRDefault="009512DB" w:rsidP="005B3F83">
      <w:pPr>
        <w:pStyle w:val="Ttulo1"/>
        <w:spacing w:before="0"/>
        <w:contextualSpacing/>
        <w:jc w:val="both"/>
        <w:rPr>
          <w:rFonts w:ascii="Cambria Math" w:eastAsia="Cambria Math" w:hAnsi="Cambria Math" w:cs="Cambria Math"/>
          <w:sz w:val="18"/>
          <w:szCs w:val="18"/>
          <w:lang w:val="es-MX"/>
        </w:rPr>
      </w:pPr>
      <w:r w:rsidRPr="005B3F83">
        <w:rPr>
          <w:rFonts w:ascii="Cambria Math" w:hAnsi="Cambria Math"/>
          <w:noProof/>
          <w:sz w:val="18"/>
          <w:szCs w:val="18"/>
          <w:lang w:val="es-MX"/>
        </w:rPr>
        <w:drawing>
          <wp:anchor distT="0" distB="0" distL="114300" distR="114300" simplePos="0" relativeHeight="251659264" behindDoc="0" locked="0" layoutInCell="1" allowOverlap="1" wp14:anchorId="506328FF" wp14:editId="33D1092E">
            <wp:simplePos x="0" y="0"/>
            <wp:positionH relativeFrom="margin">
              <wp:posOffset>2540</wp:posOffset>
            </wp:positionH>
            <wp:positionV relativeFrom="margin">
              <wp:posOffset>-179070</wp:posOffset>
            </wp:positionV>
            <wp:extent cx="850900" cy="901700"/>
            <wp:effectExtent l="0" t="0" r="0" b="0"/>
            <wp:wrapSquare wrapText="bothSides"/>
            <wp:docPr id="3473862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06386CA-3002-4243-B75A-B0337A98F7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862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3F83"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  <w:t>DEPARTAMENTO DE INGENIERÍA INDUSTRIAL</w:t>
      </w:r>
    </w:p>
    <w:p w14:paraId="01B5368E" w14:textId="77777777" w:rsidR="009512DB" w:rsidRPr="005B3F83" w:rsidRDefault="009512DB" w:rsidP="005B3F83">
      <w:pPr>
        <w:pStyle w:val="Ttulo1"/>
        <w:spacing w:before="0"/>
        <w:ind w:left="1416"/>
        <w:contextualSpacing/>
        <w:jc w:val="both"/>
        <w:rPr>
          <w:rFonts w:ascii="Cambria Math" w:eastAsia="Cambria Math" w:hAnsi="Cambria Math" w:cs="Cambria Math"/>
          <w:b w:val="0"/>
          <w:bCs w:val="0"/>
          <w:color w:val="000000" w:themeColor="text1"/>
          <w:sz w:val="18"/>
          <w:szCs w:val="18"/>
          <w:lang w:val="es-MX"/>
        </w:rPr>
      </w:pPr>
      <w:r w:rsidRPr="005B3F83"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  <w:t>IIND-4130 Analítica computacional para la toma de decisiones</w:t>
      </w:r>
    </w:p>
    <w:p w14:paraId="1FFA90E6" w14:textId="000C05B4" w:rsidR="009512DB" w:rsidRPr="005B3F83" w:rsidRDefault="007C3D8F" w:rsidP="005B3F83">
      <w:pPr>
        <w:pStyle w:val="Ttulo1"/>
        <w:spacing w:before="0"/>
        <w:ind w:left="1416"/>
        <w:contextualSpacing/>
        <w:jc w:val="both"/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</w:pPr>
      <w:r w:rsidRPr="005B3F83"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  <w:t>Proyecto 1</w:t>
      </w:r>
      <w:r w:rsidR="009512DB" w:rsidRPr="005B3F83"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  <w:t xml:space="preserve">: </w:t>
      </w:r>
      <w:r w:rsidRPr="005B3F83">
        <w:rPr>
          <w:rFonts w:ascii="Cambria Math" w:eastAsia="Cambria Math" w:hAnsi="Cambria Math" w:cs="Cambria Math"/>
          <w:color w:val="000000" w:themeColor="text1"/>
          <w:sz w:val="18"/>
          <w:szCs w:val="18"/>
          <w:lang w:val="es-MX"/>
        </w:rPr>
        <w:t>ANALÍTICA DE CONTRATACIÓN PÚBLICA</w:t>
      </w:r>
    </w:p>
    <w:p w14:paraId="6A957A95" w14:textId="77777777" w:rsidR="009512DB" w:rsidRPr="005B3F83" w:rsidRDefault="009512DB" w:rsidP="005B3F83">
      <w:pPr>
        <w:contextualSpacing/>
        <w:jc w:val="both"/>
        <w:rPr>
          <w:rFonts w:ascii="Cambria Math" w:eastAsia="Cambria Math" w:hAnsi="Cambria Math" w:cs="Cambria Math"/>
          <w:sz w:val="18"/>
          <w:szCs w:val="18"/>
          <w:lang w:val="es-MX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46"/>
        <w:gridCol w:w="2837"/>
        <w:gridCol w:w="2647"/>
      </w:tblGrid>
      <w:tr w:rsidR="009512DB" w:rsidRPr="005B3F83" w14:paraId="3A9D1A44" w14:textId="77777777" w:rsidTr="00A52355">
        <w:trPr>
          <w:trHeight w:val="204"/>
          <w:jc w:val="center"/>
        </w:trPr>
        <w:tc>
          <w:tcPr>
            <w:tcW w:w="2846" w:type="dxa"/>
            <w:vAlign w:val="center"/>
          </w:tcPr>
          <w:p w14:paraId="038C8B5C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  <w:t>Apellidos</w:t>
            </w:r>
          </w:p>
        </w:tc>
        <w:tc>
          <w:tcPr>
            <w:tcW w:w="2837" w:type="dxa"/>
            <w:vAlign w:val="center"/>
          </w:tcPr>
          <w:p w14:paraId="41CB0B1C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  <w:t>Nombres</w:t>
            </w:r>
          </w:p>
        </w:tc>
        <w:tc>
          <w:tcPr>
            <w:tcW w:w="2647" w:type="dxa"/>
            <w:vAlign w:val="center"/>
          </w:tcPr>
          <w:p w14:paraId="2575FDFA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b/>
                <w:bCs/>
                <w:sz w:val="18"/>
                <w:szCs w:val="18"/>
                <w:lang w:val="es-ES"/>
              </w:rPr>
              <w:t>Código</w:t>
            </w:r>
          </w:p>
        </w:tc>
      </w:tr>
      <w:tr w:rsidR="009512DB" w:rsidRPr="005B3F83" w14:paraId="4542E110" w14:textId="77777777" w:rsidTr="00A52355">
        <w:trPr>
          <w:trHeight w:val="204"/>
          <w:jc w:val="center"/>
        </w:trPr>
        <w:tc>
          <w:tcPr>
            <w:tcW w:w="2846" w:type="dxa"/>
            <w:vAlign w:val="center"/>
          </w:tcPr>
          <w:p w14:paraId="38057041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</w:rPr>
              <w:t>Rodríguez Cagüeñas</w:t>
            </w:r>
          </w:p>
        </w:tc>
        <w:tc>
          <w:tcPr>
            <w:tcW w:w="2837" w:type="dxa"/>
            <w:vAlign w:val="center"/>
          </w:tcPr>
          <w:p w14:paraId="43B04761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</w:rPr>
              <w:t>Cristian Camilo</w:t>
            </w:r>
          </w:p>
        </w:tc>
        <w:tc>
          <w:tcPr>
            <w:tcW w:w="2647" w:type="dxa"/>
            <w:vAlign w:val="center"/>
          </w:tcPr>
          <w:p w14:paraId="5CAF1EF1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202123526</w:t>
            </w:r>
          </w:p>
        </w:tc>
      </w:tr>
      <w:tr w:rsidR="009512DB" w:rsidRPr="005B3F83" w14:paraId="1647826C" w14:textId="77777777" w:rsidTr="00A52355">
        <w:trPr>
          <w:trHeight w:val="204"/>
          <w:jc w:val="center"/>
        </w:trPr>
        <w:tc>
          <w:tcPr>
            <w:tcW w:w="2846" w:type="dxa"/>
          </w:tcPr>
          <w:p w14:paraId="31C0F0AA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Calderón García</w:t>
            </w:r>
          </w:p>
        </w:tc>
        <w:tc>
          <w:tcPr>
            <w:tcW w:w="2837" w:type="dxa"/>
          </w:tcPr>
          <w:p w14:paraId="51DD7908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Edwin Hernando</w:t>
            </w:r>
          </w:p>
        </w:tc>
        <w:tc>
          <w:tcPr>
            <w:tcW w:w="2647" w:type="dxa"/>
          </w:tcPr>
          <w:p w14:paraId="3879087D" w14:textId="77777777" w:rsidR="009512DB" w:rsidRPr="005B3F83" w:rsidRDefault="009512DB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202425268</w:t>
            </w:r>
          </w:p>
        </w:tc>
      </w:tr>
      <w:tr w:rsidR="00850B7E" w:rsidRPr="005B3F83" w14:paraId="347E2EBF" w14:textId="77777777" w:rsidTr="00A52355">
        <w:trPr>
          <w:trHeight w:val="204"/>
          <w:jc w:val="center"/>
        </w:trPr>
        <w:tc>
          <w:tcPr>
            <w:tcW w:w="2846" w:type="dxa"/>
          </w:tcPr>
          <w:p w14:paraId="0CDBB487" w14:textId="4CA361FA" w:rsidR="00850B7E" w:rsidRPr="005B3F83" w:rsidRDefault="00850B7E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Arial" w:hAnsi="Cambria Math" w:cs="Arial"/>
                <w:sz w:val="18"/>
                <w:szCs w:val="18"/>
              </w:rPr>
              <w:t>Ramos Ramírez</w:t>
            </w:r>
          </w:p>
        </w:tc>
        <w:tc>
          <w:tcPr>
            <w:tcW w:w="2837" w:type="dxa"/>
          </w:tcPr>
          <w:p w14:paraId="63A94481" w14:textId="32F28E69" w:rsidR="00850B7E" w:rsidRPr="005B3F83" w:rsidRDefault="00850B7E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Arial" w:hAnsi="Cambria Math" w:cs="Arial"/>
                <w:sz w:val="18"/>
                <w:szCs w:val="18"/>
                <w:lang w:val="es-ES"/>
              </w:rPr>
              <w:t>Jhoiner Javier</w:t>
            </w:r>
          </w:p>
        </w:tc>
        <w:tc>
          <w:tcPr>
            <w:tcW w:w="2647" w:type="dxa"/>
          </w:tcPr>
          <w:p w14:paraId="6FB6022B" w14:textId="1E4E1CC7" w:rsidR="00850B7E" w:rsidRPr="005B3F83" w:rsidRDefault="00850B7E" w:rsidP="00A52355">
            <w:pPr>
              <w:pStyle w:val="Default"/>
              <w:widowControl w:val="0"/>
              <w:spacing w:before="2"/>
              <w:ind w:right="62"/>
              <w:contextualSpacing/>
              <w:jc w:val="center"/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</w:pPr>
            <w:r w:rsidRPr="005B3F83">
              <w:rPr>
                <w:rFonts w:ascii="Cambria Math" w:eastAsia="Arial" w:hAnsi="Cambria Math" w:cs="Arial"/>
                <w:sz w:val="18"/>
                <w:szCs w:val="18"/>
                <w:lang w:val="es-ES"/>
              </w:rPr>
              <w:t>201814922</w:t>
            </w:r>
          </w:p>
        </w:tc>
      </w:tr>
    </w:tbl>
    <w:p w14:paraId="06D56905" w14:textId="77777777" w:rsidR="006D689F" w:rsidRPr="005B3F83" w:rsidRDefault="006D689F" w:rsidP="00E65770">
      <w:pPr>
        <w:spacing w:after="0"/>
        <w:jc w:val="both"/>
        <w:rPr>
          <w:rFonts w:ascii="Cambria Math" w:hAnsi="Cambria Math"/>
          <w:b/>
          <w:sz w:val="18"/>
          <w:szCs w:val="18"/>
          <w:lang w:val="es-CO"/>
        </w:rPr>
      </w:pPr>
    </w:p>
    <w:p w14:paraId="467BC46B" w14:textId="097273E9" w:rsidR="00D82905" w:rsidRPr="00DB277D" w:rsidRDefault="00334168" w:rsidP="00E65770">
      <w:pPr>
        <w:spacing w:after="0"/>
        <w:jc w:val="center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Reporte de resultados — Plantilla de trabajo</w:t>
      </w:r>
    </w:p>
    <w:p w14:paraId="0362BCD7" w14:textId="52A9F2AD" w:rsidR="00747B84" w:rsidRPr="00DB277D" w:rsidRDefault="00334168" w:rsidP="00E65770">
      <w:pPr>
        <w:spacing w:after="0"/>
        <w:jc w:val="center"/>
        <w:rPr>
          <w:rFonts w:ascii="Cambria Math" w:eastAsiaTheme="majorEastAsia" w:hAnsi="Cambria Math" w:cstheme="majorBidi"/>
          <w:i/>
          <w:i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i/>
          <w:iCs/>
          <w:color w:val="365F91" w:themeColor="accent1" w:themeShade="BF"/>
          <w:sz w:val="18"/>
          <w:szCs w:val="18"/>
          <w:lang w:val="es-CO"/>
        </w:rPr>
        <w:t xml:space="preserve">INVIAS | </w:t>
      </w:r>
      <w:r w:rsidR="004759B0" w:rsidRPr="00DB277D">
        <w:rPr>
          <w:rFonts w:ascii="Cambria Math" w:eastAsiaTheme="majorEastAsia" w:hAnsi="Cambria Math" w:cstheme="majorBidi"/>
          <w:i/>
          <w:iCs/>
          <w:color w:val="365F91" w:themeColor="accent1" w:themeShade="BF"/>
          <w:sz w:val="18"/>
          <w:szCs w:val="18"/>
          <w:lang w:val="es-CO"/>
        </w:rPr>
        <w:t>Instituto Nacional de Vías</w:t>
      </w:r>
    </w:p>
    <w:p w14:paraId="564DFA2D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Propósito del proyecto</w:t>
      </w:r>
    </w:p>
    <w:p w14:paraId="088385D7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38B23564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 xml:space="preserve">El proyecto busca analizar información de </w:t>
      </w:r>
      <w:r w:rsidRPr="002C5C4A">
        <w:rPr>
          <w:rFonts w:ascii="Cambria Math" w:hAnsi="Cambria Math"/>
          <w:b/>
          <w:bCs/>
          <w:sz w:val="18"/>
          <w:szCs w:val="18"/>
          <w:lang w:val="es-CO"/>
        </w:rPr>
        <w:t>contratación pública del Instituto Nacional de Vías (INVIAS)</w:t>
      </w:r>
      <w:r w:rsidRPr="009049F7">
        <w:rPr>
          <w:rFonts w:ascii="Cambria Math" w:hAnsi="Cambria Math"/>
          <w:sz w:val="18"/>
          <w:szCs w:val="18"/>
          <w:lang w:val="es-CO"/>
        </w:rPr>
        <w:t xml:space="preserve"> para transformar los datos disponibles en evidencia que apoye la </w:t>
      </w:r>
      <w:r w:rsidRPr="002C5C4A">
        <w:rPr>
          <w:rFonts w:ascii="Cambria Math" w:hAnsi="Cambria Math"/>
          <w:b/>
          <w:bCs/>
          <w:sz w:val="18"/>
          <w:szCs w:val="18"/>
          <w:lang w:val="es-CO"/>
        </w:rPr>
        <w:t>comprensión y seguimiento de la gestión contractual</w:t>
      </w:r>
      <w:r w:rsidRPr="009049F7">
        <w:rPr>
          <w:rFonts w:ascii="Cambria Math" w:hAnsi="Cambria Math"/>
          <w:sz w:val="18"/>
          <w:szCs w:val="18"/>
          <w:lang w:val="es-CO"/>
        </w:rPr>
        <w:t>.</w:t>
      </w:r>
    </w:p>
    <w:p w14:paraId="27B6FE38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3243695C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 xml:space="preserve">El análisis se estructura alrededor de tres preguntas de negocio que permiten estudiar diferentes dimensiones de la contratación: </w:t>
      </w:r>
      <w:r w:rsidRPr="002C5C4A">
        <w:rPr>
          <w:rFonts w:ascii="Cambria Math" w:hAnsi="Cambria Math"/>
          <w:b/>
          <w:bCs/>
          <w:sz w:val="18"/>
          <w:szCs w:val="18"/>
          <w:lang w:val="es-CO"/>
        </w:rPr>
        <w:t>concentración de los contratos, distribución y trazabilidad territorial, y ejecución financiera y modificaciones contractuales</w:t>
      </w:r>
      <w:r w:rsidRPr="009049F7">
        <w:rPr>
          <w:rFonts w:ascii="Cambria Math" w:hAnsi="Cambria Math"/>
          <w:sz w:val="18"/>
          <w:szCs w:val="18"/>
          <w:lang w:val="es-CO"/>
        </w:rPr>
        <w:t>.</w:t>
      </w:r>
    </w:p>
    <w:p w14:paraId="5F2DBF0B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7906F3EA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Enfoque de trabajo</w:t>
      </w:r>
    </w:p>
    <w:p w14:paraId="1AC85FEE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1414F3F9" w14:textId="77777777" w:rsidR="009049F7" w:rsidRPr="009049F7" w:rsidRDefault="009049F7" w:rsidP="00DB277D">
      <w:pPr>
        <w:spacing w:after="0"/>
        <w:jc w:val="both"/>
        <w:rPr>
          <w:rFonts w:ascii="Cambria Math" w:hAnsi="Cambria Math" w:hint="eastAsia"/>
          <w:sz w:val="18"/>
          <w:szCs w:val="18"/>
          <w:lang w:val="es-CO"/>
        </w:rPr>
      </w:pPr>
      <w:r w:rsidRPr="009049F7">
        <w:rPr>
          <w:rFonts w:ascii="Cambria Math" w:hAnsi="Cambria Math" w:hint="eastAsia"/>
          <w:sz w:val="18"/>
          <w:szCs w:val="18"/>
          <w:lang w:val="es-CO"/>
        </w:rPr>
        <w:t xml:space="preserve">El desarrollo sigue un proceso integrado de 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 xml:space="preserve">datos 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>→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 xml:space="preserve"> análisis 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>→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 xml:space="preserve"> visualización 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>→</w:t>
      </w:r>
      <w:r w:rsidRPr="002C5C4A">
        <w:rPr>
          <w:rFonts w:ascii="Cambria Math" w:hAnsi="Cambria Math" w:hint="eastAsia"/>
          <w:b/>
          <w:bCs/>
          <w:sz w:val="18"/>
          <w:szCs w:val="18"/>
          <w:lang w:val="es-CO"/>
        </w:rPr>
        <w:t xml:space="preserve"> toma de decisiones</w:t>
      </w:r>
      <w:r w:rsidRPr="009049F7">
        <w:rPr>
          <w:rFonts w:ascii="Cambria Math" w:hAnsi="Cambria Math" w:hint="eastAsia"/>
          <w:sz w:val="18"/>
          <w:szCs w:val="18"/>
          <w:lang w:val="es-CO"/>
        </w:rPr>
        <w:t>:</w:t>
      </w:r>
    </w:p>
    <w:p w14:paraId="02E04804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71376989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1. Definición del problema</w:t>
      </w:r>
    </w:p>
    <w:p w14:paraId="75D8B3CA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>Se establecieron preguntas de negocio orientadas a identificar patrones relevantes de la contratación y oportunidades de seguimiento.</w:t>
      </w:r>
    </w:p>
    <w:p w14:paraId="1576494B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75E66DED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2. Ingeniería de datos</w:t>
      </w:r>
    </w:p>
    <w:p w14:paraId="24141955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>Se realizó la extracción, limpieza, transformación y alistamiento de la información proveniente de SECOP II para construir bases analíticas utilizables.</w:t>
      </w:r>
    </w:p>
    <w:p w14:paraId="321C8B80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0C207B21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3. Análisis de datos</w:t>
      </w:r>
    </w:p>
    <w:p w14:paraId="55205B5B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>Se aplicaron técnicas exploratorias y estadísticas para caracterizar los contratos, identificar patrones, concentraciones y señales relevantes para cada pregunta.</w:t>
      </w:r>
    </w:p>
    <w:p w14:paraId="555D9F01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03A9C741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4. Visualización y tablero</w:t>
      </w:r>
    </w:p>
    <w:p w14:paraId="234DAC95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 xml:space="preserve">Los resultados fueron transformados en visualizaciones interactivas mediante </w:t>
      </w:r>
      <w:r w:rsidRPr="002C5C4A">
        <w:rPr>
          <w:rFonts w:ascii="Cambria Math" w:hAnsi="Cambria Math"/>
          <w:b/>
          <w:bCs/>
          <w:sz w:val="18"/>
          <w:szCs w:val="18"/>
          <w:lang w:val="es-CO"/>
        </w:rPr>
        <w:t>Dash y Plotly</w:t>
      </w:r>
      <w:r w:rsidRPr="009049F7">
        <w:rPr>
          <w:rFonts w:ascii="Cambria Math" w:hAnsi="Cambria Math"/>
          <w:sz w:val="18"/>
          <w:szCs w:val="18"/>
          <w:lang w:val="es-CO"/>
        </w:rPr>
        <w:t>, integradas en un tablero común para facilitar la exploración de la información.</w:t>
      </w:r>
    </w:p>
    <w:p w14:paraId="75E28ACB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0EF39692" w14:textId="77777777" w:rsidR="009049F7" w:rsidRPr="00DB277D" w:rsidRDefault="009049F7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5. Seguimiento y toma de decisiones</w:t>
      </w:r>
    </w:p>
    <w:p w14:paraId="31E40614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>Los hallazgos permiten orientar la atención hacia patrones y contratos que pueden requerir una revisión más focalizada, sin interpretar los resultados como evidencia automática de irregularidades.</w:t>
      </w:r>
    </w:p>
    <w:p w14:paraId="13C9F919" w14:textId="77777777" w:rsidR="009049F7" w:rsidRPr="009049F7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5DC0C700" w14:textId="514F7EEB" w:rsidR="009049F7" w:rsidRPr="00DB277D" w:rsidRDefault="00AF27B8" w:rsidP="00DB277D">
      <w:pPr>
        <w:spacing w:after="0"/>
        <w:jc w:val="both"/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</w:pPr>
      <w:r w:rsidRPr="00DB277D">
        <w:rPr>
          <w:rFonts w:ascii="Cambria Math" w:eastAsiaTheme="majorEastAsia" w:hAnsi="Cambria Math" w:cstheme="majorBidi"/>
          <w:b/>
          <w:bCs/>
          <w:color w:val="365F91" w:themeColor="accent1" w:themeShade="BF"/>
          <w:sz w:val="18"/>
          <w:szCs w:val="18"/>
          <w:lang w:val="es-CO"/>
        </w:rPr>
        <w:t>Preguntas de negocio</w:t>
      </w:r>
    </w:p>
    <w:tbl>
      <w:tblPr>
        <w:tblStyle w:val="Tablanormal4"/>
        <w:tblW w:w="10448" w:type="dxa"/>
        <w:tblLook w:val="04A0" w:firstRow="1" w:lastRow="0" w:firstColumn="1" w:lastColumn="0" w:noHBand="0" w:noVBand="1"/>
      </w:tblPr>
      <w:tblGrid>
        <w:gridCol w:w="2606"/>
        <w:gridCol w:w="7842"/>
      </w:tblGrid>
      <w:tr w:rsidR="00AF27B8" w:rsidRPr="00AF27B8" w14:paraId="7E868DA0" w14:textId="77777777" w:rsidTr="00DB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A6F58E" w14:textId="77777777" w:rsidR="00AF27B8" w:rsidRPr="00AF27B8" w:rsidRDefault="00AF27B8" w:rsidP="00DB277D">
            <w:pPr>
              <w:jc w:val="center"/>
              <w:rPr>
                <w:rFonts w:ascii="Cambria Math" w:eastAsia="Times New Roman" w:hAnsi="Cambria Math" w:cs="Times New Roman"/>
                <w:sz w:val="18"/>
                <w:szCs w:val="18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8"/>
                <w:szCs w:val="18"/>
                <w:lang w:val="es-CO" w:eastAsia="es-ES_tradnl"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14:paraId="122708BA" w14:textId="77777777" w:rsidR="00AF27B8" w:rsidRPr="00AF27B8" w:rsidRDefault="00AF27B8" w:rsidP="00DB27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sz w:val="18"/>
                <w:szCs w:val="18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8"/>
                <w:szCs w:val="18"/>
                <w:lang w:val="es-CO" w:eastAsia="es-ES_tradnl"/>
              </w:rPr>
              <w:t>Enfoque</w:t>
            </w:r>
          </w:p>
        </w:tc>
      </w:tr>
      <w:tr w:rsidR="00AF27B8" w:rsidRPr="00AF27B8" w14:paraId="0BC0B520" w14:textId="77777777" w:rsidTr="00DB2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F42CF6" w14:textId="77777777" w:rsidR="00AF27B8" w:rsidRPr="00AF27B8" w:rsidRDefault="00AF27B8" w:rsidP="00DB277D">
            <w:pPr>
              <w:jc w:val="both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1. Concentración de la contratación</w:t>
            </w:r>
          </w:p>
        </w:tc>
        <w:tc>
          <w:tcPr>
            <w:tcW w:w="0" w:type="auto"/>
            <w:vAlign w:val="center"/>
            <w:hideMark/>
          </w:tcPr>
          <w:p w14:paraId="546D9A2E" w14:textId="77777777" w:rsidR="00AF27B8" w:rsidRPr="00AF27B8" w:rsidRDefault="00AF27B8" w:rsidP="00DB277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¿Cómo se concentra la contratación de INVIAS entre proveedores, modalidades y tipos de contrato?</w:t>
            </w:r>
          </w:p>
        </w:tc>
      </w:tr>
      <w:tr w:rsidR="00AF27B8" w:rsidRPr="00AF27B8" w14:paraId="0444F2BA" w14:textId="77777777" w:rsidTr="00DB277D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AF13B01" w14:textId="675369EC" w:rsidR="00AF27B8" w:rsidRPr="00AF27B8" w:rsidRDefault="00AF27B8" w:rsidP="00DB277D">
            <w:pPr>
              <w:jc w:val="both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2.</w:t>
            </w:r>
            <w:r w:rsidR="00DB277D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 xml:space="preserve"> </w:t>
            </w: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Distribución y trazabilidad territorial</w:t>
            </w:r>
          </w:p>
        </w:tc>
        <w:tc>
          <w:tcPr>
            <w:tcW w:w="0" w:type="auto"/>
            <w:vAlign w:val="center"/>
            <w:hideMark/>
          </w:tcPr>
          <w:p w14:paraId="13717FEA" w14:textId="77777777" w:rsidR="00AF27B8" w:rsidRPr="00AF27B8" w:rsidRDefault="00AF27B8" w:rsidP="00DB27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¿Dónde se concentran los recursos y qué nivel de trazabilidad territorial puede obtenerse a partir de la información disponible?</w:t>
            </w:r>
          </w:p>
        </w:tc>
      </w:tr>
      <w:tr w:rsidR="00AF27B8" w:rsidRPr="00AF27B8" w14:paraId="4A499F70" w14:textId="77777777" w:rsidTr="00DB2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4207E51" w14:textId="77777777" w:rsidR="00AF27B8" w:rsidRPr="00AF27B8" w:rsidRDefault="00AF27B8" w:rsidP="00DB277D">
            <w:pPr>
              <w:jc w:val="both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3. Ejecución financiera y modificaciones</w:t>
            </w:r>
          </w:p>
        </w:tc>
        <w:tc>
          <w:tcPr>
            <w:tcW w:w="0" w:type="auto"/>
            <w:vAlign w:val="center"/>
            <w:hideMark/>
          </w:tcPr>
          <w:p w14:paraId="4D9AE4D5" w14:textId="77777777" w:rsidR="00AF27B8" w:rsidRPr="00AF27B8" w:rsidRDefault="00AF27B8" w:rsidP="00DB277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</w:pPr>
            <w:r w:rsidRPr="00AF27B8">
              <w:rPr>
                <w:rFonts w:ascii="Cambria Math" w:eastAsia="Times New Roman" w:hAnsi="Cambria Math" w:cs="Times New Roman"/>
                <w:sz w:val="15"/>
                <w:szCs w:val="15"/>
                <w:lang w:val="es-CO" w:eastAsia="es-ES_tradnl"/>
              </w:rPr>
              <w:t>¿Cómo se comporta la ejecución financiera y cuáles contratos pueden requerir seguimiento por recursos pendientes o extensiones de plazo?</w:t>
            </w:r>
          </w:p>
        </w:tc>
      </w:tr>
    </w:tbl>
    <w:p w14:paraId="28D43508" w14:textId="77777777" w:rsidR="00AF27B8" w:rsidRPr="009049F7" w:rsidRDefault="00AF27B8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</w:p>
    <w:p w14:paraId="5E476313" w14:textId="479F2836" w:rsidR="00D82905" w:rsidRPr="005B3F83" w:rsidRDefault="009049F7" w:rsidP="00DB277D">
      <w:pPr>
        <w:spacing w:after="0"/>
        <w:jc w:val="both"/>
        <w:rPr>
          <w:rFonts w:ascii="Cambria Math" w:hAnsi="Cambria Math"/>
          <w:sz w:val="18"/>
          <w:szCs w:val="18"/>
          <w:lang w:val="es-CO"/>
        </w:rPr>
      </w:pPr>
      <w:r w:rsidRPr="009049F7">
        <w:rPr>
          <w:rFonts w:ascii="Cambria Math" w:hAnsi="Cambria Math"/>
          <w:sz w:val="18"/>
          <w:szCs w:val="18"/>
          <w:lang w:val="es-CO"/>
        </w:rPr>
        <w:t>El proyecto integra información, análisis y visualización en una herramienta orientada a facilitar la lectura de los principales patrones de contratación de INVIAS y apoyar una gestión más focalizada de la información contractual.</w:t>
      </w:r>
      <w:r w:rsidR="00334168" w:rsidRPr="005B3F83">
        <w:rPr>
          <w:rFonts w:ascii="Cambria Math" w:hAnsi="Cambria Math"/>
          <w:sz w:val="18"/>
          <w:szCs w:val="18"/>
          <w:lang w:val="es-CO"/>
        </w:rPr>
        <w:br w:type="page"/>
      </w:r>
    </w:p>
    <w:p w14:paraId="73B0B61A" w14:textId="77777777" w:rsidR="00D82905" w:rsidRPr="005B3F83" w:rsidRDefault="00334168" w:rsidP="005B3F83">
      <w:pPr>
        <w:pStyle w:val="Ttulo1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lastRenderedPageBreak/>
        <w:t>1. Pregunta de negocio 1 — Concentración de la contratación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0D098DA4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5D46FA5B" w14:textId="28F03354" w:rsidR="00D82905" w:rsidRPr="005B3F83" w:rsidRDefault="00334168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Rol</w:t>
            </w:r>
            <w:r w:rsidR="00926A02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 xml:space="preserve">: </w:t>
            </w:r>
            <w:r w:rsidR="0093175E" w:rsidRPr="005B3F83">
              <w:rPr>
                <w:rFonts w:ascii="Cambria Math" w:hAnsi="Cambria Math"/>
                <w:sz w:val="18"/>
                <w:szCs w:val="18"/>
                <w:lang w:val="es-CO"/>
              </w:rPr>
              <w:t>Análisis de negocio + Análisis de datos</w:t>
            </w:r>
          </w:p>
        </w:tc>
        <w:tc>
          <w:tcPr>
            <w:tcW w:w="5100" w:type="dxa"/>
            <w:vAlign w:val="center"/>
          </w:tcPr>
          <w:p w14:paraId="06FF5917" w14:textId="5E5B3952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  <w:tr w:rsidR="00D82905" w:rsidRPr="005B3F83" w14:paraId="74B4ACA7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28B8E97" w14:textId="4832CC68" w:rsidR="00D82905" w:rsidRPr="005B3F83" w:rsidRDefault="00334168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Responsable(s)</w:t>
            </w:r>
            <w:r w:rsidR="004E6446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 xml:space="preserve">: </w:t>
            </w:r>
            <w:r w:rsidR="0093175E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Jhoiner Javier Ramos Ramírez</w:t>
            </w:r>
          </w:p>
        </w:tc>
        <w:tc>
          <w:tcPr>
            <w:tcW w:w="5100" w:type="dxa"/>
            <w:vAlign w:val="center"/>
          </w:tcPr>
          <w:p w14:paraId="7EEA11AA" w14:textId="586A2E11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</w:tbl>
    <w:p w14:paraId="52507349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1.1 Pregunta de negocio</w:t>
      </w:r>
    </w:p>
    <w:p w14:paraId="10A89AB5" w14:textId="77777777" w:rsidR="00827F8D" w:rsidRPr="005B3F83" w:rsidRDefault="00827F8D" w:rsidP="005B3F83">
      <w:pPr>
        <w:pStyle w:val="Ttulo2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¿En qué proveedores, modalidades y tipos de contrato se concentra la contratación de INVIAS, y existen patrones de concentración que requieran seguimiento por parte de la Dirección y los organismos de control?</w:t>
      </w:r>
    </w:p>
    <w:p w14:paraId="4DD7C793" w14:textId="37BAB46D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1.2 Datos y enfoque de análisis</w:t>
      </w:r>
    </w:p>
    <w:p w14:paraId="6A1041AB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0CB43336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1.3 Hallazgos principales</w:t>
      </w:r>
    </w:p>
    <w:p w14:paraId="781D5C48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196A22CE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1.4 Respuesta a la pregunta de negocio</w:t>
      </w:r>
    </w:p>
    <w:p w14:paraId="17C5FADA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213531A6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1.5 Implicación para la toma de decisiones</w:t>
      </w:r>
    </w:p>
    <w:p w14:paraId="10BE667A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736E207F" w14:textId="77777777" w:rsidR="00D82905" w:rsidRPr="005B3F83" w:rsidRDefault="00334168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i/>
          <w:sz w:val="18"/>
          <w:szCs w:val="18"/>
          <w:lang w:val="es-CO"/>
        </w:rPr>
        <w:t>Visualizaciones/evidencias: [Insertar máximo 1–2 elementos gráficos relevantes.]</w:t>
      </w:r>
    </w:p>
    <w:p w14:paraId="62E1A198" w14:textId="77777777" w:rsidR="00D82905" w:rsidRPr="005B3F83" w:rsidRDefault="00334168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br w:type="page"/>
      </w:r>
    </w:p>
    <w:p w14:paraId="05012EFF" w14:textId="77777777" w:rsidR="00D82905" w:rsidRPr="005B3F83" w:rsidRDefault="00334168" w:rsidP="005B3F83">
      <w:pPr>
        <w:pStyle w:val="Ttulo1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lastRenderedPageBreak/>
        <w:t>2. Pregunta de negocio 2 — Distribución y trazabilidad territorial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326A57B8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197499E5" w14:textId="51CE91A2" w:rsidR="00D82905" w:rsidRPr="005B3F83" w:rsidRDefault="00334168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Rol</w:t>
            </w:r>
            <w:r w:rsidR="000375E6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 xml:space="preserve">: </w:t>
            </w:r>
            <w:r w:rsidR="000375E6" w:rsidRPr="005B3F83">
              <w:rPr>
                <w:rFonts w:ascii="Cambria Math" w:hAnsi="Cambria Math"/>
                <w:sz w:val="18"/>
                <w:szCs w:val="18"/>
                <w:lang w:val="es-CO"/>
              </w:rPr>
              <w:t>Análisis de negocio + Análisis de datos</w:t>
            </w:r>
          </w:p>
        </w:tc>
        <w:tc>
          <w:tcPr>
            <w:tcW w:w="5100" w:type="dxa"/>
            <w:vAlign w:val="center"/>
          </w:tcPr>
          <w:p w14:paraId="2940B4F1" w14:textId="68ACDE6E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  <w:tr w:rsidR="00D82905" w:rsidRPr="005B3F83" w14:paraId="4B77CA9E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34B40357" w14:textId="379A9644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Responsable(s)</w:t>
            </w:r>
            <w:r w:rsidR="0045450F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:</w:t>
            </w:r>
            <w:r w:rsidR="0045450F" w:rsidRPr="005B3F83">
              <w:rPr>
                <w:rFonts w:ascii="Cambria Math" w:hAnsi="Cambria Math"/>
                <w:bCs/>
                <w:sz w:val="18"/>
                <w:szCs w:val="18"/>
                <w:lang w:val="es-CO"/>
              </w:rPr>
              <w:t xml:space="preserve"> </w:t>
            </w:r>
            <w:r w:rsidR="0045450F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Cristian Camilo Rodríguez Cagueñas</w:t>
            </w:r>
          </w:p>
        </w:tc>
        <w:tc>
          <w:tcPr>
            <w:tcW w:w="5100" w:type="dxa"/>
            <w:vAlign w:val="center"/>
          </w:tcPr>
          <w:p w14:paraId="78F0DDBE" w14:textId="48958303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</w:tbl>
    <w:p w14:paraId="4DA4EE55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2.1 Pregunta de negocio</w:t>
      </w:r>
    </w:p>
    <w:p w14:paraId="38239CFE" w14:textId="77777777" w:rsidR="00E46B25" w:rsidRPr="005B3F83" w:rsidRDefault="00E46B25" w:rsidP="005B3F83">
      <w:pPr>
        <w:pStyle w:val="Ttulo2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¿Dónde ejecuta INVIAS sus recursos? Dado que el SECOP II no registra el lugar de ejecución del contrato, ¿qué proporción de la contratación de la entidad es territorialmente identificable a partir del objeto contractual, y cómo se distribuyen y evolucionan en el territorio los recursos que sí lo son?</w:t>
      </w: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 xml:space="preserve"> </w:t>
      </w:r>
    </w:p>
    <w:p w14:paraId="0CB8D756" w14:textId="494A7B70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2.2 Datos y enfoque de análisis</w:t>
      </w:r>
    </w:p>
    <w:p w14:paraId="2A29BF95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1EA77998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2.3 Hallazgos principales</w:t>
      </w:r>
    </w:p>
    <w:p w14:paraId="19F0741E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38A369B5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2.4 Respuesta a la pregunta de negocio</w:t>
      </w:r>
    </w:p>
    <w:p w14:paraId="701B112E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596EF60A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2.5 Implicación para la toma de decisiones</w:t>
      </w:r>
    </w:p>
    <w:p w14:paraId="10E1BFDE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[Completar esta sección con información breve, cuantitativa y directamente relacionada con la pregunta.]</w:t>
      </w:r>
    </w:p>
    <w:p w14:paraId="3F8A6025" w14:textId="77777777" w:rsidR="00D82905" w:rsidRPr="005B3F83" w:rsidRDefault="00334168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i/>
          <w:sz w:val="18"/>
          <w:szCs w:val="18"/>
          <w:lang w:val="es-CO"/>
        </w:rPr>
        <w:t>Visualizaciones/evidencias: [Insertar máximo 1–2 elementos gráficos relevantes.]</w:t>
      </w:r>
    </w:p>
    <w:p w14:paraId="3A9743A2" w14:textId="77777777" w:rsidR="00D82905" w:rsidRPr="005B3F83" w:rsidRDefault="00334168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br w:type="page"/>
      </w:r>
    </w:p>
    <w:p w14:paraId="580A6FAC" w14:textId="77777777" w:rsidR="00D82905" w:rsidRPr="005B3F83" w:rsidRDefault="00334168" w:rsidP="005B3F83">
      <w:pPr>
        <w:pStyle w:val="Ttulo1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lastRenderedPageBreak/>
        <w:t>3. Pregunta de negocio 3 — Ejecución financiera y modificaciones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4DE1545C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236B00D0" w14:textId="11889D8C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Rol</w:t>
            </w:r>
            <w:r w:rsidR="00E46B25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:</w:t>
            </w:r>
            <w:r w:rsidR="00E46B25" w:rsidRPr="005B3F83">
              <w:rPr>
                <w:rFonts w:ascii="Cambria Math" w:hAnsi="Cambria Math"/>
                <w:bCs/>
                <w:sz w:val="18"/>
                <w:szCs w:val="18"/>
                <w:lang w:val="es-CO"/>
              </w:rPr>
              <w:t xml:space="preserve"> </w:t>
            </w:r>
            <w:r w:rsidR="00E46B25" w:rsidRPr="005B3F83">
              <w:rPr>
                <w:rFonts w:ascii="Cambria Math" w:hAnsi="Cambria Math"/>
                <w:sz w:val="18"/>
                <w:szCs w:val="18"/>
                <w:lang w:val="es-CO"/>
              </w:rPr>
              <w:t>Análisis de negocio + Análisis de datos</w:t>
            </w:r>
          </w:p>
        </w:tc>
        <w:tc>
          <w:tcPr>
            <w:tcW w:w="5100" w:type="dxa"/>
            <w:vAlign w:val="center"/>
          </w:tcPr>
          <w:p w14:paraId="5B0AF18B" w14:textId="1A4DFC48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  <w:tr w:rsidR="00D82905" w:rsidRPr="005B3F83" w14:paraId="0F613802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586E38B8" w14:textId="37AFB129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</w:rPr>
              <w:t>Responsable(s)</w:t>
            </w:r>
            <w:r w:rsidR="00E46B25" w:rsidRPr="005B3F83">
              <w:rPr>
                <w:rFonts w:ascii="Cambria Math" w:hAnsi="Cambria Math"/>
                <w:b/>
                <w:sz w:val="18"/>
                <w:szCs w:val="18"/>
              </w:rPr>
              <w:t xml:space="preserve">: </w:t>
            </w:r>
            <w:r w:rsidR="00E46B25" w:rsidRPr="005B3F83">
              <w:rPr>
                <w:rFonts w:ascii="Cambria Math" w:hAnsi="Cambria Math"/>
                <w:sz w:val="18"/>
                <w:szCs w:val="18"/>
              </w:rPr>
              <w:t>Edwin H. Calderón García</w:t>
            </w:r>
          </w:p>
        </w:tc>
        <w:tc>
          <w:tcPr>
            <w:tcW w:w="5100" w:type="dxa"/>
            <w:vAlign w:val="center"/>
          </w:tcPr>
          <w:p w14:paraId="1782C8E2" w14:textId="3428BFAC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</w:tbl>
    <w:p w14:paraId="2D85956B" w14:textId="77777777" w:rsidR="006B141D" w:rsidRPr="005B3F83" w:rsidRDefault="006B141D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</w:rPr>
      </w:pPr>
    </w:p>
    <w:p w14:paraId="1FAE5728" w14:textId="7048A241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t>3.1 Pregunta de negocio</w:t>
      </w:r>
    </w:p>
    <w:p w14:paraId="7E52565F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¿Cómo se comporta la ejecución financiera de los contratos de INVIAS y cuáles presentan mayores niveles de recursos pendientes de ejecución, recursos pendientes de pago o extensiones en el plazo contractual que puedan requerir seguimiento?</w:t>
      </w:r>
    </w:p>
    <w:p w14:paraId="213DF868" w14:textId="77777777" w:rsidR="009E344E" w:rsidRPr="005B3F83" w:rsidRDefault="009E344E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</w:p>
    <w:p w14:paraId="37C8673C" w14:textId="38FEC7A6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3.2 Datos y enfoque de análisis</w:t>
      </w:r>
    </w:p>
    <w:p w14:paraId="4082AC9C" w14:textId="77777777" w:rsidR="00440E31" w:rsidRPr="005B3F83" w:rsidRDefault="00440E31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Se analizaron 20.718 contratos de INVIAS, utilizando variables financieras y contractuales relacionadas con valor contratado, facturación, pagos, ejecución, estado, duración y modificaciones de plazo.</w:t>
      </w:r>
    </w:p>
    <w:p w14:paraId="0E2B9684" w14:textId="77777777" w:rsidR="009E344E" w:rsidRPr="005B3F83" w:rsidRDefault="009E344E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</w:p>
    <w:p w14:paraId="483616E5" w14:textId="616F8419" w:rsidR="00440E31" w:rsidRPr="005B3F83" w:rsidRDefault="00440E31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Se calcularon los porcentajes de ejecución y pago, recursos pendientes de ejecución, días adicionados y existencia de extensión contractual. Se realizaron análisis de distribución, concentración, relación entre ejecución y pago y comparación entre contratos con y sin extensión.</w:t>
      </w:r>
    </w:p>
    <w:p w14:paraId="0059602E" w14:textId="77777777" w:rsidR="009E344E" w:rsidRPr="005B3F83" w:rsidRDefault="009E344E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</w:p>
    <w:p w14:paraId="40724023" w14:textId="3939FADA" w:rsidR="00440E31" w:rsidRPr="005B3F83" w:rsidRDefault="00440E31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Para priorizar contratos para seguimiento se identificaron aquellos que superan simultáneamente el percentil 90 de recursos pendientes de ejecución y el percentil 90 de días adicionados.</w:t>
      </w:r>
    </w:p>
    <w:p w14:paraId="3B80FE9A" w14:textId="77777777" w:rsidR="009E344E" w:rsidRPr="005B3F83" w:rsidRDefault="009E344E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</w:p>
    <w:p w14:paraId="46DE55DB" w14:textId="7FCB7629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3.3 Hallazgos principales</w:t>
      </w:r>
    </w:p>
    <w:p w14:paraId="1AD184D2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11.310 contratos (54,6 %) presentan 0 % de ejecución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; 6.098 se encuentran entre 50 % y 99 % y 1.285 presentan ejecución ≥100 %. </w:t>
      </w:r>
    </w:p>
    <w:p w14:paraId="72E1289B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18.228 contratos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 presentan recursos pendientes de ejecución positivos, por aproximadamente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$38,1 billones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. </w:t>
      </w:r>
    </w:p>
    <w:p w14:paraId="42DFA49D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La ejecución y el pago presentan una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correlación de 0,989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, evidenciando una fuerte asociación entre ambos indicadores. </w:t>
      </w:r>
    </w:p>
    <w:p w14:paraId="18BB00DE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3.728 contratos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 presentan extensiones de plazo; la mediana es de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61 días adicionados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. </w:t>
      </w:r>
    </w:p>
    <w:p w14:paraId="591CF25A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Los contratos con extensión presentan una mediana de recursos pendientes de ejecución aproximadamente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9,6 veces superior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 a la de los contratos sin extensión. </w:t>
      </w:r>
    </w:p>
    <w:p w14:paraId="468A5F41" w14:textId="77777777" w:rsidR="00DA4411" w:rsidRPr="005B3F83" w:rsidRDefault="00DA4411" w:rsidP="005B3F83">
      <w:pPr>
        <w:numPr>
          <w:ilvl w:val="0"/>
          <w:numId w:val="10"/>
        </w:num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Se identificaron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750 contratos prioritarios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; el 100 % presenta extensión contractual. La mayoría se encuentra en estado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Modificado (689)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 o </w:t>
      </w: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Suspendido (57)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. </w:t>
      </w:r>
    </w:p>
    <w:p w14:paraId="4575246B" w14:textId="77777777" w:rsidR="00DA4411" w:rsidRPr="005B3F83" w:rsidRDefault="00DA4411" w:rsidP="005B3F83">
      <w:pPr>
        <w:spacing w:after="100" w:afterAutospacing="1" w:line="240" w:lineRule="auto"/>
        <w:jc w:val="both"/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</w:pPr>
      <w:r w:rsidRPr="005B3F83">
        <w:rPr>
          <w:rFonts w:ascii="Cambria Math" w:eastAsia="Times New Roman" w:hAnsi="Cambria Math" w:cs="Times New Roman"/>
          <w:b/>
          <w:bCs/>
          <w:sz w:val="18"/>
          <w:szCs w:val="18"/>
          <w:lang w:val="es-CO" w:eastAsia="es-ES_tradnl"/>
        </w:rPr>
        <w:t>Nota:</w:t>
      </w:r>
      <w:r w:rsidRPr="005B3F83">
        <w:rPr>
          <w:rFonts w:ascii="Cambria Math" w:eastAsia="Times New Roman" w:hAnsi="Cambria Math" w:cs="Times New Roman"/>
          <w:sz w:val="18"/>
          <w:szCs w:val="18"/>
          <w:lang w:val="es-CO" w:eastAsia="es-ES_tradnl"/>
        </w:rPr>
        <w:t xml:space="preserve"> Los valores extremos identificados en “pendiente de pago reportado” se conservaron como parte de la información de la fuente y se documentaron como una limitación para su interpretación.</w:t>
      </w:r>
    </w:p>
    <w:p w14:paraId="76B1B35C" w14:textId="6A32722E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3.4 Respuesta a la pregunta de negocio</w:t>
      </w:r>
    </w:p>
    <w:p w14:paraId="1D6D0A27" w14:textId="77777777" w:rsidR="0010578B" w:rsidRPr="005B3F83" w:rsidRDefault="0010578B" w:rsidP="005B3F83">
      <w:pPr>
        <w:pStyle w:val="pdq2pgselectionanchorcontainer"/>
        <w:spacing w:before="0" w:beforeAutospacing="0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t xml:space="preserve">La ejecución financiera presenta una </w:t>
      </w:r>
      <w:r w:rsidRPr="005B3F83">
        <w:rPr>
          <w:rStyle w:val="Fuerte"/>
          <w:rFonts w:ascii="Cambria Math" w:hAnsi="Cambria Math"/>
          <w:sz w:val="18"/>
          <w:szCs w:val="18"/>
        </w:rPr>
        <w:t>alta concentración de contratos con baja o nula ejecución</w:t>
      </w:r>
      <w:r w:rsidRPr="005B3F83">
        <w:rPr>
          <w:rFonts w:ascii="Cambria Math" w:hAnsi="Cambria Math"/>
          <w:sz w:val="18"/>
          <w:szCs w:val="18"/>
        </w:rPr>
        <w:t xml:space="preserve"> y una importante dispersión en los recursos pendientes. Las extensiones contractuales también están asociadas con mayores niveles de recursos pendientes de ejecución.</w:t>
      </w:r>
    </w:p>
    <w:p w14:paraId="7B2B29F8" w14:textId="77777777" w:rsidR="0010578B" w:rsidRPr="005B3F83" w:rsidRDefault="0010578B" w:rsidP="005B3F83">
      <w:pPr>
        <w:pStyle w:val="NormalWeb"/>
        <w:spacing w:before="0" w:beforeAutospacing="0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t xml:space="preserve">A partir de estos patrones se identificaron </w:t>
      </w:r>
      <w:r w:rsidRPr="005B3F83">
        <w:rPr>
          <w:rStyle w:val="Fuerte"/>
          <w:rFonts w:ascii="Cambria Math" w:hAnsi="Cambria Math"/>
          <w:sz w:val="18"/>
          <w:szCs w:val="18"/>
        </w:rPr>
        <w:t>750 contratos prioritarios para seguimiento</w:t>
      </w:r>
      <w:r w:rsidRPr="005B3F83">
        <w:rPr>
          <w:rFonts w:ascii="Cambria Math" w:hAnsi="Cambria Math"/>
          <w:sz w:val="18"/>
          <w:szCs w:val="18"/>
        </w:rPr>
        <w:t>, definidos por presentar simultáneamente altos niveles de recursos pendientes de ejecución y de días adicionados. Estos contratos constituyen un universo focalizado para revisión y gestión.</w:t>
      </w:r>
    </w:p>
    <w:p w14:paraId="5E81CEF0" w14:textId="52724A66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3.5 Implicación para la toma de decisiones</w:t>
      </w:r>
    </w:p>
    <w:p w14:paraId="2DD2B948" w14:textId="77777777" w:rsidR="0036148D" w:rsidRPr="005B3F83" w:rsidRDefault="0036148D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Los resultados permiten priorizar el seguimiento contractual en lugar de revisar los 20.718 contratos con el mismo nivel de atención.</w:t>
      </w:r>
    </w:p>
    <w:p w14:paraId="6F99DD84" w14:textId="77777777" w:rsidR="0044405C" w:rsidRPr="005B3F83" w:rsidRDefault="0036148D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La regla de priorización concentra la revisión en contratos con mayor exposición financiera pendiente y mayores extensiones de plazo. El análisis debe utilizarse como mecanismo de focalización y generación de señales de seguimiento, no como evidencia de irregularidad o incumplimiento.</w:t>
      </w:r>
    </w:p>
    <w:p w14:paraId="3D40C1D8" w14:textId="77777777" w:rsidR="0044405C" w:rsidRPr="005B3F83" w:rsidRDefault="0044405C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Algunas visualizaciones importantes que dan sustento al análisis y apoya la toma de decisiones:</w:t>
      </w:r>
    </w:p>
    <w:p w14:paraId="7E3F2B0E" w14:textId="77777777" w:rsidR="00767022" w:rsidRPr="005B3F83" w:rsidRDefault="0044405C" w:rsidP="005B3F83">
      <w:pPr>
        <w:pStyle w:val="Prrafodelista"/>
        <w:numPr>
          <w:ilvl w:val="0"/>
          <w:numId w:val="11"/>
        </w:num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 xml:space="preserve">Distribución </w:t>
      </w:r>
      <w:r w:rsidR="00767022" w:rsidRPr="005B3F83">
        <w:rPr>
          <w:rFonts w:ascii="Cambria Math" w:hAnsi="Cambria Math"/>
          <w:sz w:val="18"/>
          <w:szCs w:val="18"/>
          <w:lang w:val="es-CO"/>
        </w:rPr>
        <w:t>de contratos por nivel de ejecución</w:t>
      </w:r>
    </w:p>
    <w:p w14:paraId="3269726D" w14:textId="70F1918B" w:rsidR="00D82905" w:rsidRPr="005B3F83" w:rsidRDefault="00767022" w:rsidP="005B3F83">
      <w:pPr>
        <w:pStyle w:val="Prrafodelista"/>
        <w:numPr>
          <w:ilvl w:val="0"/>
          <w:numId w:val="11"/>
        </w:num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Contratos prioritarios para seguimiento</w:t>
      </w:r>
      <w:r w:rsidR="00334168" w:rsidRPr="005B3F83">
        <w:rPr>
          <w:rFonts w:ascii="Cambria Math" w:hAnsi="Cambria Math"/>
          <w:sz w:val="18"/>
          <w:szCs w:val="18"/>
          <w:lang w:val="es-CO"/>
        </w:rPr>
        <w:br w:type="page"/>
      </w:r>
    </w:p>
    <w:p w14:paraId="12579325" w14:textId="77777777" w:rsidR="00D82905" w:rsidRPr="005B3F83" w:rsidRDefault="00334168" w:rsidP="005B3F83">
      <w:pPr>
        <w:pStyle w:val="Ttulo1"/>
        <w:spacing w:before="0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lastRenderedPageBreak/>
        <w:t>4. Ingeniería de datos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440869C1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4B4BA39" w14:textId="08D7EF20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</w:rPr>
              <w:t>Rol</w:t>
            </w:r>
            <w:r w:rsidR="00532A86" w:rsidRPr="005B3F83">
              <w:rPr>
                <w:rFonts w:ascii="Cambria Math" w:hAnsi="Cambria Math"/>
                <w:b/>
                <w:sz w:val="18"/>
                <w:szCs w:val="18"/>
              </w:rPr>
              <w:t xml:space="preserve">: </w:t>
            </w:r>
            <w:r w:rsidR="003C7D9F" w:rsidRPr="005B3F83">
              <w:rPr>
                <w:rFonts w:ascii="Cambria Math" w:hAnsi="Cambria Math"/>
                <w:sz w:val="18"/>
                <w:szCs w:val="18"/>
              </w:rPr>
              <w:t>Ingeniería de datos</w:t>
            </w:r>
          </w:p>
        </w:tc>
        <w:tc>
          <w:tcPr>
            <w:tcW w:w="5100" w:type="dxa"/>
            <w:vAlign w:val="center"/>
          </w:tcPr>
          <w:p w14:paraId="6458F6FE" w14:textId="13D50EAE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  <w:tr w:rsidR="00D82905" w:rsidRPr="005B3F83" w14:paraId="376CF736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11CDF825" w14:textId="65634BA2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Responsable(s)</w:t>
            </w:r>
            <w:r w:rsidR="009A7950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:</w:t>
            </w:r>
            <w:r w:rsidR="009A7950" w:rsidRPr="005B3F83">
              <w:rPr>
                <w:rFonts w:ascii="Cambria Math" w:hAnsi="Cambria Math"/>
                <w:bCs/>
                <w:sz w:val="18"/>
                <w:szCs w:val="18"/>
                <w:lang w:val="es-CO"/>
              </w:rPr>
              <w:t xml:space="preserve"> </w:t>
            </w:r>
            <w:r w:rsidR="009A7950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 xml:space="preserve">Cristian Camilo Rodríguez Cagueñas - </w:t>
            </w:r>
            <w:r w:rsidR="003962AF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Jhoiner Javier Ramos Ramírez</w:t>
            </w:r>
            <w:r w:rsidR="003962AF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 xml:space="preserve"> - </w:t>
            </w:r>
            <w:r w:rsidR="009A7950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Edwin H. Calderón García</w:t>
            </w:r>
          </w:p>
        </w:tc>
        <w:tc>
          <w:tcPr>
            <w:tcW w:w="5100" w:type="dxa"/>
            <w:vAlign w:val="center"/>
          </w:tcPr>
          <w:p w14:paraId="25B54D8E" w14:textId="6570BC06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</w:tbl>
    <w:p w14:paraId="7ECF357E" w14:textId="77777777" w:rsidR="00E74FE8" w:rsidRPr="005B3F83" w:rsidRDefault="00E74FE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</w:p>
    <w:p w14:paraId="6A54960D" w14:textId="6A69FB01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4.1 Fuente y extracción</w:t>
      </w:r>
    </w:p>
    <w:p w14:paraId="7D20B26D" w14:textId="77777777" w:rsidR="00E74FE8" w:rsidRPr="005B3F83" w:rsidRDefault="00E74FE8" w:rsidP="005B3F83">
      <w:pPr>
        <w:pStyle w:val="Ttulo2"/>
        <w:spacing w:before="0"/>
        <w:jc w:val="both"/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</w:pPr>
      <w:r w:rsidRPr="005B3F83">
        <w:rPr>
          <w:rFonts w:ascii="Cambria Math" w:eastAsiaTheme="minorEastAsia" w:hAnsi="Cambria Math" w:cstheme="minorBidi"/>
          <w:b w:val="0"/>
          <w:bCs w:val="0"/>
          <w:color w:val="auto"/>
          <w:sz w:val="18"/>
          <w:szCs w:val="18"/>
          <w:lang w:val="es-CO"/>
        </w:rPr>
        <w:t>Se utilizó la información de SECOP II correspondiente a contratos de INVIAS, almacenada en AWS. Se realizó la extracción y selección de las variables requeridas para las tres preguntas de negocio, priorizando campos contractuales, financieros, territoriales y temporales.</w:t>
      </w:r>
    </w:p>
    <w:p w14:paraId="4740BF84" w14:textId="77777777" w:rsidR="00E74FE8" w:rsidRPr="005B3F83" w:rsidRDefault="00E74FE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</w:p>
    <w:p w14:paraId="7DAFA86D" w14:textId="6E4424B2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4.2 Limpieza y transformación</w:t>
      </w:r>
    </w:p>
    <w:p w14:paraId="28545936" w14:textId="1BA4D7BD" w:rsidR="00787915" w:rsidRPr="005B3F83" w:rsidRDefault="00787915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7C9EB3DC" w14:textId="77777777" w:rsidR="00787915" w:rsidRPr="005B3F83" w:rsidRDefault="00787915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51E2588E" w14:textId="2CFCD11E" w:rsidR="00787915" w:rsidRPr="005B3F83" w:rsidRDefault="00787915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5A79CE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5A79CE" w:rsidRPr="005B3F83">
        <w:rPr>
          <w:rFonts w:ascii="Cambria Math" w:hAnsi="Cambria Math"/>
          <w:sz w:val="18"/>
          <w:szCs w:val="18"/>
          <w:lang w:val="es-CO"/>
        </w:rPr>
        <w:t xml:space="preserve">Se realizó depuración de tipos de datos, tratamiento de valores faltantes y estandarización de variables. </w:t>
      </w:r>
      <w:r w:rsidR="005A79CE" w:rsidRPr="005B3F83">
        <w:rPr>
          <w:rFonts w:ascii="Cambria Math" w:hAnsi="Cambria Math"/>
          <w:sz w:val="18"/>
          <w:szCs w:val="18"/>
          <w:lang w:val="es-CO"/>
        </w:rPr>
        <w:t xml:space="preserve">Así mismo </w:t>
      </w:r>
      <w:r w:rsidR="005A79CE" w:rsidRPr="005B3F83">
        <w:rPr>
          <w:rFonts w:ascii="Cambria Math" w:hAnsi="Cambria Math"/>
          <w:sz w:val="18"/>
          <w:szCs w:val="18"/>
          <w:lang w:val="es-CO"/>
        </w:rPr>
        <w:t>se revisaron especialmente los campos financieros, fechas, estados contractuales y variables asociadas a modificaciones y extensiones de plazo.</w:t>
      </w:r>
    </w:p>
    <w:p w14:paraId="041CA1F7" w14:textId="1EC9371F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4.3 Alistamiento y nuevas características</w:t>
      </w:r>
    </w:p>
    <w:p w14:paraId="5CC9AAF4" w14:textId="77777777" w:rsidR="000A7431" w:rsidRPr="005B3F83" w:rsidRDefault="000A7431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3FB033BF" w14:textId="77777777" w:rsidR="000A7431" w:rsidRPr="005B3F83" w:rsidRDefault="000A7431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607AAF1D" w14:textId="19A23CF1" w:rsidR="000A7431" w:rsidRPr="005B3F83" w:rsidRDefault="000A7431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F67E98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F67E98" w:rsidRPr="005B3F83">
        <w:rPr>
          <w:rFonts w:ascii="Cambria Math" w:hAnsi="Cambria Math"/>
          <w:sz w:val="18"/>
          <w:szCs w:val="18"/>
          <w:lang w:val="es-CO"/>
        </w:rPr>
        <w:t xml:space="preserve">Se construyó una base analítica integrada y se generaron variables derivadas para responder las preguntas de negocio. </w:t>
      </w:r>
      <w:r w:rsidR="00F67E98" w:rsidRPr="005B3F83">
        <w:rPr>
          <w:rFonts w:ascii="Cambria Math" w:hAnsi="Cambria Math"/>
          <w:sz w:val="18"/>
          <w:szCs w:val="18"/>
          <w:lang w:val="es-CO"/>
        </w:rPr>
        <w:t>S</w:t>
      </w:r>
      <w:r w:rsidR="00F67E98" w:rsidRPr="005B3F83">
        <w:rPr>
          <w:rFonts w:ascii="Cambria Math" w:hAnsi="Cambria Math"/>
          <w:sz w:val="18"/>
          <w:szCs w:val="18"/>
          <w:lang w:val="es-CO"/>
        </w:rPr>
        <w:t xml:space="preserve">e calcularon, entre otras, </w:t>
      </w:r>
      <w:r w:rsidR="00F67E98" w:rsidRPr="005B3F83">
        <w:rPr>
          <w:rFonts w:ascii="Cambria Math" w:hAnsi="Cambria Math"/>
          <w:b/>
          <w:bCs/>
          <w:sz w:val="18"/>
          <w:szCs w:val="18"/>
          <w:lang w:val="es-CO"/>
        </w:rPr>
        <w:t>porcentaje ejecutado, porcentaje pagado, días adicionados, existencia de extensión y contrato prioritario</w:t>
      </w:r>
      <w:r w:rsidR="00F67E98" w:rsidRPr="005B3F83">
        <w:rPr>
          <w:rFonts w:ascii="Cambria Math" w:hAnsi="Cambria Math"/>
          <w:sz w:val="18"/>
          <w:szCs w:val="18"/>
          <w:lang w:val="es-CO"/>
        </w:rPr>
        <w:t>.</w:t>
      </w:r>
    </w:p>
    <w:p w14:paraId="5C09EB61" w14:textId="6CCF1C39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4.4 Resultado del proceso</w:t>
      </w:r>
    </w:p>
    <w:p w14:paraId="39BEA663" w14:textId="77777777" w:rsidR="0074231F" w:rsidRPr="005B3F83" w:rsidRDefault="0074231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6201F52F" w14:textId="77777777" w:rsidR="0074231F" w:rsidRPr="005B3F83" w:rsidRDefault="0074231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74C6850E" w14:textId="55458477" w:rsidR="0074231F" w:rsidRPr="005B3F83" w:rsidRDefault="0074231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023579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023579" w:rsidRPr="005B3F83">
        <w:rPr>
          <w:rFonts w:ascii="Cambria Math" w:hAnsi="Cambria Math"/>
          <w:sz w:val="18"/>
          <w:szCs w:val="18"/>
          <w:lang w:val="es-CO"/>
        </w:rPr>
        <w:t xml:space="preserve">El proceso produjo bases analíticas listas para exploración, modelamiento y visualización. </w:t>
      </w:r>
      <w:r w:rsidR="00023579" w:rsidRPr="005B3F83">
        <w:rPr>
          <w:rFonts w:ascii="Cambria Math" w:hAnsi="Cambria Math"/>
          <w:sz w:val="18"/>
          <w:szCs w:val="18"/>
          <w:lang w:val="es-CO"/>
        </w:rPr>
        <w:t>S</w:t>
      </w:r>
      <w:r w:rsidR="00023579" w:rsidRPr="005B3F83">
        <w:rPr>
          <w:rFonts w:ascii="Cambria Math" w:hAnsi="Cambria Math"/>
          <w:sz w:val="18"/>
          <w:szCs w:val="18"/>
          <w:lang w:val="es-CO"/>
        </w:rPr>
        <w:t>e obtuvo una base de 20.718 contratos y 31 variables, utilizada como fuente del análisis y del tablero de ejecución financiera.</w:t>
      </w:r>
    </w:p>
    <w:p w14:paraId="2905F9CD" w14:textId="77777777" w:rsidR="0074231F" w:rsidRPr="005B3F83" w:rsidRDefault="0074231F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</w:p>
    <w:p w14:paraId="709B63D2" w14:textId="7EEB6EC8" w:rsidR="00D82905" w:rsidRPr="005B3F83" w:rsidRDefault="00334168" w:rsidP="005B3F83">
      <w:pPr>
        <w:pStyle w:val="Ttulo2"/>
        <w:spacing w:before="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4.5 Evidencias</w:t>
      </w:r>
    </w:p>
    <w:p w14:paraId="33491DDD" w14:textId="77777777" w:rsidR="00AA1CB4" w:rsidRPr="005B3F83" w:rsidRDefault="00AA1CB4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170B8207" w14:textId="77777777" w:rsidR="00AA1CB4" w:rsidRPr="005B3F83" w:rsidRDefault="00AA1CB4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13A4E125" w14:textId="2DFB1566" w:rsidR="00D82905" w:rsidRPr="005B3F83" w:rsidRDefault="00AA1CB4" w:rsidP="005B3F83">
      <w:pPr>
        <w:pStyle w:val="pdq2pgselectionanchorcontainer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t xml:space="preserve">Pregunta 3: </w:t>
      </w:r>
      <w:r w:rsidR="007949DA" w:rsidRPr="005B3F83">
        <w:rPr>
          <w:rFonts w:ascii="Cambria Math" w:hAnsi="Cambria Math"/>
          <w:sz w:val="18"/>
          <w:szCs w:val="18"/>
        </w:rPr>
        <w:t xml:space="preserve">Se documentó el proceso mediante </w:t>
      </w:r>
      <w:r w:rsidR="007949DA" w:rsidRPr="005B3F83">
        <w:rPr>
          <w:rStyle w:val="Fuerte"/>
          <w:rFonts w:ascii="Cambria Math" w:hAnsi="Cambria Math"/>
          <w:sz w:val="18"/>
          <w:szCs w:val="18"/>
        </w:rPr>
        <w:t>notebooks/código de extracción y transformación, archivos de datos resultantes y evidencias de AWS Glue/Athena</w:t>
      </w:r>
      <w:r w:rsidR="007949DA" w:rsidRPr="005B3F83">
        <w:rPr>
          <w:rFonts w:ascii="Cambria Math" w:hAnsi="Cambria Math"/>
          <w:sz w:val="18"/>
          <w:szCs w:val="18"/>
        </w:rPr>
        <w:t>, además del historial de cambios en GitHub.</w:t>
      </w:r>
      <w:r w:rsidR="00334168" w:rsidRPr="005B3F83">
        <w:rPr>
          <w:rFonts w:ascii="Cambria Math" w:hAnsi="Cambria Math"/>
          <w:sz w:val="18"/>
          <w:szCs w:val="18"/>
        </w:rPr>
        <w:br w:type="page"/>
      </w:r>
    </w:p>
    <w:p w14:paraId="375E1252" w14:textId="77777777" w:rsidR="00D82905" w:rsidRPr="005B3F83" w:rsidRDefault="00334168" w:rsidP="005B3F83">
      <w:pPr>
        <w:pStyle w:val="Ttulo1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lastRenderedPageBreak/>
        <w:t>5. Diseño y desarrollo del tablero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58A56BD1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2EF1B160" w14:textId="6F7E5AB7" w:rsidR="00D82905" w:rsidRPr="005B3F83" w:rsidRDefault="00334168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</w:rPr>
              <w:t>Rol</w:t>
            </w:r>
            <w:r w:rsidR="00D23737" w:rsidRPr="005B3F83">
              <w:rPr>
                <w:rFonts w:ascii="Cambria Math" w:hAnsi="Cambria Math"/>
                <w:b/>
                <w:sz w:val="18"/>
                <w:szCs w:val="18"/>
              </w:rPr>
              <w:t>:</w:t>
            </w:r>
            <w:r w:rsidR="007F53FC" w:rsidRPr="005B3F83">
              <w:rPr>
                <w:rFonts w:ascii="Cambria Math" w:hAnsi="Cambria Math"/>
                <w:bCs/>
                <w:sz w:val="18"/>
                <w:szCs w:val="18"/>
              </w:rPr>
              <w:t xml:space="preserve"> Tablero de datos</w:t>
            </w:r>
          </w:p>
        </w:tc>
        <w:tc>
          <w:tcPr>
            <w:tcW w:w="5100" w:type="dxa"/>
            <w:vAlign w:val="center"/>
          </w:tcPr>
          <w:p w14:paraId="092E84B3" w14:textId="1AB5B915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  <w:tr w:rsidR="00D82905" w:rsidRPr="005B3F83" w14:paraId="57030060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5D2611E2" w14:textId="3CF0A93A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Responsable(s)</w:t>
            </w:r>
            <w:r w:rsidR="006C0303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:</w:t>
            </w:r>
            <w:r w:rsidR="006C0303" w:rsidRPr="005B3F83">
              <w:rPr>
                <w:rFonts w:ascii="Cambria Math" w:hAnsi="Cambria Math"/>
                <w:bCs/>
                <w:sz w:val="18"/>
                <w:szCs w:val="18"/>
                <w:lang w:val="es-CO"/>
              </w:rPr>
              <w:t xml:space="preserve"> </w:t>
            </w:r>
            <w:r w:rsidR="006C0303" w:rsidRPr="005B3F83">
              <w:rPr>
                <w:rFonts w:ascii="Cambria Math" w:hAnsi="Cambria Math"/>
                <w:sz w:val="18"/>
                <w:szCs w:val="18"/>
                <w:lang w:val="es-CO"/>
              </w:rPr>
              <w:t xml:space="preserve">Cristian Camilo Rodríguez Cagueñas - </w:t>
            </w:r>
            <w:r w:rsidR="006C0303" w:rsidRPr="005B3F83">
              <w:rPr>
                <w:rFonts w:ascii="Cambria Math" w:eastAsia="Cambria Math" w:hAnsi="Cambria Math" w:cs="Cambria Math"/>
                <w:sz w:val="18"/>
                <w:szCs w:val="18"/>
                <w:lang w:val="es-ES"/>
              </w:rPr>
              <w:t>Jhoiner Javier Ramos Ramírez</w:t>
            </w:r>
            <w:r w:rsidR="006C0303" w:rsidRPr="005B3F83">
              <w:rPr>
                <w:rFonts w:ascii="Cambria Math" w:hAnsi="Cambria Math"/>
                <w:sz w:val="18"/>
                <w:szCs w:val="18"/>
                <w:lang w:val="es-CO"/>
              </w:rPr>
              <w:t xml:space="preserve"> - Edwin H. Calderón García</w:t>
            </w:r>
          </w:p>
        </w:tc>
        <w:tc>
          <w:tcPr>
            <w:tcW w:w="5100" w:type="dxa"/>
            <w:vAlign w:val="center"/>
          </w:tcPr>
          <w:p w14:paraId="1888E697" w14:textId="03108C9F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</w:tbl>
    <w:p w14:paraId="293254B1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5.1 Necesidad del usuario y diseño</w:t>
      </w:r>
    </w:p>
    <w:p w14:paraId="7372F84A" w14:textId="77777777" w:rsidR="00EB3AC1" w:rsidRPr="005B3F83" w:rsidRDefault="00EB3AC1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Se diseñó un tablero unificado orientado a facilitar la consulta de los resultados de las tres preguntas de negocio, mediante una interfaz común, filtros interactivos y visualizaciones enfocadas en los principales hallazgos.</w:t>
      </w:r>
    </w:p>
    <w:p w14:paraId="2BA6057B" w14:textId="3E2D85CE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1B2D1B40" w14:textId="77777777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4607932D" w14:textId="27755943" w:rsidR="003A55AF" w:rsidRPr="005B3F83" w:rsidRDefault="003A55AF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413E19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413E19" w:rsidRPr="005B3F83">
        <w:rPr>
          <w:rFonts w:ascii="Cambria Math" w:hAnsi="Cambria Math"/>
          <w:sz w:val="18"/>
          <w:szCs w:val="18"/>
          <w:lang w:val="es-CO"/>
        </w:rPr>
        <w:t>Diseño orientado al seguimiento de la ejecución financiera, recursos pendientes, extensiones contractuales y contratos prioritarios.</w:t>
      </w:r>
    </w:p>
    <w:p w14:paraId="7CA6B091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5.2 Desarrollo en Dash</w:t>
      </w:r>
    </w:p>
    <w:p w14:paraId="53C410B3" w14:textId="77777777" w:rsidR="00413E19" w:rsidRPr="005B3F83" w:rsidRDefault="00413E19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 xml:space="preserve">El tablero se desarrolló en </w:t>
      </w:r>
      <w:r w:rsidRPr="005B3F83">
        <w:rPr>
          <w:rStyle w:val="Fuerte"/>
          <w:rFonts w:ascii="Cambria Math" w:hAnsi="Cambria Math"/>
          <w:sz w:val="18"/>
          <w:szCs w:val="18"/>
          <w:lang w:val="es-CO"/>
        </w:rPr>
        <w:t>Python utilizando Dash y Plotly</w:t>
      </w:r>
      <w:r w:rsidRPr="005B3F83">
        <w:rPr>
          <w:rFonts w:ascii="Cambria Math" w:hAnsi="Cambria Math"/>
          <w:sz w:val="18"/>
          <w:szCs w:val="18"/>
          <w:lang w:val="es-CO"/>
        </w:rPr>
        <w:t>, con una arquitectura modular que permite integrar las tres preguntas de negocio en una misma aplicación.</w:t>
      </w:r>
    </w:p>
    <w:p w14:paraId="2751D8DD" w14:textId="3DB13ED4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09F95980" w14:textId="77777777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61D79A93" w14:textId="19480449" w:rsidR="003A55AF" w:rsidRPr="005B3F83" w:rsidRDefault="003A55AF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061D80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061D80" w:rsidRPr="005B3F83">
        <w:rPr>
          <w:rFonts w:ascii="Cambria Math" w:hAnsi="Cambria Math"/>
          <w:sz w:val="18"/>
          <w:szCs w:val="18"/>
          <w:lang w:val="es-CO"/>
        </w:rPr>
        <w:t>Implementación de filtros por estado, tipo, modalidad, extensión y nivel de ejecución; KPI dinámicos, gráficos financieros y tabla de contratos.</w:t>
      </w:r>
    </w:p>
    <w:p w14:paraId="5C32B72D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5.3 Integración de las preguntas de negocio</w:t>
      </w:r>
    </w:p>
    <w:p w14:paraId="7311FF5C" w14:textId="77777777" w:rsidR="00DE6283" w:rsidRPr="005B3F83" w:rsidRDefault="00DE6283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 xml:space="preserve">Los tres módulos fueron integrados en un </w:t>
      </w:r>
      <w:r w:rsidRPr="005B3F83">
        <w:rPr>
          <w:rStyle w:val="Fuerte"/>
          <w:rFonts w:ascii="Cambria Math" w:hAnsi="Cambria Math"/>
          <w:sz w:val="18"/>
          <w:szCs w:val="18"/>
          <w:lang w:val="es-CO"/>
        </w:rPr>
        <w:t>tablero unificado</w:t>
      </w:r>
      <w:r w:rsidRPr="005B3F83">
        <w:rPr>
          <w:rFonts w:ascii="Cambria Math" w:hAnsi="Cambria Math"/>
          <w:sz w:val="18"/>
          <w:szCs w:val="18"/>
          <w:lang w:val="es-CO"/>
        </w:rPr>
        <w:t>, manteniendo una estructura común de navegación y presentación, pero conservando las métricas y visualizaciones específicas de cada pregunta.</w:t>
      </w:r>
    </w:p>
    <w:p w14:paraId="36E27C4C" w14:textId="0B73C324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29C7360B" w14:textId="77777777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2DF54EF3" w14:textId="38FCADC9" w:rsidR="003A55AF" w:rsidRPr="005B3F83" w:rsidRDefault="003A55AF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7B2EB8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061D80" w:rsidRPr="005B3F83">
        <w:rPr>
          <w:rFonts w:ascii="Cambria Math" w:hAnsi="Cambria Math"/>
          <w:sz w:val="18"/>
          <w:szCs w:val="18"/>
          <w:lang w:val="es-CO"/>
        </w:rPr>
        <w:t xml:space="preserve">Módulo de </w:t>
      </w:r>
      <w:r w:rsidR="00061D80" w:rsidRPr="005B3F83">
        <w:rPr>
          <w:rStyle w:val="Fuerte"/>
          <w:rFonts w:ascii="Cambria Math" w:hAnsi="Cambria Math"/>
          <w:sz w:val="18"/>
          <w:szCs w:val="18"/>
          <w:lang w:val="es-CO"/>
        </w:rPr>
        <w:t>ejecución financiera y modificaciones contractuales</w:t>
      </w:r>
      <w:r w:rsidR="00061D80" w:rsidRPr="005B3F83">
        <w:rPr>
          <w:rFonts w:ascii="Cambria Math" w:hAnsi="Cambria Math"/>
          <w:sz w:val="18"/>
          <w:szCs w:val="18"/>
          <w:lang w:val="es-CO"/>
        </w:rPr>
        <w:t>.</w:t>
      </w:r>
    </w:p>
    <w:p w14:paraId="3C12D78B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5.4 Validación y ajustes</w:t>
      </w:r>
    </w:p>
    <w:p w14:paraId="7D9AE3FE" w14:textId="77777777" w:rsidR="00061D80" w:rsidRPr="005B3F83" w:rsidRDefault="00061D80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Se realizaron pruebas funcionales de filtros, visualizaciones, navegación e interacción, ajustando los componentes para garantizar consistencia entre los resultados analíticos y el tablero.</w:t>
      </w:r>
    </w:p>
    <w:p w14:paraId="20306CF0" w14:textId="313FF4B0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1:</w:t>
      </w:r>
    </w:p>
    <w:p w14:paraId="7CCFEB28" w14:textId="77777777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67CF8BBB" w14:textId="5E6A5324" w:rsidR="003A55AF" w:rsidRPr="005B3F83" w:rsidRDefault="003A55AF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5B3F83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5B3F83" w:rsidRPr="005B3F83">
        <w:rPr>
          <w:rFonts w:ascii="Cambria Math" w:hAnsi="Cambria Math"/>
          <w:sz w:val="18"/>
          <w:szCs w:val="18"/>
          <w:lang w:val="es-CO"/>
        </w:rPr>
        <w:t>Validación de filtros, KPI, gráficos, tabla de contratos y regla de priorización; se corrigió el funcionamiento del filtro de nivel de ejecución y se incorporó una ventana de ayuda al usuario.</w:t>
      </w:r>
    </w:p>
    <w:p w14:paraId="729B9AD1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5.5 Resultado</w:t>
      </w:r>
    </w:p>
    <w:p w14:paraId="65FFD339" w14:textId="5928F463" w:rsidR="003A55AF" w:rsidRPr="005B3F83" w:rsidRDefault="005B3F83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 xml:space="preserve">Se obtuvo un </w:t>
      </w:r>
      <w:r w:rsidRPr="005B3F83">
        <w:rPr>
          <w:rStyle w:val="Fuerte"/>
          <w:rFonts w:ascii="Cambria Math" w:hAnsi="Cambria Math"/>
          <w:sz w:val="18"/>
          <w:szCs w:val="18"/>
          <w:lang w:val="es-CO"/>
        </w:rPr>
        <w:t>tablero interactivo unificado en Dash</w:t>
      </w:r>
      <w:r w:rsidRPr="005B3F83">
        <w:rPr>
          <w:rFonts w:ascii="Cambria Math" w:hAnsi="Cambria Math"/>
          <w:sz w:val="18"/>
          <w:szCs w:val="18"/>
          <w:lang w:val="es-CO"/>
        </w:rPr>
        <w:t xml:space="preserve"> que permite explorar los resultados de las tres preguntas de negocio y facilita la consulta de información mediante filtros y visualizaciones </w:t>
      </w:r>
      <w:proofErr w:type="spellStart"/>
      <w:r w:rsidRPr="005B3F83">
        <w:rPr>
          <w:rFonts w:ascii="Cambria Math" w:hAnsi="Cambria Math"/>
          <w:sz w:val="18"/>
          <w:szCs w:val="18"/>
          <w:lang w:val="es-CO"/>
        </w:rPr>
        <w:t>dinámicas.</w:t>
      </w:r>
      <w:r w:rsidR="003A55AF" w:rsidRPr="005B3F83">
        <w:rPr>
          <w:rFonts w:ascii="Cambria Math" w:hAnsi="Cambria Math"/>
          <w:sz w:val="18"/>
          <w:szCs w:val="18"/>
          <w:lang w:val="es-CO"/>
        </w:rPr>
        <w:t>Pregunta</w:t>
      </w:r>
      <w:proofErr w:type="spellEnd"/>
      <w:r w:rsidR="003A55AF" w:rsidRPr="005B3F83">
        <w:rPr>
          <w:rFonts w:ascii="Cambria Math" w:hAnsi="Cambria Math"/>
          <w:sz w:val="18"/>
          <w:szCs w:val="18"/>
          <w:lang w:val="es-CO"/>
        </w:rPr>
        <w:t xml:space="preserve"> 1:</w:t>
      </w:r>
    </w:p>
    <w:p w14:paraId="22572519" w14:textId="77777777" w:rsidR="003A55AF" w:rsidRPr="005B3F83" w:rsidRDefault="003A55AF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2:</w:t>
      </w:r>
    </w:p>
    <w:p w14:paraId="40ADC8DE" w14:textId="489CC76A" w:rsidR="003A55AF" w:rsidRPr="005B3F83" w:rsidRDefault="003A55AF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Pregunta 3:</w:t>
      </w:r>
      <w:r w:rsidR="005B3F83" w:rsidRPr="005B3F83">
        <w:rPr>
          <w:rFonts w:ascii="Cambria Math" w:hAnsi="Cambria Math"/>
          <w:sz w:val="18"/>
          <w:szCs w:val="18"/>
          <w:lang w:val="es-CO"/>
        </w:rPr>
        <w:t xml:space="preserve"> </w:t>
      </w:r>
      <w:r w:rsidR="005B3F83" w:rsidRPr="005B3F83">
        <w:rPr>
          <w:rFonts w:ascii="Cambria Math" w:hAnsi="Cambria Math"/>
          <w:sz w:val="18"/>
          <w:szCs w:val="18"/>
          <w:lang w:val="es-CO"/>
        </w:rPr>
        <w:t xml:space="preserve">Herramienta para analizar la </w:t>
      </w:r>
      <w:r w:rsidR="005B3F83" w:rsidRPr="005B3F83">
        <w:rPr>
          <w:rStyle w:val="Fuerte"/>
          <w:rFonts w:ascii="Cambria Math" w:hAnsi="Cambria Math"/>
          <w:sz w:val="18"/>
          <w:szCs w:val="18"/>
          <w:lang w:val="es-CO"/>
        </w:rPr>
        <w:t>ejecución financiera y priorizar contratos para seguimiento</w:t>
      </w:r>
      <w:r w:rsidR="005B3F83" w:rsidRPr="005B3F83">
        <w:rPr>
          <w:rFonts w:ascii="Cambria Math" w:hAnsi="Cambria Math"/>
          <w:sz w:val="18"/>
          <w:szCs w:val="18"/>
          <w:lang w:val="es-CO"/>
        </w:rPr>
        <w:t>, incluyendo detalle contractual.</w:t>
      </w:r>
    </w:p>
    <w:p w14:paraId="4FB728DC" w14:textId="77777777" w:rsidR="00D82905" w:rsidRPr="005B3F83" w:rsidRDefault="00334168" w:rsidP="005B3F83">
      <w:pPr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br w:type="page"/>
      </w:r>
    </w:p>
    <w:p w14:paraId="40A76453" w14:textId="77777777" w:rsidR="00D82905" w:rsidRPr="005B3F83" w:rsidRDefault="00334168" w:rsidP="005B3F83">
      <w:pPr>
        <w:pStyle w:val="Ttulo1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lastRenderedPageBreak/>
        <w:t>6. Despliegue y mantenimiento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D82905" w:rsidRPr="005B3F83" w14:paraId="48538100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70C0AD46" w14:textId="41426E1A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</w:rPr>
              <w:t>Rol</w:t>
            </w:r>
            <w:r w:rsidR="007F53FC" w:rsidRPr="005B3F83">
              <w:rPr>
                <w:rFonts w:ascii="Cambria Math" w:hAnsi="Cambria Math"/>
                <w:b/>
                <w:sz w:val="18"/>
                <w:szCs w:val="18"/>
              </w:rPr>
              <w:t>:</w:t>
            </w:r>
            <w:r w:rsidR="007F53FC" w:rsidRPr="005B3F83">
              <w:rPr>
                <w:rFonts w:ascii="Cambria Math" w:hAnsi="Cambria Math"/>
                <w:bCs/>
                <w:sz w:val="18"/>
                <w:szCs w:val="18"/>
              </w:rPr>
              <w:t xml:space="preserve"> Despliegue y mantenimiento</w:t>
            </w:r>
          </w:p>
        </w:tc>
        <w:tc>
          <w:tcPr>
            <w:tcW w:w="5100" w:type="dxa"/>
            <w:vAlign w:val="center"/>
          </w:tcPr>
          <w:p w14:paraId="2AC45090" w14:textId="6B43D649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</w:rPr>
            </w:pPr>
          </w:p>
        </w:tc>
      </w:tr>
      <w:tr w:rsidR="00D82905" w:rsidRPr="005B3F83" w14:paraId="45D61211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688AAED" w14:textId="4A7AA952" w:rsidR="00D82905" w:rsidRPr="005B3F83" w:rsidRDefault="00334168" w:rsidP="005B3F83">
            <w:pPr>
              <w:jc w:val="both"/>
              <w:rPr>
                <w:rFonts w:ascii="Cambria Math" w:hAnsi="Cambria Math"/>
                <w:bCs/>
                <w:sz w:val="18"/>
                <w:szCs w:val="18"/>
                <w:lang w:val="es-CO"/>
              </w:rPr>
            </w:pPr>
            <w:r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Responsable(s)</w:t>
            </w:r>
            <w:r w:rsidR="007F53FC" w:rsidRPr="005B3F83">
              <w:rPr>
                <w:rFonts w:ascii="Cambria Math" w:hAnsi="Cambria Math"/>
                <w:b/>
                <w:sz w:val="18"/>
                <w:szCs w:val="18"/>
                <w:lang w:val="es-CO"/>
              </w:rPr>
              <w:t>:</w:t>
            </w:r>
            <w:r w:rsidR="007F53FC" w:rsidRPr="005B3F83">
              <w:rPr>
                <w:rFonts w:ascii="Cambria Math" w:hAnsi="Cambria Math"/>
                <w:bCs/>
                <w:sz w:val="18"/>
                <w:szCs w:val="18"/>
                <w:lang w:val="es-CO"/>
              </w:rPr>
              <w:t xml:space="preserve"> </w:t>
            </w:r>
            <w:r w:rsidR="007F53FC" w:rsidRPr="005B3F83">
              <w:rPr>
                <w:rFonts w:ascii="Cambria Math" w:hAnsi="Cambria Math"/>
                <w:sz w:val="18"/>
                <w:szCs w:val="18"/>
                <w:lang w:val="es-CO"/>
              </w:rPr>
              <w:t>Jhoiner Javier Ramos Ramírez</w:t>
            </w:r>
          </w:p>
        </w:tc>
        <w:tc>
          <w:tcPr>
            <w:tcW w:w="5100" w:type="dxa"/>
            <w:vAlign w:val="center"/>
          </w:tcPr>
          <w:p w14:paraId="04121C58" w14:textId="4447C153" w:rsidR="00D82905" w:rsidRPr="005B3F83" w:rsidRDefault="00D82905" w:rsidP="005B3F83">
            <w:pPr>
              <w:jc w:val="both"/>
              <w:rPr>
                <w:rFonts w:ascii="Cambria Math" w:hAnsi="Cambria Math"/>
                <w:sz w:val="18"/>
                <w:szCs w:val="18"/>
                <w:lang w:val="es-CO"/>
              </w:rPr>
            </w:pPr>
          </w:p>
        </w:tc>
      </w:tr>
    </w:tbl>
    <w:p w14:paraId="407FF58F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</w:rPr>
      </w:pPr>
      <w:r w:rsidRPr="005B3F83">
        <w:rPr>
          <w:rFonts w:ascii="Cambria Math" w:hAnsi="Cambria Math"/>
          <w:sz w:val="18"/>
          <w:szCs w:val="18"/>
        </w:rPr>
        <w:t>6.1 Preparación del entorno</w:t>
      </w:r>
    </w:p>
    <w:p w14:paraId="07FC518F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[Describir los pasos realizados en AWS EC2, ejecución, verificación, mantenimiento y evidencias.]</w:t>
      </w:r>
    </w:p>
    <w:p w14:paraId="75D18FEC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6.2 Despliegue</w:t>
      </w:r>
    </w:p>
    <w:p w14:paraId="038B3AB0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[Describir los pasos realizados en AWS EC2, ejecución, verificación, mantenimiento y evidencias.]</w:t>
      </w:r>
    </w:p>
    <w:p w14:paraId="0F571F46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6.3 Verificación</w:t>
      </w:r>
    </w:p>
    <w:p w14:paraId="1C576FC9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[Describir los pasos realizados en AWS EC2, ejecución, verificación, mantenimiento y evidencias.]</w:t>
      </w:r>
    </w:p>
    <w:p w14:paraId="61684410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6.4 Mantenimiento y replicabilidad</w:t>
      </w:r>
    </w:p>
    <w:p w14:paraId="7808160A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[Describir los pasos realizados en AWS EC2, ejecución, verificación, mantenimiento y evidencias.]</w:t>
      </w:r>
    </w:p>
    <w:p w14:paraId="694283FA" w14:textId="77777777" w:rsidR="00D82905" w:rsidRPr="005B3F83" w:rsidRDefault="00334168" w:rsidP="005B3F83">
      <w:pPr>
        <w:pStyle w:val="Ttulo2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6.5 Evidencias</w:t>
      </w:r>
    </w:p>
    <w:p w14:paraId="37CE01E3" w14:textId="77777777" w:rsidR="00D82905" w:rsidRPr="005B3F83" w:rsidRDefault="0033416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  <w:r w:rsidRPr="005B3F83">
        <w:rPr>
          <w:rFonts w:ascii="Cambria Math" w:hAnsi="Cambria Math"/>
          <w:sz w:val="18"/>
          <w:szCs w:val="18"/>
          <w:lang w:val="es-CO"/>
        </w:rPr>
        <w:t>[Describir los pasos realizados en AWS EC2, ejecución, verificación, mantenimiento y evidencias.]</w:t>
      </w:r>
    </w:p>
    <w:p w14:paraId="7959FD04" w14:textId="77777777" w:rsidR="00F67E98" w:rsidRPr="005B3F83" w:rsidRDefault="00F67E98" w:rsidP="005B3F83">
      <w:pPr>
        <w:spacing w:after="80"/>
        <w:jc w:val="both"/>
        <w:rPr>
          <w:rFonts w:ascii="Cambria Math" w:hAnsi="Cambria Math"/>
          <w:sz w:val="18"/>
          <w:szCs w:val="18"/>
          <w:lang w:val="es-CO"/>
        </w:rPr>
      </w:pPr>
    </w:p>
    <w:sectPr w:rsidR="00F67E98" w:rsidRPr="005B3F83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E62C53E" w14:textId="77777777" w:rsidR="00334168" w:rsidRDefault="00334168">
      <w:pPr>
        <w:spacing w:after="0" w:line="240" w:lineRule="auto"/>
      </w:pPr>
      <w:r>
        <w:separator/>
      </w:r>
    </w:p>
  </w:endnote>
  <w:endnote w:type="continuationSeparator" w:id="0">
    <w:p w14:paraId="0CFFE805" w14:textId="77777777" w:rsidR="00334168" w:rsidRDefault="003341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043131" w14:textId="0F6F6753" w:rsidR="00D82905" w:rsidRDefault="00334168">
    <w:pPr>
      <w:pStyle w:val="Piedepgina"/>
      <w:jc w:val="center"/>
    </w:pPr>
    <w:r>
      <w:rPr>
        <w:sz w:val="16"/>
      </w:rPr>
      <w:t xml:space="preserve">Proyecto 1 — Analítica de contratación pública | </w:t>
    </w:r>
    <w:r>
      <w:rPr>
        <w:sz w:val="16"/>
      </w:rPr>
      <w:fldChar w:fldCharType="begin"/>
    </w:r>
    <w:r>
      <w:rPr>
        <w:sz w:val="16"/>
      </w:rPr>
      <w:instrText>PAGE</w:instrText>
    </w:r>
    <w:r w:rsidR="00FA3E88">
      <w:rPr>
        <w:sz w:val="16"/>
      </w:rPr>
      <w:fldChar w:fldCharType="separate"/>
    </w:r>
    <w:r w:rsidR="00FA3E88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2F971F" w14:textId="77777777" w:rsidR="00334168" w:rsidRDefault="00334168">
      <w:pPr>
        <w:spacing w:after="0" w:line="240" w:lineRule="auto"/>
      </w:pPr>
      <w:r>
        <w:separator/>
      </w:r>
    </w:p>
  </w:footnote>
  <w:footnote w:type="continuationSeparator" w:id="0">
    <w:p w14:paraId="6E493028" w14:textId="77777777" w:rsidR="00334168" w:rsidRDefault="003341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4D7644"/>
    <w:multiLevelType w:val="hybridMultilevel"/>
    <w:tmpl w:val="C56AF1A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A37C9"/>
    <w:multiLevelType w:val="multilevel"/>
    <w:tmpl w:val="D6E8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233763">
    <w:abstractNumId w:val="8"/>
  </w:num>
  <w:num w:numId="2" w16cid:durableId="381027169">
    <w:abstractNumId w:val="6"/>
  </w:num>
  <w:num w:numId="3" w16cid:durableId="403457771">
    <w:abstractNumId w:val="5"/>
  </w:num>
  <w:num w:numId="4" w16cid:durableId="376515872">
    <w:abstractNumId w:val="4"/>
  </w:num>
  <w:num w:numId="5" w16cid:durableId="752239859">
    <w:abstractNumId w:val="7"/>
  </w:num>
  <w:num w:numId="6" w16cid:durableId="1932547697">
    <w:abstractNumId w:val="3"/>
  </w:num>
  <w:num w:numId="7" w16cid:durableId="597981114">
    <w:abstractNumId w:val="2"/>
  </w:num>
  <w:num w:numId="8" w16cid:durableId="383065576">
    <w:abstractNumId w:val="1"/>
  </w:num>
  <w:num w:numId="9" w16cid:durableId="6954486">
    <w:abstractNumId w:val="0"/>
  </w:num>
  <w:num w:numId="10" w16cid:durableId="1673799433">
    <w:abstractNumId w:val="10"/>
  </w:num>
  <w:num w:numId="11" w16cid:durableId="1076443080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579"/>
    <w:rsid w:val="00033E56"/>
    <w:rsid w:val="00034616"/>
    <w:rsid w:val="000375E6"/>
    <w:rsid w:val="0006063C"/>
    <w:rsid w:val="00061D80"/>
    <w:rsid w:val="00064521"/>
    <w:rsid w:val="000A7431"/>
    <w:rsid w:val="0010578B"/>
    <w:rsid w:val="0015074B"/>
    <w:rsid w:val="0029639D"/>
    <w:rsid w:val="002C5C4A"/>
    <w:rsid w:val="00326F90"/>
    <w:rsid w:val="00334168"/>
    <w:rsid w:val="0036148D"/>
    <w:rsid w:val="00361687"/>
    <w:rsid w:val="003962AF"/>
    <w:rsid w:val="003A55AF"/>
    <w:rsid w:val="003C7D9F"/>
    <w:rsid w:val="00413E19"/>
    <w:rsid w:val="00440E31"/>
    <w:rsid w:val="0044405C"/>
    <w:rsid w:val="0045450F"/>
    <w:rsid w:val="004759B0"/>
    <w:rsid w:val="004E6446"/>
    <w:rsid w:val="00532A86"/>
    <w:rsid w:val="00550D3C"/>
    <w:rsid w:val="005A79CE"/>
    <w:rsid w:val="005B3F83"/>
    <w:rsid w:val="006B141D"/>
    <w:rsid w:val="006C0303"/>
    <w:rsid w:val="006D689F"/>
    <w:rsid w:val="007419FC"/>
    <w:rsid w:val="0074231F"/>
    <w:rsid w:val="00747B84"/>
    <w:rsid w:val="00767022"/>
    <w:rsid w:val="00787915"/>
    <w:rsid w:val="007949DA"/>
    <w:rsid w:val="007B2EB8"/>
    <w:rsid w:val="007C3D8F"/>
    <w:rsid w:val="007F53FC"/>
    <w:rsid w:val="00813967"/>
    <w:rsid w:val="00827F8D"/>
    <w:rsid w:val="00850B7E"/>
    <w:rsid w:val="009049F7"/>
    <w:rsid w:val="00926A02"/>
    <w:rsid w:val="0093175E"/>
    <w:rsid w:val="009512DB"/>
    <w:rsid w:val="00990CBF"/>
    <w:rsid w:val="009A7950"/>
    <w:rsid w:val="009E344E"/>
    <w:rsid w:val="00A52355"/>
    <w:rsid w:val="00AA1CB4"/>
    <w:rsid w:val="00AA1D8D"/>
    <w:rsid w:val="00AC2CFF"/>
    <w:rsid w:val="00AF27B8"/>
    <w:rsid w:val="00B44960"/>
    <w:rsid w:val="00B47730"/>
    <w:rsid w:val="00CB0664"/>
    <w:rsid w:val="00CD2722"/>
    <w:rsid w:val="00D23737"/>
    <w:rsid w:val="00D82905"/>
    <w:rsid w:val="00DA4411"/>
    <w:rsid w:val="00DB277D"/>
    <w:rsid w:val="00DE6283"/>
    <w:rsid w:val="00E46B25"/>
    <w:rsid w:val="00E65770"/>
    <w:rsid w:val="00E74FE8"/>
    <w:rsid w:val="00EB3AC1"/>
    <w:rsid w:val="00F61B91"/>
    <w:rsid w:val="00F67E98"/>
    <w:rsid w:val="00FA3E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5AC4C57-F223-EE4C-8618-53A996F8C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9512DB"/>
    <w:pPr>
      <w:autoSpaceDE w:val="0"/>
      <w:autoSpaceDN w:val="0"/>
      <w:adjustRightInd w:val="0"/>
      <w:spacing w:after="0" w:line="240" w:lineRule="auto"/>
    </w:pPr>
    <w:rPr>
      <w:rFonts w:ascii="Century Gothic" w:eastAsiaTheme="minorHAnsi" w:hAnsi="Century Gothic" w:cs="Century Gothic"/>
      <w:color w:val="000000"/>
      <w:sz w:val="24"/>
      <w:szCs w:val="24"/>
      <w:lang w:val="es-CO"/>
    </w:rPr>
  </w:style>
  <w:style w:type="paragraph" w:styleId="NormalWeb">
    <w:name w:val="Normal (Web)"/>
    <w:basedOn w:val="Normal"/>
    <w:uiPriority w:val="99"/>
    <w:semiHidden/>
    <w:unhideWhenUsed/>
    <w:rsid w:val="00DA4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ES_tradnl"/>
    </w:rPr>
  </w:style>
  <w:style w:type="paragraph" w:customStyle="1" w:styleId="pdq2pgselectionanchorcontainer">
    <w:name w:val="pdq2pg_selectionanchorcontainer"/>
    <w:basedOn w:val="Normal"/>
    <w:rsid w:val="001057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ES_tradnl"/>
    </w:rPr>
  </w:style>
  <w:style w:type="table" w:styleId="Tablanormal4">
    <w:name w:val="Plain Table 4"/>
    <w:basedOn w:val="Tablanormal"/>
    <w:uiPriority w:val="99"/>
    <w:rsid w:val="00DB277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1792</Words>
  <Characters>10915</Characters>
  <Application>Microsoft Office Word</Application>
  <DocSecurity>0</DocSecurity>
  <Lines>248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Edwin Hernando Calderon Garcia</cp:lastModifiedBy>
  <cp:revision>63</cp:revision>
  <dcterms:created xsi:type="dcterms:W3CDTF">2013-12-23T23:15:00Z</dcterms:created>
  <dcterms:modified xsi:type="dcterms:W3CDTF">2026-09-13T22:18:00Z</dcterms:modified>
  <cp:category/>
</cp:coreProperties>
</file>