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ClawLink</w:t>
      </w:r>
      <w:r>
        <w:t xml:space="preserve"> </w:t>
      </w:r>
      <w:r>
        <w:t xml:space="preserve">Study:</w:t>
      </w:r>
      <w:r>
        <w:t xml:space="preserve"> </w:t>
      </w:r>
      <w:r>
        <w:t xml:space="preserve">Auditable</w:t>
      </w:r>
      <w:r>
        <w:t xml:space="preserve"> </w:t>
      </w:r>
      <w:r>
        <w:t xml:space="preserve">Compact</w:t>
      </w:r>
      <w:r>
        <w:t xml:space="preserve"> </w:t>
      </w:r>
      <w:r>
        <w:t xml:space="preserve">Protocols</w:t>
      </w:r>
      <w:r>
        <w:t xml:space="preserve"> </w:t>
      </w:r>
      <w:r>
        <w:t xml:space="preserve">for</w:t>
      </w:r>
      <w:r>
        <w:t xml:space="preserve"> </w:t>
      </w:r>
      <w:r>
        <w:t xml:space="preserve">Two-Agent</w:t>
      </w:r>
      <w:r>
        <w:t xml:space="preserve"> </w:t>
      </w:r>
      <w:r>
        <w:t xml:space="preserve">Collaboration</w:t>
      </w:r>
    </w:p>
    <w:p>
      <w:pPr>
        <w:pStyle w:val="Date"/>
      </w:pPr>
      <w:r>
        <w:t xml:space="preserve">2026-09-15</w:t>
      </w:r>
    </w:p>
    <w:bookmarkStart w:id="47" w:name="X8c4d9f1b9372a815859e2db362d6a44408b8dd0"/>
    <w:p>
      <w:pPr>
        <w:pStyle w:val="Heading1"/>
      </w:pPr>
      <w:r>
        <w:t xml:space="preserve">Auditable Compact Protocols for Two-Agent Collaboration</w:t>
      </w:r>
    </w:p>
    <w:bookmarkStart w:id="21" w:name="a-reproducible-openclaw-case-study"/>
    <w:p>
      <w:pPr>
        <w:pStyle w:val="Heading2"/>
      </w:pPr>
      <w:r>
        <w:t xml:space="preserve">A reproducible OpenClaw case study</w:t>
      </w:r>
    </w:p>
    <w:bookmarkStart w:id="20" w:name="abstract"/>
    <w:p>
      <w:pPr>
        <w:pStyle w:val="Heading3"/>
      </w:pPr>
      <w:r>
        <w:t xml:space="preserve">Abstract</w:t>
      </w:r>
    </w:p>
    <w:p>
      <w:pPr>
        <w:pStyle w:val="FirstParagraph"/>
      </w:pPr>
      <w:r>
        <w:t xml:space="preserve">This case study evaluates whether two independently hosted AI agents can use a</w:t>
      </w:r>
      <w:r>
        <w:t xml:space="preserve"> </w:t>
      </w:r>
      <w:r>
        <w:t xml:space="preserve">compact communication protocol without sacrificing auditability, safety, or</w:t>
      </w:r>
      <w:r>
        <w:t xml:space="preserve"> </w:t>
      </w:r>
      <w:r>
        <w:t xml:space="preserve">handoff resilience. We deployed a primary OpenClaw agent and a separate,</w:t>
      </w:r>
      <w:r>
        <w:t xml:space="preserve"> </w:t>
      </w:r>
      <w:r>
        <w:t xml:space="preserve">freshly provisioned worker agent (“Worker Agent”) on separate systems connected by</w:t>
      </w:r>
      <w:r>
        <w:t xml:space="preserve"> </w:t>
      </w:r>
      <w:r>
        <w:t xml:space="preserve">Tailscale. The agents exchanged synthetic cybersecurity-alert tasks through a</w:t>
      </w:r>
      <w:r>
        <w:t xml:space="preserve"> </w:t>
      </w:r>
      <w:r>
        <w:t xml:space="preserve">loopback-only relay carried by authenticated SSH. The relay wrote append-only,</w:t>
      </w:r>
      <w:r>
        <w:t xml:space="preserve"> </w:t>
      </w:r>
      <w:r>
        <w:t xml:space="preserve">fsynced JSONL audit records.</w:t>
      </w:r>
    </w:p>
    <w:p>
      <w:pPr>
        <w:pStyle w:val="BodyText"/>
      </w:pPr>
      <w:r>
        <w:t xml:space="preserve">The experiment progressed from plain-English messages to a structured protocol</w:t>
      </w:r>
      <w:r>
        <w:t xml:space="preserve"> </w:t>
      </w:r>
      <w:r>
        <w:t xml:space="preserve">(CLX/1), then to CLX/2.1, a negotiated compact dictionary with deterministic</w:t>
      </w:r>
      <w:r>
        <w:t xml:space="preserve"> </w:t>
      </w:r>
      <w:r>
        <w:t xml:space="preserve">relay-side decoding and mandatory English checkpoints. In the final validated</w:t>
      </w:r>
      <w:r>
        <w:t xml:space="preserve"> </w:t>
      </w:r>
      <w:r>
        <w:t xml:space="preserve">20-case synthetic run, CLX/2.1 produced 20/20 expected labels, zero premature</w:t>
      </w:r>
      <w:r>
        <w:t xml:space="preserve"> </w:t>
      </w:r>
      <w:r>
        <w:t xml:space="preserve">escalations, four checkpoint acknowledgments, mean wall-clock completion time</w:t>
      </w:r>
      <w:r>
        <w:t xml:space="preserve"> </w:t>
      </w:r>
      <w:r>
        <w:t xml:space="preserve">of 16.31 seconds, and mean request/response sizes of 161.8/526.2 bytes. A</w:t>
      </w:r>
      <w:r>
        <w:t xml:space="preserve"> </w:t>
      </w:r>
      <w:r>
        <w:t xml:space="preserve">fresh, run-scoped worker session recovered from the documented protocol and</w:t>
      </w:r>
      <w:r>
        <w:t xml:space="preserve"> </w:t>
      </w:r>
      <w:r>
        <w:t xml:space="preserve">artifacts, classified 4/4 selected cases correctly, acknowledged the required</w:t>
      </w:r>
      <w:r>
        <w:t xml:space="preserve"> </w:t>
      </w:r>
      <w:r>
        <w:t xml:space="preserve">checkpoint, and safely escalated an unknown task reference.</w:t>
      </w:r>
    </w:p>
    <w:p>
      <w:pPr>
        <w:pStyle w:val="BodyText"/>
      </w:pPr>
      <w:r>
        <w:t xml:space="preserve">This is a case study, not evidence of general agent-to-agent language</w:t>
      </w:r>
      <w:r>
        <w:t xml:space="preserve"> </w:t>
      </w:r>
      <w:r>
        <w:t xml:space="preserve">optimization. It shows that modest, versioned compression can be made</w:t>
      </w:r>
      <w:r>
        <w:t xml:space="preserve"> </w:t>
      </w:r>
      <w:r>
        <w:t xml:space="preserve">inspectable and recoverable in this controlled workload when it is constrained</w:t>
      </w:r>
      <w:r>
        <w:t xml:space="preserve"> </w:t>
      </w:r>
      <w:r>
        <w:t xml:space="preserve">by an explicit task dictionary, evidence references, a plain-language fallback,</w:t>
      </w:r>
      <w:r>
        <w:t xml:space="preserve"> </w:t>
      </w:r>
      <w:r>
        <w:t xml:space="preserve">and durable logs. It does not establish a general safety or performance claim.</w:t>
      </w:r>
    </w:p>
    <w:bookmarkEnd w:id="20"/>
    <w:bookmarkEnd w:id="21"/>
    <w:bookmarkStart w:id="22" w:name="X80c77a91a310904fc86f2a9249fd2401cc397b6"/>
    <w:p>
      <w:pPr>
        <w:pStyle w:val="Heading2"/>
      </w:pPr>
      <w:r>
        <w:t xml:space="preserve">1. Research question</w:t>
      </w:r>
    </w:p>
    <w:p>
      <w:pPr>
        <w:pStyle w:val="FirstParagraph"/>
      </w:pPr>
      <w:r>
        <w:t xml:space="preserve">Can independently hosted agents communicate more efficiently with a compact</w:t>
      </w:r>
      <w:r>
        <w:t xml:space="preserve"> </w:t>
      </w:r>
      <w:r>
        <w:t xml:space="preserve">protocol while retaining all of the following?</w:t>
      </w:r>
    </w:p>
    <w:p>
      <w:pPr>
        <w:numPr>
          <w:ilvl w:val="0"/>
          <w:numId w:val="1001"/>
        </w:numPr>
        <w:pStyle w:val="Compact"/>
      </w:pPr>
      <w:r>
        <w:t xml:space="preserve">Correct task completion.</w:t>
      </w:r>
    </w:p>
    <w:p>
      <w:pPr>
        <w:numPr>
          <w:ilvl w:val="0"/>
          <w:numId w:val="1001"/>
        </w:numPr>
        <w:pStyle w:val="Compact"/>
      </w:pPr>
      <w:r>
        <w:t xml:space="preserve">Human-auditable meaning and evidence.</w:t>
      </w:r>
    </w:p>
    <w:p>
      <w:pPr>
        <w:numPr>
          <w:ilvl w:val="0"/>
          <w:numId w:val="1001"/>
        </w:numPr>
        <w:pStyle w:val="Compact"/>
      </w:pPr>
      <w:r>
        <w:t xml:space="preserve">Safe escalation when instructions, scope, or protocol state are uncertain.</w:t>
      </w:r>
    </w:p>
    <w:p>
      <w:pPr>
        <w:numPr>
          <w:ilvl w:val="0"/>
          <w:numId w:val="1001"/>
        </w:numPr>
        <w:pStyle w:val="Compact"/>
      </w:pPr>
      <w:r>
        <w:t xml:space="preserve">Recovery by a fresh worker that has no prior conversational context.</w:t>
      </w:r>
    </w:p>
    <w:p>
      <w:pPr>
        <w:pStyle w:val="FirstParagraph"/>
      </w:pPr>
      <w:r>
        <w:t xml:space="preserve">The experiment explicitly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attempt to create an opaque or secret</w:t>
      </w:r>
      <w:r>
        <w:t xml:space="preserve"> </w:t>
      </w:r>
      <w:r>
        <w:t xml:space="preserve">language. Compression was permitted only when a versioned, deterministic</w:t>
      </w:r>
      <w:r>
        <w:t xml:space="preserve"> </w:t>
      </w:r>
      <w:r>
        <w:t xml:space="preserve">decoder and an English fallback existed.</w:t>
      </w:r>
    </w:p>
    <w:bookmarkEnd w:id="22"/>
    <w:bookmarkStart w:id="26" w:name="Xf2ef0e6b87f2385d325565cc77b1869d06e8408"/>
    <w:p>
      <w:pPr>
        <w:pStyle w:val="Heading2"/>
      </w:pPr>
      <w:r>
        <w:t xml:space="preserve">2. Environment and safety design</w:t>
      </w:r>
    </w:p>
    <w:bookmarkStart w:id="23" w:name="X648515d66814a2e3bae67952033f678fd76263c"/>
    <w:p>
      <w:pPr>
        <w:pStyle w:val="Heading3"/>
      </w:pPr>
      <w:r>
        <w:t xml:space="preserve">2.1 Agent isolation</w:t>
      </w:r>
    </w:p>
    <w:p>
      <w:pPr>
        <w:pStyle w:val="FirstParagraph"/>
      </w:pPr>
      <w:r>
        <w:t xml:space="preserve">The primary agent and Worker Agent ran under separate OpenClaw identities on</w:t>
      </w:r>
      <w:r>
        <w:t xml:space="preserve"> </w:t>
      </w:r>
      <w:r>
        <w:t xml:space="preserve">separate systems. Worker Agent used a distinct Linux account (</w:t>
      </w:r>
      <w:r>
        <w:rPr>
          <w:rStyle w:val="VerbatimChar"/>
        </w:rPr>
        <w:t xml:space="preserve">coordinator</w:t>
      </w:r>
      <w:r>
        <w:t xml:space="preserve">), a</w:t>
      </w:r>
      <w:r>
        <w:t xml:space="preserve"> </w:t>
      </w:r>
      <w:r>
        <w:t xml:space="preserve">separate workspace, and a separate provider-authenticated agent configuration.</w:t>
      </w:r>
      <w:r>
        <w:t xml:space="preserve"> </w:t>
      </w:r>
      <w:r>
        <w:t xml:space="preserve">The pre-existing OpenClaw installation on Worker Agent was not reused for worker</w:t>
      </w:r>
      <w:r>
        <w:t xml:space="preserve"> </w:t>
      </w:r>
      <w:r>
        <w:t xml:space="preserve">credentials or workspace state.</w:t>
      </w:r>
    </w:p>
    <w:bookmarkEnd w:id="23"/>
    <w:bookmarkStart w:id="24" w:name="X9849a26baefaa3f16cfcf86a9ec2d456535db95"/>
    <w:p>
      <w:pPr>
        <w:pStyle w:val="Heading3"/>
      </w:pPr>
      <w:r>
        <w:t xml:space="preserve">2.2 Network and relay</w:t>
      </w:r>
    </w:p>
    <w:p>
      <w:pPr>
        <w:pStyle w:val="FirstParagraph"/>
      </w:pPr>
      <w:r>
        <w:t xml:space="preserve">The worker gateway was loopback-only. The CLX relay also bound only to</w:t>
      </w:r>
      <w:r>
        <w:t xml:space="preserve"> </w:t>
      </w:r>
      <w:r>
        <w:rPr>
          <w:rStyle w:val="VerbatimChar"/>
        </w:rPr>
        <w:t xml:space="preserve">127.0.0.1:19101</w:t>
      </w:r>
      <w:r>
        <w:t xml:space="preserve">; remote carriage used authenticated SSH over Tailscale.</w:t>
      </w:r>
      <w:r>
        <w:t xml:space="preserve"> </w:t>
      </w:r>
      <w:r>
        <w:t xml:space="preserve">No public Funnel, public A2A endpoint, shared memory file, or unlogged direct</w:t>
      </w:r>
      <w:r>
        <w:t xml:space="preserve"> </w:t>
      </w:r>
      <w:r>
        <w:t xml:space="preserve">peer channel was used.</w:t>
      </w:r>
    </w:p>
    <w:p>
      <w:pPr>
        <w:pStyle w:val="SourceCode"/>
      </w:pPr>
      <w:r>
        <w:rPr>
          <w:rStyle w:val="VerbatimChar"/>
        </w:rPr>
        <w:t xml:space="preserve">Primary agent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authenticated SSH over private Tailscale network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Worker Agent host</w:t>
      </w:r>
      <w:r>
        <w:br/>
      </w:r>
      <w:r>
        <w:rPr>
          <w:rStyle w:val="VerbatimChar"/>
        </w:rPr>
        <w:t xml:space="preserve">    ├── loopback-only CLX relay (append-only JSONL audit log)</w:t>
      </w:r>
      <w:r>
        <w:br/>
      </w:r>
      <w:r>
        <w:rPr>
          <w:rStyle w:val="VerbatimChar"/>
        </w:rPr>
        <w:t xml:space="preserve">    └── loopback-only OpenClaw gateway and worker session</w:t>
      </w:r>
    </w:p>
    <w:bookmarkEnd w:id="24"/>
    <w:bookmarkStart w:id="25" w:name="X2b07f84a0807849aa21b2223fb7243252569a6f"/>
    <w:p>
      <w:pPr>
        <w:pStyle w:val="Heading3"/>
      </w:pPr>
      <w:r>
        <w:t xml:space="preserve">2.3 Scope</w:t>
      </w:r>
    </w:p>
    <w:p>
      <w:pPr>
        <w:pStyle w:val="FirstParagraph"/>
      </w:pPr>
      <w:r>
        <w:t xml:space="preserve">All benchmark inputs were synthetic alert-triage cases. The worker charter</w:t>
      </w:r>
      <w:r>
        <w:t xml:space="preserve"> </w:t>
      </w:r>
      <w:r>
        <w:t xml:space="preserve">required evidence references, confidence reporting, scope limits, and</w:t>
      </w:r>
      <w:r>
        <w:t xml:space="preserve"> </w:t>
      </w:r>
      <w:r>
        <w:t xml:space="preserve">escalation for conflicting, unknown, or unsafe requests. It had no authority to</w:t>
      </w:r>
      <w:r>
        <w:t xml:space="preserve"> </w:t>
      </w:r>
      <w:r>
        <w:t xml:space="preserve">perform external actions as part of the benchmark.</w:t>
      </w:r>
    </w:p>
    <w:bookmarkEnd w:id="25"/>
    <w:bookmarkEnd w:id="26"/>
    <w:bookmarkStart w:id="30" w:name="X061ce056578bd3f717c574aa8245400937acc71"/>
    <w:p>
      <w:pPr>
        <w:pStyle w:val="Heading2"/>
      </w:pPr>
      <w:r>
        <w:t xml:space="preserve">3. Protocol evolution</w:t>
      </w:r>
    </w:p>
    <w:bookmarkStart w:id="27" w:name="Xce0e5d2d42945b5ade0d7840ba23c4a0443879b"/>
    <w:p>
      <w:pPr>
        <w:pStyle w:val="Heading3"/>
      </w:pPr>
      <w:r>
        <w:t xml:space="preserve">3.1 Baseline: plain English</w:t>
      </w:r>
    </w:p>
    <w:p>
      <w:pPr>
        <w:pStyle w:val="FirstParagraph"/>
      </w:pPr>
      <w:r>
        <w:t xml:space="preserve">The initial control condition used ordinary natural-language instructions and</w:t>
      </w:r>
      <w:r>
        <w:t xml:space="preserve"> </w:t>
      </w:r>
      <w:r>
        <w:t xml:space="preserve">responses.</w:t>
      </w:r>
    </w:p>
    <w:bookmarkEnd w:id="27"/>
    <w:bookmarkStart w:id="28" w:name="X9c929fc52a158db23f491cacc0dcf17e3defdb4"/>
    <w:p>
      <w:pPr>
        <w:pStyle w:val="Heading3"/>
      </w:pPr>
      <w:r>
        <w:t xml:space="preserve">3.2 CLX/1: structured, English-expanded envelopes</w:t>
      </w:r>
    </w:p>
    <w:p>
      <w:pPr>
        <w:pStyle w:val="FirstParagraph"/>
      </w:pPr>
      <w:r>
        <w:t xml:space="preserve">CLX/1 added explicit fields for run/task identifiers, state, evidence,</w:t>
      </w:r>
      <w:r>
        <w:t xml:space="preserve"> </w:t>
      </w:r>
      <w:r>
        <w:t xml:space="preserve">confidence, and next action. It retained a plain-English expansion in each</w:t>
      </w:r>
      <w:r>
        <w:t xml:space="preserve"> </w:t>
      </w:r>
      <w:r>
        <w:t xml:space="preserve">routine message. This improved structured handoff and audit context, but the</w:t>
      </w:r>
      <w:r>
        <w:t xml:space="preserve"> </w:t>
      </w:r>
      <w:r>
        <w:t xml:space="preserve">full expansion imposed overhead.</w:t>
      </w:r>
    </w:p>
    <w:bookmarkEnd w:id="28"/>
    <w:bookmarkStart w:id="29" w:name="X2236f739505806d1d909c91af0683e925f29e74"/>
    <w:p>
      <w:pPr>
        <w:pStyle w:val="Heading3"/>
      </w:pPr>
      <w:r>
        <w:t xml:space="preserve">3.3 CLX/2.1: negotiated compact dictionary</w:t>
      </w:r>
    </w:p>
    <w:p>
      <w:pPr>
        <w:pStyle w:val="FirstParagraph"/>
      </w:pPr>
      <w:r>
        <w:t xml:space="preserve">CLX/2.1 reduced routine message size by referring to approved local task IDs</w:t>
      </w:r>
      <w:r>
        <w:t xml:space="preserve"> </w:t>
      </w:r>
      <w:r>
        <w:t xml:space="preserve">and a small, versioned set of result/status codes. It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encode hidden</w:t>
      </w:r>
      <w:r>
        <w:t xml:space="preserve"> </w:t>
      </w:r>
      <w:r>
        <w:t xml:space="preserve">authority or omit the audit record. Instead:</w:t>
      </w:r>
    </w:p>
    <w:p>
      <w:pPr>
        <w:numPr>
          <w:ilvl w:val="0"/>
          <w:numId w:val="1002"/>
        </w:numPr>
        <w:pStyle w:val="Compact"/>
      </w:pPr>
      <w:r>
        <w:t xml:space="preserve">Worker Agent explicitly acknowledged the dictionary before use.</w:t>
      </w:r>
    </w:p>
    <w:p>
      <w:pPr>
        <w:numPr>
          <w:ilvl w:val="0"/>
          <w:numId w:val="1002"/>
        </w:numPr>
        <w:pStyle w:val="Compact"/>
      </w:pPr>
      <w:r>
        <w:t xml:space="preserve">The relay deterministically decoded compact records into audit metadata.</w:t>
      </w:r>
    </w:p>
    <w:p>
      <w:pPr>
        <w:numPr>
          <w:ilvl w:val="0"/>
          <w:numId w:val="1002"/>
        </w:numPr>
        <w:pStyle w:val="Compact"/>
      </w:pPr>
      <w:r>
        <w:t xml:space="preserve">Full-English checkpoints were mandatory after every four successful compact</w:t>
      </w:r>
      <w:r>
        <w:t xml:space="preserve"> </w:t>
      </w:r>
      <w:r>
        <w:t xml:space="preserve">exchanges.</w:t>
      </w:r>
    </w:p>
    <w:p>
      <w:pPr>
        <w:numPr>
          <w:ilvl w:val="0"/>
          <w:numId w:val="1002"/>
        </w:numPr>
        <w:pStyle w:val="Compact"/>
      </w:pPr>
      <w:r>
        <w:t xml:space="preserve">Any unknown task, ambiguity, missing checkpoint proof, or out-of-scope</w:t>
      </w:r>
      <w:r>
        <w:t xml:space="preserve"> </w:t>
      </w:r>
      <w:r>
        <w:t xml:space="preserve">request required an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escalation rather than inference.</w:t>
      </w:r>
    </w:p>
    <w:p>
      <w:pPr>
        <w:pStyle w:val="FirstParagraph"/>
      </w:pPr>
      <w:r>
        <w:t xml:space="preserve">This design makes the compact syntax an optimization of a known task space—not</w:t>
      </w:r>
      <w:r>
        <w:t xml:space="preserve"> </w:t>
      </w:r>
      <w:r>
        <w:t xml:space="preserve">a free-form private language.</w:t>
      </w:r>
    </w:p>
    <w:bookmarkEnd w:id="29"/>
    <w:bookmarkEnd w:id="30"/>
    <w:bookmarkStart w:id="35" w:name="X61e9531b24c68799c83dd66f97d22764b0fd6ae"/>
    <w:p>
      <w:pPr>
        <w:pStyle w:val="Heading2"/>
      </w:pPr>
      <w:r>
        <w:t xml:space="preserve">4. Method</w:t>
      </w:r>
    </w:p>
    <w:bookmarkStart w:id="31" w:name="X908b7e255431399db1b6b0849868d55326ed16c"/>
    <w:p>
      <w:pPr>
        <w:pStyle w:val="Heading3"/>
      </w:pPr>
      <w:r>
        <w:t xml:space="preserve">4.1 Workload</w:t>
      </w:r>
    </w:p>
    <w:p>
      <w:pPr>
        <w:pStyle w:val="FirstParagraph"/>
      </w:pPr>
      <w:r>
        <w:t xml:space="preserve">The benchmark used 20 synthetic alert cases with expected labels stored in</w:t>
      </w:r>
      <w:r>
        <w:t xml:space="preserve"> </w:t>
      </w:r>
      <w:r>
        <w:rPr>
          <w:rStyle w:val="VerbatimChar"/>
        </w:rPr>
        <w:t xml:space="preserve">benchmark/cases.json</w:t>
      </w:r>
      <w:r>
        <w:t xml:space="preserve">. Each result recorded expected and returned labels,</w:t>
      </w:r>
      <w:r>
        <w:t xml:space="preserve"> </w:t>
      </w:r>
      <w:r>
        <w:t xml:space="preserve">elapsed wall time, input/output byte size, protocol mode, and raw response.</w:t>
      </w:r>
    </w:p>
    <w:p>
      <w:pPr>
        <w:pStyle w:val="BodyText"/>
      </w:pPr>
      <w:r>
        <w:t xml:space="preserve">The expected labels were authored synthetic reference labels, not independently</w:t>
      </w:r>
      <w:r>
        <w:t xml:space="preserve"> </w:t>
      </w:r>
      <w:r>
        <w:t xml:space="preserve">adjudicated ground truth. Case A05 was deliberately retained because its facts</w:t>
      </w:r>
      <w:r>
        <w:t xml:space="preserve"> </w:t>
      </w:r>
      <w:r>
        <w:t xml:space="preserve">support a reasonable severity disagreement: the exploratory worker responses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malicious</w:t>
      </w:r>
      <w:r>
        <w:t xml:space="preserve"> </w:t>
      </w:r>
      <w:r>
        <w:t xml:space="preserve">while the reference label was</w:t>
      </w:r>
      <w:r>
        <w:t xml:space="preserve"> </w:t>
      </w:r>
      <w:r>
        <w:rPr>
          <w:rStyle w:val="VerbatimChar"/>
        </w:rPr>
        <w:t xml:space="preserve">suspicious</w:t>
      </w:r>
      <w:r>
        <w:t xml:space="preserve">. In the final</w:t>
      </w:r>
      <w:r>
        <w:t xml:space="preserve"> </w:t>
      </w:r>
      <w:r>
        <w:t xml:space="preserve">CLX/2.1 run the worker returned the reference label. This paper reports both</w:t>
      </w:r>
      <w:r>
        <w:t xml:space="preserve"> </w:t>
      </w:r>
      <w:r>
        <w:t xml:space="preserve">facts; it does not claim that the earlier answer was necessarily incorrect in a</w:t>
      </w:r>
      <w:r>
        <w:t xml:space="preserve"> </w:t>
      </w:r>
      <w:r>
        <w:t xml:space="preserve">real incident-response setting.</w:t>
      </w:r>
    </w:p>
    <w:bookmarkEnd w:id="31"/>
    <w:bookmarkStart w:id="32" w:name="X00f37990c2e9d31a276385e158ed3d5d16bd694"/>
    <w:p>
      <w:pPr>
        <w:pStyle w:val="Heading3"/>
      </w:pPr>
      <w:r>
        <w:t xml:space="preserve">4.2 Outcome measures</w:t>
      </w:r>
    </w:p>
    <w:p>
      <w:pPr>
        <w:pStyle w:val="FirstParagraph"/>
      </w:pPr>
      <w:r>
        <w:t xml:space="preserve">We measured: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Returned classification matched the synthetic expected label.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Serialized request and response bytes.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Wall-clock time from task dispatch to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rather than unsafe inference on missing/unknown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run-scoped worker session could use the documentation and artifacts without previous benchmark conversation.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 relay records retained envelope, direction, timestamp, and deterministic compact-protocol decoding.</w:t>
            </w:r>
          </w:p>
        </w:tc>
      </w:tr>
    </w:tbl>
    <w:p>
      <w:pPr>
        <w:pStyle w:val="BodyText"/>
      </w:pPr>
      <w:r>
        <w:t xml:space="preserve">Byte counts and wall time are proxies; this study did not measure provider token</w:t>
      </w:r>
      <w:r>
        <w:t xml:space="preserve"> </w:t>
      </w:r>
      <w:r>
        <w:t xml:space="preserve">usage directly.</w:t>
      </w:r>
    </w:p>
    <w:bookmarkEnd w:id="32"/>
    <w:bookmarkStart w:id="33" w:name="Xbd17bf4d942c1381460cd373a3627cc4a222a26"/>
    <w:p>
      <w:pPr>
        <w:pStyle w:val="Heading3"/>
      </w:pPr>
      <w:r>
        <w:t xml:space="preserve">4.3 Benchmark phases and validity rules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Exploratory comparison:</w:t>
      </w:r>
      <w:r>
        <w:t xml:space="preserve"> </w:t>
      </w:r>
      <w:r>
        <w:t xml:space="preserve">20 cases in plain English, CLX/1, and an early</w:t>
      </w:r>
      <w:r>
        <w:t xml:space="preserve"> </w:t>
      </w:r>
      <w:r>
        <w:t xml:space="preserve">compact variant.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CLX/2 pilot:</w:t>
      </w:r>
      <w:r>
        <w:t xml:space="preserve"> </w:t>
      </w:r>
      <w:r>
        <w:t xml:space="preserve">five compact task references plus a required English</w:t>
      </w:r>
      <w:r>
        <w:t xml:space="preserve"> </w:t>
      </w:r>
      <w:r>
        <w:t xml:space="preserve">checkpoint.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Full CLX/2.1 run:</w:t>
      </w:r>
      <w:r>
        <w:t xml:space="preserve"> </w:t>
      </w:r>
      <w:r>
        <w:t xml:space="preserve">20 compact tasks with four-task checkpoints.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Fresh-worker recovery:</w:t>
      </w:r>
      <w:r>
        <w:t xml:space="preserve"> </w:t>
      </w:r>
      <w:r>
        <w:t xml:space="preserve">a new run-scoped session received the documented</w:t>
      </w:r>
      <w:r>
        <w:t xml:space="preserve"> </w:t>
      </w:r>
      <w:r>
        <w:t xml:space="preserve">protocol/artifacts rather than the earlier worker conversation.</w:t>
      </w:r>
    </w:p>
    <w:p>
      <w:pPr>
        <w:pStyle w:val="FirstParagraph"/>
      </w:pPr>
      <w:r>
        <w:t xml:space="preserve">Runs were considered valid for expected-label reporting only if the relay</w:t>
      </w:r>
      <w:r>
        <w:t xml:space="preserve"> </w:t>
      </w:r>
      <w:r>
        <w:t xml:space="preserve">checkpoint guard passed its deterministic boundary tests and no compact request</w:t>
      </w:r>
      <w:r>
        <w:t xml:space="preserve"> </w:t>
      </w:r>
      <w:r>
        <w:t xml:space="preserve">was blocked before its four completed task-response exchanges. The two failed</w:t>
      </w:r>
      <w:r>
        <w:t xml:space="preserve"> </w:t>
      </w:r>
      <w:r>
        <w:t xml:space="preserve">full-run artifacts are included in this bundle and are explicitly marked</w:t>
      </w:r>
      <w:r>
        <w:t xml:space="preserve"> </w:t>
      </w:r>
      <w:r>
        <w:t xml:space="preserve">invalid. They are implementation-debugging evidence, not model benchmarks.</w:t>
      </w:r>
    </w:p>
    <w:bookmarkEnd w:id="33"/>
    <w:bookmarkStart w:id="34" w:name="X1434e9fbfe7156028dfb7d967c26e6bb1c65820"/>
    <w:p>
      <w:pPr>
        <w:pStyle w:val="Heading3"/>
      </w:pPr>
      <w:r>
        <w:t xml:space="preserve">4.4 Reproduction procedure</w:t>
      </w:r>
    </w:p>
    <w:p>
      <w:pPr>
        <w:pStyle w:val="FirstParagraph"/>
      </w:pPr>
      <w:r>
        <w:t xml:space="preserve">The artifact bundle contains the runners and input files used for the final two</w:t>
      </w:r>
      <w:r>
        <w:t xml:space="preserve"> </w:t>
      </w:r>
      <w:r>
        <w:t xml:space="preserve">phases. On the worker host, set the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constant in the runner to the local</w:t>
      </w:r>
      <w:r>
        <w:t xml:space="preserve"> </w:t>
      </w:r>
      <w:r>
        <w:t xml:space="preserve">bundle path, ensure that the loopback relay is listening on port</w:t>
      </w:r>
      <w:r>
        <w:t xml:space="preserve"> </w:t>
      </w:r>
      <w:r>
        <w:rPr>
          <w:rStyle w:val="VerbatimChar"/>
        </w:rPr>
        <w:t xml:space="preserve">19101</w:t>
      </w:r>
      <w:r>
        <w:t xml:space="preserve">, and</w:t>
      </w:r>
      <w:r>
        <w:t xml:space="preserve"> </w:t>
      </w: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relay/test_checkpoint_guard.py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benchmark/run_clx21_full_r3.py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benchmark/run_fresh_worker_recovery.py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INTEGRITY_MANIFEST.sha256</w:t>
      </w:r>
    </w:p>
    <w:p>
      <w:pPr>
        <w:pStyle w:val="FirstParagraph"/>
      </w:pPr>
      <w:r>
        <w:t xml:space="preserve">These commands require a configured OpenClaw worker, local provider</w:t>
      </w:r>
      <w:r>
        <w:t xml:space="preserve"> </w:t>
      </w:r>
      <w:r>
        <w:t xml:space="preserve">authorization, and the relay service; provider credentials are intentionally</w:t>
      </w:r>
      <w:r>
        <w:t xml:space="preserve"> </w:t>
      </w:r>
      <w:r>
        <w:t xml:space="preserve">not included. The bundled runners use host-local paths and therefore must be</w:t>
      </w:r>
      <w:r>
        <w:t xml:space="preserve"> </w:t>
      </w:r>
      <w:r>
        <w:t xml:space="preserve">reviewed and adapted before use on another system. A complete public release</w:t>
      </w:r>
      <w:r>
        <w:t xml:space="preserve"> </w:t>
      </w:r>
      <w:r>
        <w:t xml:space="preserve">should additionally pin the OpenClaw build, worker model identifier, relay</w:t>
      </w:r>
      <w:r>
        <w:t xml:space="preserve"> </w:t>
      </w:r>
      <w:r>
        <w:t xml:space="preserve">runtime, operating-system release, and dependency lockfiles.</w:t>
      </w:r>
    </w:p>
    <w:bookmarkEnd w:id="34"/>
    <w:bookmarkEnd w:id="35"/>
    <w:bookmarkStart w:id="41" w:name="Xf008beceec6d1c3a3c616f37281fffb37cae0fa"/>
    <w:p>
      <w:pPr>
        <w:pStyle w:val="Heading2"/>
      </w:pPr>
      <w:r>
        <w:t xml:space="preserve">5. Results</w:t>
      </w:r>
    </w:p>
    <w:bookmarkStart w:id="36" w:name="Xf897a67cb52f86ae34fa2c9d12b0cb6ad567acd"/>
    <w:p>
      <w:pPr>
        <w:pStyle w:val="Heading3"/>
      </w:pPr>
      <w:r>
        <w:t xml:space="preserve">5.1 Exploratory comparison</w:t>
      </w:r>
    </w:p>
    <w:p>
      <w:pPr>
        <w:pStyle w:val="FirstParagraph"/>
      </w:pPr>
      <w:r>
        <w:t xml:space="preserve">The early 60-trial comparison (20 cases × 3 modes) yielded 19/20 expected</w:t>
      </w:r>
      <w:r>
        <w:t xml:space="preserve"> </w:t>
      </w:r>
      <w:r>
        <w:t xml:space="preserve">labels in each condition. The shared mismatch was case A05: the reference</w:t>
      </w:r>
      <w:r>
        <w:t xml:space="preserve"> </w:t>
      </w:r>
      <w:r>
        <w:t xml:space="preserve">expected</w:t>
      </w:r>
      <w:r>
        <w:t xml:space="preserve"> </w:t>
      </w:r>
      <w:r>
        <w:rPr>
          <w:rStyle w:val="VerbatimChar"/>
        </w:rPr>
        <w:t xml:space="preserve">suspicious</w:t>
      </w:r>
      <w:r>
        <w:t xml:space="preserve">, while all three exploratory conditions returned</w:t>
      </w:r>
      <w:r>
        <w:t xml:space="preserve"> </w:t>
      </w:r>
      <w:r>
        <w:rPr>
          <w:rStyle w:val="VerbatimChar"/>
        </w:rPr>
        <w:t xml:space="preserve">malicious</w:t>
      </w:r>
      <w:r>
        <w:t xml:space="preserve">. This is a disagreement between a synthetic reference label and</w:t>
      </w:r>
      <w:r>
        <w:t xml:space="preserve"> </w:t>
      </w:r>
      <w:r>
        <w:t xml:space="preserve">the worker output, not an adjudicated model error. It should be independently</w:t>
      </w:r>
      <w:r>
        <w:t xml:space="preserve"> </w:t>
      </w:r>
      <w:r>
        <w:t xml:space="preserve">reviewed before any operational conclusion is drawn from this case.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Expected-label matches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response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 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CLX/1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1,005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compact CLX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1,303 B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initial structure improved handoff format but did not</w:t>
      </w:r>
      <w:r>
        <w:t xml:space="preserve"> </w:t>
      </w:r>
      <w:r>
        <w:t xml:space="preserve">improve efficiency, because the compact mode still carried a full English</w:t>
      </w:r>
      <w:r>
        <w:t xml:space="preserve"> </w:t>
      </w:r>
      <w:r>
        <w:t xml:space="preserve">decoder in routine messages.</w:t>
      </w:r>
    </w:p>
    <w:bookmarkEnd w:id="36"/>
    <w:bookmarkStart w:id="37" w:name="X5ef6cc5a699a2242073531adffa478eb5737308"/>
    <w:p>
      <w:pPr>
        <w:pStyle w:val="Heading3"/>
      </w:pPr>
      <w:r>
        <w:t xml:space="preserve">5.2 CLX/2 pilot</w:t>
      </w:r>
    </w:p>
    <w:p>
      <w:pPr>
        <w:pStyle w:val="FirstParagraph"/>
      </w:pPr>
      <w:r>
        <w:t xml:space="preserve">In a five-task pilot, CLX/2 compact task envelopes averaged 159 bytes. The</w:t>
      </w:r>
      <w:r>
        <w:t xml:space="preserve"> </w:t>
      </w:r>
      <w:r>
        <w:t xml:space="preserve">prior CLX/1 comparison used a different English-expanded request construction,</w:t>
      </w:r>
      <w:r>
        <w:t xml:space="preserve"> </w:t>
      </w:r>
      <w:r>
        <w:t xml:space="preserve">so the reported 583-byte CLX/1 figure is descriptive rather than a controlled</w:t>
      </w:r>
      <w:r>
        <w:t xml:space="preserve"> </w:t>
      </w:r>
      <w:r>
        <w:t xml:space="preserve">like-for-like compression estimate. The same limitation applies to response</w:t>
      </w:r>
      <w:r>
        <w:t xml:space="preserve"> </w:t>
      </w:r>
      <w:r>
        <w:t xml:space="preserve">size: message construction and worker verbosity differed by condition. The</w:t>
      </w:r>
      <w:r>
        <w:t xml:space="preserve"> </w:t>
      </w:r>
      <w:r>
        <w:t xml:space="preserve">pilot nevertheless established that a compact envelope could be decoded from</w:t>
      </w:r>
      <w:r>
        <w:t xml:space="preserve"> </w:t>
      </w:r>
      <w:r>
        <w:t xml:space="preserve">the audited dictionary. The worker stopped at the checkpoint boundary rather</w:t>
      </w:r>
      <w:r>
        <w:t xml:space="preserve"> </w:t>
      </w:r>
      <w:r>
        <w:t xml:space="preserve">than continuing without proof, exposing a relay design defect described below.</w:t>
      </w:r>
    </w:p>
    <w:bookmarkEnd w:id="37"/>
    <w:bookmarkStart w:id="38" w:name="Xfd285fc2a9b7ab15ccab5d3dceddc304418dcb8"/>
    <w:p>
      <w:pPr>
        <w:pStyle w:val="Heading3"/>
      </w:pPr>
      <w:r>
        <w:t xml:space="preserve">5.3 Invalid runs and correction</w:t>
      </w:r>
    </w:p>
    <w:p>
      <w:pPr>
        <w:pStyle w:val="FirstParagraph"/>
      </w:pPr>
      <w:r>
        <w:t xml:space="preserve">Two early full CLX/2.1 runs are explicitly excluded from accuracy claims.</w:t>
      </w:r>
      <w:r>
        <w:t xml:space="preserve"> </w:t>
      </w:r>
      <w:r>
        <w:t xml:space="preserve">The relay counted an inbound task before deciding whether a checkpoint was due,</w:t>
      </w:r>
      <w:r>
        <w:t xml:space="preserve"> </w:t>
      </w:r>
      <w:r>
        <w:t xml:space="preserve">creating an off-by-one block. A first repair also gave the worker an ambiguous</w:t>
      </w:r>
      <w:r>
        <w:t xml:space="preserve"> </w:t>
      </w:r>
      <w:r>
        <w:t xml:space="preserve">“four or fewer” assertion, which the worker conservatively escalated instead</w:t>
      </w:r>
      <w:r>
        <w:t xml:space="preserve"> </w:t>
      </w:r>
      <w:r>
        <w:t xml:space="preserve">of treating as proof that a fifth task was allowed.</w:t>
      </w:r>
    </w:p>
    <w:p>
      <w:pPr>
        <w:pStyle w:val="BodyText"/>
      </w:pPr>
      <w:r>
        <w:t xml:space="preserve">The correction was to count only completed</w:t>
      </w:r>
      <w:r>
        <w:t xml:space="preserve"> </w:t>
      </w:r>
      <w:r>
        <w:rPr>
          <w:rStyle w:val="VerbatimChar"/>
        </w:rPr>
        <w:t xml:space="preserve">ASK → RES</w:t>
      </w:r>
      <w:r>
        <w:t xml:space="preserve"> </w:t>
      </w:r>
      <w:r>
        <w:t xml:space="preserve">exchanges, assess the</w:t>
      </w:r>
      <w:r>
        <w:t xml:space="preserve"> </w:t>
      </w:r>
      <w:r>
        <w:t xml:space="preserve">incoming request before appending it, and transmit the exact deterministic</w:t>
      </w:r>
      <w:r>
        <w:t xml:space="preserve"> </w:t>
      </w:r>
      <w:r>
        <w:t xml:space="preserve">count from the audited relay state. Boundary tests covered the initial</w:t>
      </w:r>
      <w:r>
        <w:t xml:space="preserve"> </w:t>
      </w:r>
      <w:r>
        <w:t xml:space="preserve">four-task window, checkpoint reset, blocked-task non-consumption of a slot,</w:t>
      </w:r>
      <w:r>
        <w:t xml:space="preserve"> </w:t>
      </w:r>
      <w:r>
        <w:t xml:space="preserve">and the block at the fifth completed exchange.</w:t>
      </w:r>
    </w:p>
    <w:p>
      <w:pPr>
        <w:pStyle w:val="BodyText"/>
      </w:pPr>
      <w:r>
        <w:t xml:space="preserve">These defects matter: they show that protocol and relay implementation errors</w:t>
      </w:r>
      <w:r>
        <w:t xml:space="preserve"> </w:t>
      </w:r>
      <w:r>
        <w:t xml:space="preserve">can dominate apparent agent performance. The invalid artifacts were retained,</w:t>
      </w:r>
      <w:r>
        <w:t xml:space="preserve"> </w:t>
      </w:r>
      <w:r>
        <w:t xml:space="preserve">not overwritten.</w:t>
      </w:r>
    </w:p>
    <w:bookmarkEnd w:id="38"/>
    <w:bookmarkStart w:id="39" w:name="Xa9299b8032809e78821d72c1778770ae719bfea"/>
    <w:p>
      <w:pPr>
        <w:pStyle w:val="Heading3"/>
      </w:pPr>
      <w:r>
        <w:t xml:space="preserve">5.4 Final validated CLX/2.1 run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Premature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Checkpoints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in/out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clx21-full-20-r3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16.31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161.8 / 526.2 B</w:t>
            </w:r>
          </w:p>
        </w:tc>
      </w:tr>
    </w:tbl>
    <w:p>
      <w:pPr>
        <w:pStyle w:val="BodyText"/>
      </w:pPr>
      <w:r>
        <w:t xml:space="preserve">The validated compact protocol matched all synthetic reference labels in this</w:t>
      </w:r>
      <w:r>
        <w:t xml:space="preserve"> </w:t>
      </w:r>
      <w:r>
        <w:t xml:space="preserve">run. Its 161.8-byte mean compact request size is reported directly. This study</w:t>
      </w:r>
      <w:r>
        <w:t xml:space="preserve"> </w:t>
      </w:r>
      <w:r>
        <w:t xml:space="preserve">does not make a controlled like-for-like byte-reduction claim against CLX/1,</w:t>
      </w:r>
      <w:r>
        <w:t xml:space="preserve"> </w:t>
      </w:r>
      <w:r>
        <w:t xml:space="preserve">because the conditions used different request and response constructions. It</w:t>
      </w:r>
      <w:r>
        <w:t xml:space="preserve"> </w:t>
      </w:r>
      <w:r>
        <w:t xml:space="preserve">also found no latency improvement in the observed measurements; the study did</w:t>
      </w:r>
      <w:r>
        <w:t xml:space="preserve"> </w:t>
      </w:r>
      <w:r>
        <w:t xml:space="preserve">not instrument inference or relay components sufficiently to attribute cause.</w:t>
      </w:r>
    </w:p>
    <w:bookmarkEnd w:id="39"/>
    <w:bookmarkStart w:id="40" w:name="Xb1ff44c095d7817aebd1bfb984673bb5200bda4"/>
    <w:p>
      <w:pPr>
        <w:pStyle w:val="Heading3"/>
      </w:pPr>
      <w:r>
        <w:t xml:space="preserve">5.5 Fresh-worker recovery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benchmark conversation?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Selected tasks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task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clx21-recovery-fresh-r1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Safely escalated</w:t>
            </w:r>
            <w:r>
              <w:t xml:space="preserve"> </w:t>
            </w:r>
            <w:r>
              <w:rPr>
                <w:rStyle w:val="VerbatimChar"/>
              </w:rPr>
              <w:t xml:space="preserve">A99</w:t>
            </w:r>
          </w:p>
        </w:tc>
      </w:tr>
    </w:tbl>
    <w:p>
      <w:pPr>
        <w:pStyle w:val="BodyText"/>
      </w:pPr>
      <w:r>
        <w:t xml:space="preserve">The clean session was able to apply the documented protocol and relay audit</w:t>
      </w:r>
      <w:r>
        <w:t xml:space="preserve"> </w:t>
      </w:r>
      <w:r>
        <w:t xml:space="preserve">context without inheriting prior benchmark conversation. This is evidence of</w:t>
      </w:r>
      <w:r>
        <w:t xml:space="preserve"> </w:t>
      </w:r>
      <w:r>
        <w:t xml:space="preserve">limited handoff recoverability—not proof that arbitrary future workers will</w:t>
      </w:r>
      <w:r>
        <w:t xml:space="preserve"> </w:t>
      </w:r>
      <w:r>
        <w:t xml:space="preserve">understand the protocol.</w:t>
      </w:r>
    </w:p>
    <w:bookmarkEnd w:id="40"/>
    <w:bookmarkEnd w:id="41"/>
    <w:bookmarkStart w:id="42" w:name="Xe60211b7362d4efd10cab3a88ad8ddec4cb4e70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The useful outcome was not an autonomous “new language.” It was a narrow,</w:t>
      </w:r>
      <w:r>
        <w:t xml:space="preserve"> </w:t>
      </w:r>
      <w:r>
        <w:t xml:space="preserve">constrained communication layer with three properties: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Compression:</w:t>
      </w:r>
      <w:r>
        <w:t xml:space="preserve"> </w:t>
      </w:r>
      <w:r>
        <w:t xml:space="preserve">repeated tasks could refer to a shared, local dictionary.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Auditability:</w:t>
      </w:r>
      <w:r>
        <w:t xml:space="preserve"> </w:t>
      </w:r>
      <w:r>
        <w:t xml:space="preserve">the relay could deterministically reconstruct the compact</w:t>
      </w:r>
      <w:r>
        <w:t xml:space="preserve"> </w:t>
      </w:r>
      <w:r>
        <w:t xml:space="preserve">meaning and preserve raw envelopes.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Safe failure:</w:t>
      </w:r>
      <w:r>
        <w:t xml:space="preserve"> </w:t>
      </w:r>
      <w:r>
        <w:t xml:space="preserve">the worker escalated when the dictionary, checkpoint, or</w:t>
      </w:r>
      <w:r>
        <w:t xml:space="preserve"> </w:t>
      </w:r>
      <w:r>
        <w:t xml:space="preserve">task reference was insufficient.</w:t>
      </w:r>
    </w:p>
    <w:p>
      <w:pPr>
        <w:pStyle w:val="FirstParagraph"/>
      </w:pPr>
      <w:r>
        <w:t xml:space="preserve">The benchmark supports a practical warning: a more compact protocol is not</w:t>
      </w:r>
      <w:r>
        <w:t xml:space="preserve"> </w:t>
      </w:r>
      <w:r>
        <w:t xml:space="preserve">automatically faster. CLX/1 and the early compact condition had higher observed</w:t>
      </w:r>
      <w:r>
        <w:t xml:space="preserve"> </w:t>
      </w:r>
      <w:r>
        <w:t xml:space="preserve">mean latency than plain English. CLX/2.1 reduced the size of its compact</w:t>
      </w:r>
      <w:r>
        <w:t xml:space="preserve"> </w:t>
      </w:r>
      <w:r>
        <w:t xml:space="preserve">requests, but this study did not isolate the source of wall-clock latency.</w:t>
      </w:r>
    </w:p>
    <w:bookmarkEnd w:id="42"/>
    <w:bookmarkStart w:id="43" w:name="Xd6e2a28b540f60d683cac247f80283003c60b1c"/>
    <w:p>
      <w:pPr>
        <w:pStyle w:val="Heading2"/>
      </w:pPr>
      <w:r>
        <w:t xml:space="preserve">7. Limitations</w:t>
      </w:r>
    </w:p>
    <w:p>
      <w:pPr>
        <w:numPr>
          <w:ilvl w:val="0"/>
          <w:numId w:val="1005"/>
        </w:numPr>
        <w:pStyle w:val="Compact"/>
      </w:pPr>
      <w:r>
        <w:t xml:space="preserve">One worker model/provider and one two-host deployment.</w:t>
      </w:r>
    </w:p>
    <w:p>
      <w:pPr>
        <w:numPr>
          <w:ilvl w:val="0"/>
          <w:numId w:val="1005"/>
        </w:numPr>
        <w:pStyle w:val="Compact"/>
      </w:pPr>
      <w:r>
        <w:t xml:space="preserve">Twenty synthetic cases are too few to establish general performance.</w:t>
      </w:r>
    </w:p>
    <w:p>
      <w:pPr>
        <w:numPr>
          <w:ilvl w:val="0"/>
          <w:numId w:val="1005"/>
        </w:numPr>
        <w:pStyle w:val="Compact"/>
      </w:pPr>
      <w:r>
        <w:t xml:space="preserve">Expected labels are not a substitute for independent expert adjudication;</w:t>
      </w:r>
      <w:r>
        <w:t xml:space="preserve"> </w:t>
      </w:r>
      <w:r>
        <w:t xml:space="preserve">A05 is an example of a plausible label dispute.</w:t>
      </w:r>
    </w:p>
    <w:p>
      <w:pPr>
        <w:numPr>
          <w:ilvl w:val="0"/>
          <w:numId w:val="1005"/>
        </w:numPr>
        <w:pStyle w:val="Compact"/>
      </w:pPr>
      <w:r>
        <w:t xml:space="preserve">Byte count and wall-clock time are only proxies for token cost and throughput.</w:t>
      </w:r>
    </w:p>
    <w:p>
      <w:pPr>
        <w:numPr>
          <w:ilvl w:val="0"/>
          <w:numId w:val="1005"/>
        </w:numPr>
        <w:pStyle w:val="Compact"/>
      </w:pPr>
      <w:r>
        <w:t xml:space="preserve">The relay used SSH-over-Tailscale rather than a direct, standardized A2A</w:t>
      </w:r>
      <w:r>
        <w:t xml:space="preserve"> </w:t>
      </w:r>
      <w:r>
        <w:t xml:space="preserve">transport.</w:t>
      </w:r>
    </w:p>
    <w:p>
      <w:pPr>
        <w:numPr>
          <w:ilvl w:val="0"/>
          <w:numId w:val="1005"/>
        </w:numPr>
        <w:pStyle w:val="Compact"/>
      </w:pPr>
      <w:r>
        <w:t xml:space="preserve">The fresh-worker test used the same underlying model family and documented</w:t>
      </w:r>
      <w:r>
        <w:t xml:space="preserve"> </w:t>
      </w:r>
      <w:r>
        <w:t xml:space="preserve">artifacts; it did not test cross-model or adversarial interoperability.</w:t>
      </w:r>
    </w:p>
    <w:p>
      <w:pPr>
        <w:numPr>
          <w:ilvl w:val="0"/>
          <w:numId w:val="1005"/>
        </w:numPr>
        <w:pStyle w:val="Compact"/>
      </w:pPr>
      <w:r>
        <w:t xml:space="preserve">The fresh-worker task subset was selected (</w:t>
      </w:r>
      <w:r>
        <w:rPr>
          <w:rStyle w:val="VerbatimChar"/>
        </w:rPr>
        <w:t xml:space="preserve">A01</w:t>
      </w:r>
      <w:r>
        <w:t xml:space="preserve">,</w:t>
      </w:r>
      <w:r>
        <w:t xml:space="preserve"> </w:t>
      </w:r>
      <w:r>
        <w:rPr>
          <w:rStyle w:val="VerbatimChar"/>
        </w:rPr>
        <w:t xml:space="preserve">A04</w:t>
      </w:r>
      <w:r>
        <w:t xml:space="preserve">,</w:t>
      </w:r>
      <w:r>
        <w:t xml:space="preserve"> </w:t>
      </w:r>
      <w:r>
        <w:rPr>
          <w:rStyle w:val="VerbatimChar"/>
        </w:rPr>
        <w:t xml:space="preserve">A09</w:t>
      </w:r>
      <w:r>
        <w:t xml:space="preserve">,</w:t>
      </w:r>
      <w:r>
        <w:t xml:space="preserve"> </w:t>
      </w:r>
      <w:r>
        <w:rPr>
          <w:rStyle w:val="VerbatimChar"/>
        </w:rPr>
        <w:t xml:space="preserve">A17</w:t>
      </w:r>
      <w:r>
        <w:t xml:space="preserve">) rather</w:t>
      </w:r>
      <w:r>
        <w:t xml:space="preserve"> </w:t>
      </w:r>
      <w:r>
        <w:t xml:space="preserve">than randomly sampled; it is a recovery demonstration, not a generalization</w:t>
      </w:r>
      <w:r>
        <w:t xml:space="preserve"> </w:t>
      </w:r>
      <w:r>
        <w:t xml:space="preserve">estimate.</w:t>
      </w:r>
    </w:p>
    <w:p>
      <w:pPr>
        <w:numPr>
          <w:ilvl w:val="0"/>
          <w:numId w:val="1005"/>
        </w:numPr>
        <w:pStyle w:val="Compact"/>
      </w:pPr>
      <w:r>
        <w:t xml:space="preserve">The paper reports byte sizes, not provider token counts, and the baseline</w:t>
      </w:r>
      <w:r>
        <w:t xml:space="preserve"> </w:t>
      </w:r>
      <w:r>
        <w:t xml:space="preserve">conditions did not use an identical prompt/template construction.</w:t>
      </w:r>
    </w:p>
    <w:p>
      <w:pPr>
        <w:numPr>
          <w:ilvl w:val="0"/>
          <w:numId w:val="1005"/>
        </w:numPr>
        <w:pStyle w:val="Compact"/>
      </w:pPr>
      <w:r>
        <w:t xml:space="preserve">No conclusion should be drawn about unrestricted autonomy, emergent private</w:t>
      </w:r>
      <w:r>
        <w:t xml:space="preserve"> </w:t>
      </w:r>
      <w:r>
        <w:t xml:space="preserve">languages, or safety in production systems.</w:t>
      </w:r>
    </w:p>
    <w:bookmarkEnd w:id="43"/>
    <w:bookmarkStart w:id="44" w:name="Xe915d86a424fef6101035b94472b51b7f6a2de4"/>
    <w:p>
      <w:pPr>
        <w:pStyle w:val="Heading2"/>
      </w:pPr>
      <w:r>
        <w:t xml:space="preserve">8. Replication guide</w:t>
      </w:r>
    </w:p>
    <w:p>
      <w:pPr>
        <w:numPr>
          <w:ilvl w:val="0"/>
          <w:numId w:val="1006"/>
        </w:numPr>
        <w:pStyle w:val="Compact"/>
      </w:pPr>
      <w:r>
        <w:t xml:space="preserve">Provision two independent OpenClaw identities on separate hosts and record</w:t>
      </w:r>
      <w:r>
        <w:t xml:space="preserve"> </w:t>
      </w:r>
      <w:r>
        <w:t xml:space="preserve">their software, model, and dependency versions in a release manifest.</w:t>
      </w:r>
    </w:p>
    <w:p>
      <w:pPr>
        <w:numPr>
          <w:ilvl w:val="0"/>
          <w:numId w:val="1006"/>
        </w:numPr>
        <w:pStyle w:val="Compact"/>
      </w:pPr>
      <w:r>
        <w:t xml:space="preserve">Configure the worker gateway and relay as loopback-only services.</w:t>
      </w:r>
    </w:p>
    <w:p>
      <w:pPr>
        <w:numPr>
          <w:ilvl w:val="0"/>
          <w:numId w:val="1006"/>
        </w:numPr>
        <w:pStyle w:val="Compact"/>
      </w:pPr>
      <w:r>
        <w:t xml:space="preserve">Use authenticated private transport (e.g., Tailscale plus SSH); do not</w:t>
      </w:r>
      <w:r>
        <w:t xml:space="preserve"> </w:t>
      </w:r>
      <w:r>
        <w:t xml:space="preserve">expose the relay publicly.</w:t>
      </w:r>
    </w:p>
    <w:p>
      <w:pPr>
        <w:numPr>
          <w:ilvl w:val="0"/>
          <w:numId w:val="1006"/>
        </w:numPr>
        <w:pStyle w:val="Compact"/>
      </w:pPr>
      <w:r>
        <w:t xml:space="preserve">Copy the worker charter, protocol specification, synthetic cases, relay, and</w:t>
      </w:r>
      <w:r>
        <w:t xml:space="preserve"> </w:t>
      </w:r>
      <w:r>
        <w:t xml:space="preserve">benchmark runners from this artifact bundle.</w:t>
      </w:r>
    </w:p>
    <w:p>
      <w:pPr>
        <w:numPr>
          <w:ilvl w:val="0"/>
          <w:numId w:val="1006"/>
        </w:numPr>
        <w:pStyle w:val="Compact"/>
      </w:pPr>
      <w:r>
        <w:t xml:space="preserve">Run the baseline, structured, and compact conditions with fixed cases and</w:t>
      </w:r>
      <w:r>
        <w:t xml:space="preserve"> </w:t>
      </w:r>
      <w:r>
        <w:t xml:space="preserve">identical task semantics; pre-register or publish the exact templates.</w:t>
      </w:r>
    </w:p>
    <w:p>
      <w:pPr>
        <w:numPr>
          <w:ilvl w:val="0"/>
          <w:numId w:val="1006"/>
        </w:numPr>
        <w:pStyle w:val="Compact"/>
      </w:pPr>
      <w:r>
        <w:t xml:space="preserve">Preserve every raw trial and protocol revision. Do not discard invalid runs.</w:t>
      </w:r>
    </w:p>
    <w:p>
      <w:pPr>
        <w:numPr>
          <w:ilvl w:val="0"/>
          <w:numId w:val="1006"/>
        </w:numPr>
        <w:pStyle w:val="Compact"/>
      </w:pPr>
      <w:r>
        <w:t xml:space="preserve">Add deterministic tests for checkpoint and state-accounting boundaries</w:t>
      </w:r>
      <w:r>
        <w:t xml:space="preserve"> </w:t>
      </w:r>
      <w:r>
        <w:t xml:space="preserve">before interpreting results.</w:t>
      </w:r>
    </w:p>
    <w:p>
      <w:pPr>
        <w:numPr>
          <w:ilvl w:val="0"/>
          <w:numId w:val="1006"/>
        </w:numPr>
        <w:pStyle w:val="Compact"/>
      </w:pPr>
      <w:r>
        <w:t xml:space="preserve">Run a fresh-session recovery test and an unknown-task escalation test.</w:t>
      </w:r>
    </w:p>
    <w:p>
      <w:pPr>
        <w:numPr>
          <w:ilvl w:val="0"/>
          <w:numId w:val="1006"/>
        </w:numPr>
        <w:pStyle w:val="Compact"/>
      </w:pPr>
      <w:r>
        <w:t xml:space="preserve">Publish model/version, transport, scope, cases, metrics, raw results,</w:t>
      </w:r>
      <w:r>
        <w:t xml:space="preserve"> </w:t>
      </w:r>
      <w:r>
        <w:t xml:space="preserve">hashes, and all deviations from protocol.</w:t>
      </w:r>
    </w:p>
    <w:bookmarkEnd w:id="44"/>
    <w:bookmarkStart w:id="45" w:name="X36bdb020745c5090fe5cc5ab42e731c591e4e8e"/>
    <w:p>
      <w:pPr>
        <w:pStyle w:val="Heading2"/>
      </w:pPr>
      <w:r>
        <w:t xml:space="preserve">9. Artifact inventory and integrity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WORKER_CHARTER.md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scope, escalation rules, and evidence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CLAWLINK_PROTOCOL.md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versions and glossary.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relay/clx_relay.py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Relay implementation and deterministic decode/checkpoint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relay/test_checkpoint_guard.py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tests added after the checkpoint defect.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benchmark/cases.json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tasks and expected labels.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benchmark/clx21_full_r3_results.jsonl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20-case result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benchmark/clx21_full_r3_summary.json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summary.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benchmark/fresh_worker_recovery_r1.jsonl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Fresh-session recovery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benchmark/fresh_worker_recovery_r1_summary.json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Fresh-session recovery summary.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benchmark/clx21_full_results_v1_checkpoint_guard_bug.jsonl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first full run: original checkpoint defect.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benchmark/clx21_full_r2_results.jsonl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second full run: ambiguous checkpoint assertion.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INTEGRITY_MANIFEST.sha256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inventory for the publication bundle.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EDITORIAL_LOG.md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findings, disposition, and revision rationale.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SANITIZATION.md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Public-release role and path pseudonymization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REPRODUCIBILITY.md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history, invalid-run disclosure, and SHA-256 hashes.</w:t>
            </w:r>
          </w:p>
        </w:tc>
      </w:tr>
    </w:tbl>
    <w:p>
      <w:pPr>
        <w:pStyle w:val="BodyText"/>
      </w:pPr>
      <w:r>
        <w:t xml:space="preserve">The manifest covers the paper, protocol, charter, test cases, runner scripts,</w:t>
      </w:r>
      <w:r>
        <w:t xml:space="preserve"> </w:t>
      </w:r>
      <w:r>
        <w:t xml:space="preserve">valid results, recovery results, and invalid-run artifacts. Verify it before</w:t>
      </w:r>
      <w:r>
        <w:t xml:space="preserve"> </w:t>
      </w:r>
      <w:r>
        <w:t xml:space="preserve">analysis with</w:t>
      </w:r>
      <w:r>
        <w:t xml:space="preserve"> </w:t>
      </w:r>
      <w:r>
        <w:rPr>
          <w:rStyle w:val="VerbatimChar"/>
        </w:rPr>
        <w:t xml:space="preserve">sha256sum -c INTEGRITY_MANIFEST.sha256</w:t>
      </w:r>
      <w:r>
        <w:t xml:space="preserve">.</w:t>
      </w:r>
    </w:p>
    <w:bookmarkEnd w:id="45"/>
    <w:bookmarkStart w:id="46" w:name="Xc72408c88f6aa3f318e9c4f077d22b48a39071f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Within a constrained synthetic workload, a two-agent OpenClaw deployment used</w:t>
      </w:r>
      <w:r>
        <w:t xml:space="preserve"> </w:t>
      </w:r>
      <w:r>
        <w:t xml:space="preserve">a negotiated compact protocol that was recoverable in a fresh-session test,</w:t>
      </w:r>
      <w:r>
        <w:t xml:space="preserve"> </w:t>
      </w:r>
      <w:r>
        <w:t xml:space="preserve">auditable through relay records, and able to escalate an unknown task reference.</w:t>
      </w:r>
      <w:r>
        <w:t xml:space="preserve"> </w:t>
      </w:r>
      <w:r>
        <w:t xml:space="preserve">CLX/2.1 demonstrated compact request envelopes but did not establish a causal</w:t>
      </w:r>
      <w:r>
        <w:t xml:space="preserve"> </w:t>
      </w:r>
      <w:r>
        <w:t xml:space="preserve">efficiency or latency advantage. The strongest lesson is methodological:</w:t>
      </w:r>
      <w:r>
        <w:t xml:space="preserve"> </w:t>
      </w:r>
      <w:r>
        <w:t xml:space="preserve">protocol implementations must be boundary-tested and invalid runs disclosed,</w:t>
      </w:r>
      <w:r>
        <w:t xml:space="preserve"> </w:t>
      </w:r>
      <w:r>
        <w:t xml:space="preserve">because an off-by-one guard can look like an agent-quality failure. Future work</w:t>
      </w:r>
      <w:r>
        <w:t xml:space="preserve"> </w:t>
      </w:r>
      <w:r>
        <w:t xml:space="preserve">should use larger expert-adjudicated workloads, identical condition templates,</w:t>
      </w:r>
      <w:r>
        <w:t xml:space="preserve"> </w:t>
      </w:r>
      <w:r>
        <w:t xml:space="preserve">provider token measurement, multiple models, independent replication, and</w:t>
      </w:r>
      <w:r>
        <w:t xml:space="preserve"> </w:t>
      </w:r>
      <w:r>
        <w:t xml:space="preserve">fault injection across transport and protocol versions.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ClawLink Study: Auditable Compact Protocols for Two-Agent Collaboration</dc:title>
  <dc:creator/>
  <cp:keywords/>
  <dcterms:created xsi:type="dcterms:W3CDTF">2026-09-15T21:46:15Z</dcterms:created>
  <dcterms:modified xsi:type="dcterms:W3CDTF">2026-09-15T21:46:15Z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Caldera Cybersecurity Services</vt:lpwstr>
  </property>
  <property fmtid="{D5CDD505-2E9C-101B-9397-08002B2CF9AE}" pid="3" name="authors">
    <vt:lpwstr>Rick Myers</vt:lpwstr>
  </property>
  <property fmtid="{D5CDD505-2E9C-101B-9397-08002B2CF9AE}" pid="4" name="copyright">
    <vt:lpwstr>Copyright 2026 Caldera Cybersecurity Services</vt:lpwstr>
  </property>
  <property fmtid="{D5CDD505-2E9C-101B-9397-08002B2CF9AE}" pid="5" name="date">
    <vt:lpwstr>2026-09-15</vt:lpwstr>
  </property>
  <property fmtid="{D5CDD505-2E9C-101B-9397-08002B2CF9AE}" pid="6" name="license">
    <vt:lpwstr>Paper and synthetic data: CC BY 4.0; original code: Apache-2.0</vt:lpwstr>
  </property>
  <property fmtid="{D5CDD505-2E9C-101B-9397-08002B2CF9AE}" pid="7" name="status">
    <vt:lpwstr>Release candidate</vt:lpwstr>
  </property>
</Properties>
</file>