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3864"/>
          <w:sz w:val="40"/>
          <w:szCs w:val="40"/>
        </w:rPr>
        <w:t xml:space="preserve">PRODUCT, FEATURE-GAP &amp; ARCHITECTURE REVIEW</w:t>
      </w:r>
    </w:p>
    <w:p>
      <w:pPr>
        <w:spacing w:before="200"/>
        <w:jc w:val="center"/>
      </w:pPr>
      <w:r>
        <w:rPr>
          <w:color w:val="2E75B6"/>
          <w:sz w:val="28"/>
          <w:szCs w:val="28"/>
        </w:rPr>
        <w:t xml:space="preserve">Tally Replica — Cloud Enterprise Accounting SaaS</w:t>
      </w:r>
    </w:p>
    <w:p>
      <w:pPr>
        <w:spacing w:before="400"/>
        <w:jc w:val="center"/>
      </w:pPr>
      <w:r>
        <w:rPr>
          <w:i/>
          <w:iCs/>
          <w:sz w:val="22"/>
          <w:szCs w:val="22"/>
        </w:rPr>
        <w:t xml:space="preserve">A Principal Architect / Product / Accounting-Domain Assessment</w:t>
      </w:r>
    </w:p>
    <w:p>
      <w:pPr>
        <w:spacing w:before="1600"/>
        <w:jc w:val="center"/>
      </w:pPr>
      <w:r>
        <w:rPr>
          <w:sz w:val="22"/>
          <w:szCs w:val="22"/>
        </w:rPr>
        <w:t xml:space="preserve">Prepared for: Founders, CTOs, Investors &amp; Engineering Leadership</w:t>
      </w:r>
    </w:p>
    <w:p>
      <w:pPr>
        <w:spacing w:before="200"/>
        <w:jc w:val="center"/>
      </w:pPr>
      <w:r>
        <w:rPr>
          <w:i/>
          <w:iCs/>
          <w:sz w:val="20"/>
          <w:szCs w:val="20"/>
        </w:rPr>
        <w:t xml:space="preserve">Benchmarked against: Tally Prime · Zoho Books · QuickBooks · SAP Business One · Odoo Accounting</w:t>
      </w:r>
    </w:p>
    <w:p>
      <w:pPr>
        <w:spacing w:before="1200"/>
        <w:jc w:val="center"/>
      </w:pPr>
      <w:r>
        <w:rPr>
          <w:color w:val="2E75B6"/>
          <w:sz w:val="22"/>
          <w:szCs w:val="22"/>
        </w:rPr>
        <w:t xml:space="preserve">June 2026</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pPr>
      <w:r>
        <w:t xml:space="preserve">Executive Summary</w:t>
      </w:r>
    </w:p>
    <w:p>
      <w:pPr>
        <w:spacing w:after="120"/>
      </w:pPr>
      <w:r>
        <w:t xml:space="preserve">Tally Replica is a multi-tenant, double-entry accounting SaaS built on a Node.js/Express/Sequelize backend and a React/Vite frontend. The codebase reflects a genuinely ambitious build: 54 Sequelize models, 15 backend domain modules, ~101 React components, a working journal-entry engine with debit/credit balance validation, real-time ledger balances, role-based access control, tenant isolation middleware, and a broad set of financial reports (Trial Balance, P&amp;L, Balance Sheet, Cash Flow, Receivables/Payables ageing, GST returns). For an early-stage product this is a strong functional core — well beyond a prototype.</w:t>
      </w:r>
    </w:p>
    <w:p>
      <w:pPr>
        <w:spacing w:after="120"/>
      </w:pPr>
      <w:r>
        <w:t xml:space="preserve">At the same time, measured against Tally Prime, Zoho Books, QuickBooks, SAP Business One, and Odoo, the product is best described as a capable accounting-and-billing application that is not yet production-grade SaaS and not yet enterprise- or compliance-ready. The most consequential gaps are: (1) no automated testing of any kind protecting a financial ledger engine; (2) security primitives that a regulator or enterprise buyer will flag immediately — tokens in sessionStorage, open CORS, no rate limiting, no MFA, no field-level encryption, no password policy; (3) an incomplete India-compliance story — GSTR-1/2A/3B exist, but e-Invoicing (IRN/QR), e-Way Bill, TDS and TCS are entirely absent; (4) inventory is value-tracking only — no batch/serial tracking, no stock ledger/movement table, no warehouse transfer workflow; (5) no real subscription billing despite a Subscription model existing in isolation; and (6) a database with zero explicit indexes on a schema that already spans 50+ tables, which will degrade quickly past a few thousand companies.</w:t>
      </w:r>
    </w:p>
    <w:p>
      <w:pPr>
        <w:spacing w:after="120"/>
      </w:pPr>
      <w:r>
        <w:t xml:space="preserve">None of this is a condemnation — it is the normal state of a fast-moving MVP. The purpose of this report is to give the founding/engineering team a rigorous, prioritized map from “working prototype” to “commercially defensible accounting platform”, expressed as a gap matrix, a 4-phase roadmap, a sprint-level plan, and a target technical architecture.</w:t>
      </w:r>
    </w:p>
    <w:p>
      <w:pPr>
        <w:pStyle w:val="Heading2"/>
      </w:pPr>
      <w:r>
        <w:t xml:space="preserve">Top-Line Findings</w:t>
      </w:r>
    </w:p>
    <w:p>
      <w:pPr>
        <w:pStyle w:val="ListParagraph"/>
        <w:numPr>
          <w:ilvl w:val="0"/>
          <w:numId w:val="2"/>
        </w:numPr>
        <w:spacing w:after="60"/>
      </w:pPr>
      <w:r>
        <w:t xml:space="preserve">Functional core is real: double-entry ledger engine, multi-company/tenant model, RBAC with 6 roles, audit logging, and 14 live financial reports are implemented and wired end-to-end.</w:t>
      </w:r>
    </w:p>
    <w:p>
      <w:pPr>
        <w:pStyle w:val="ListParagraph"/>
        <w:numPr>
          <w:ilvl w:val="0"/>
          <w:numId w:val="2"/>
        </w:numPr>
        <w:spacing w:after="60"/>
      </w:pPr>
      <w:r>
        <w:t xml:space="preserve">Breadth over depth: the codebase touches an unusually wide surface (manufacturing/BOM, payroll, fixed assets, budgeting, time-tracking, banking reconciliation) but most of these modules are shallow (CRUD-level) compared to what Zoho/QuickBooks/Odoo ship.</w:t>
      </w:r>
    </w:p>
    <w:p>
      <w:pPr>
        <w:pStyle w:val="ListParagraph"/>
        <w:numPr>
          <w:ilvl w:val="0"/>
          <w:numId w:val="2"/>
        </w:numPr>
        <w:spacing w:after="60"/>
      </w:pPr>
      <w:r>
        <w:t xml:space="preserve">Compliance is the biggest commercial risk for an India-first product: GST e-Invoicing, e-Way Bill, TDS/TCS and audit-trail “edit-log” requirements (mandatory in Tally/Zoho since 2023) are missing.</w:t>
      </w:r>
    </w:p>
    <w:p>
      <w:pPr>
        <w:pStyle w:val="ListParagraph"/>
        <w:numPr>
          <w:ilvl w:val="0"/>
          <w:numId w:val="2"/>
        </w:numPr>
        <w:spacing w:after="60"/>
      </w:pPr>
      <w:r>
        <w:t xml:space="preserve">Security posture is pre-production: JWT in sessionStorage (XSS-exposed), unrestricted CORS, no rate limiting/Helmet, no MFA, no encryption-at-rest for PII/bank data, and an inconsistent role list (EMPLOYEE referenced in middleware but absent from the documented 6-role matrix).</w:t>
      </w:r>
    </w:p>
    <w:p>
      <w:pPr>
        <w:pStyle w:val="ListParagraph"/>
        <w:numPr>
          <w:ilvl w:val="0"/>
          <w:numId w:val="2"/>
        </w:numPr>
        <w:spacing w:after="60"/>
      </w:pPr>
      <w:r>
        <w:t xml:space="preserve">No automated tests exist anywhere in the repository — for a ledger system where Debits must always equal Credits, this is the single highest-risk engineering gap.</w:t>
      </w:r>
    </w:p>
    <w:p>
      <w:pPr>
        <w:pStyle w:val="ListParagraph"/>
        <w:numPr>
          <w:ilvl w:val="0"/>
          <w:numId w:val="2"/>
        </w:numPr>
        <w:spacing w:after="60"/>
      </w:pPr>
      <w:r>
        <w:t xml:space="preserve">SaaS commercial layer is a stub: a Subscription model exists (Free/Professional/Enterprise, Stripe field) but there is no controller, no route, no plan-gating, no usage metering, and no billing integration.</w:t>
      </w:r>
    </w:p>
    <w:p>
      <w:pPr>
        <w:pStyle w:val="ListParagraph"/>
        <w:numPr>
          <w:ilvl w:val="0"/>
          <w:numId w:val="2"/>
        </w:numPr>
        <w:spacing w:after="60"/>
      </w:pPr>
      <w:r>
        <w:t xml:space="preserve">Database has no explicit indexes, no documented ER diagram, partial soft-delete (paranoid) coverage, and JSON “feature flag” columns that aren't enforced anywhere in business logic.</w:t>
      </w:r>
    </w:p>
    <w:p>
      <w:pPr>
        <w:pStyle w:val="Heading2"/>
      </w:pPr>
      <w:r>
        <w:t xml:space="preserve">How to Read This Report</w:t>
      </w:r>
    </w:p>
    <w:p>
      <w:pPr>
        <w:spacing w:after="120"/>
      </w:pPr>
      <w:r>
        <w:t xml:space="preserve">Section 1 inventories what exists today, module by module, with a completion estimate. Section 2 builds a missing-feature matrix against the five reference platforms, prioritized Critical → Nice-to-Have. Sections 3–9 drill into each accounting sub-domain (General Ledger, Sales, Purchases, Inventory, GST, Reporting, Security) with an implemented-vs-missing breakdown and a recommended approach. Sections 10–13 cover database, API, SaaS-readiness and scalability. Section 14 lays out a four-phase product roadmap; Section 15 is the target technical-architecture blueprint; Section 16 packages everything into delivery artifacts — risk register, sprint plan, effort estimate and team structure.</w:t>
      </w:r>
    </w:p>
    <w:p>
      <w:pPr>
        <w:pStyle w:val="Heading1"/>
        <w:pageBreakBefore/>
      </w:pPr>
      <w:r>
        <w:t xml:space="preserve">1. Current Product Assessment</w:t>
      </w:r>
    </w:p>
    <w:p>
      <w:pPr>
        <w:pStyle w:val="Heading2"/>
      </w:pPr>
      <w:r>
        <w:t xml:space="preserve">1.1 Existing Modules &amp; Architecture Snapshot</w:t>
      </w:r>
    </w:p>
    <w:p>
      <w:pPr>
        <w:spacing w:after="120"/>
      </w:pPr>
      <w:r>
        <w:t xml:space="preserve">The backend is organized as 15 domain modules under backend/modules (accounting, auth, budgeting, company, fixed_assets, inventory, mail, manufacturing, payroll, purchases, reconciliation, reports, sales, tax, time_tracking), each exposing its own Express router and controller, registered centrally in server.js. Data access goes through Sequelize (54 models defined in backend/models, with relations centralized in models/index.js). The frontend mirrors this structure under src/modules (16 feature areas, ~101 .jsx components), using Redux Toolkit for cross-cutting financial state, Zustand for lightweight UI state, AG-Grid for ledger-scale tabular data, Recharts for analytics, Tailwind CSS for styling and Framer Motion for transitions.</w:t>
      </w:r>
    </w:p>
    <w:p>
      <w:pPr>
        <w:pStyle w:val="Heading3"/>
      </w:pPr>
      <w:r>
        <w:t xml:space="preserve">Backend Architecture (as built)</w:t>
      </w:r>
    </w:p>
    <w:p>
      <w:pPr>
        <w:pStyle w:val="ListParagraph"/>
        <w:numPr>
          <w:ilvl w:val="0"/>
          <w:numId w:val="2"/>
        </w:numPr>
        <w:spacing w:after="60"/>
      </w:pPr>
      <w:r>
        <w:t xml:space="preserve">Express 5 app with a single server.js entry point; CORS is enabled globally with no origin allow-list (app.use(cors())); body limit 10mb; static /uploads serving via multer.</w:t>
      </w:r>
    </w:p>
    <w:p>
      <w:pPr>
        <w:pStyle w:val="ListParagraph"/>
        <w:numPr>
          <w:ilvl w:val="0"/>
          <w:numId w:val="2"/>
        </w:numPr>
        <w:spacing w:after="60"/>
      </w:pPr>
      <w:r>
        <w:t xml:space="preserve">Database access via Sequelize with DB_DIALECT switch (sqlite for local dev, pg/mysql2 for production) and a 5-retry connection bootstrap; sequelize.sync({ alter: true }) is used at boot — acceptable for a prototype, dangerous for a multi-tenant production database (implicit schema drift, no migration history).</w:t>
      </w:r>
    </w:p>
    <w:p>
      <w:pPr>
        <w:pStyle w:val="ListParagraph"/>
        <w:numPr>
          <w:ilvl w:val="0"/>
          <w:numId w:val="2"/>
        </w:numPr>
        <w:spacing w:after="60"/>
      </w:pPr>
      <w:r>
        <w:t xml:space="preserve">Three-layer security middleware: verifyToken (JWT), tenantAccess (forces CompanyId scoping + UUID-format validation, with an explicit SUPER_ADMIN bypass that is logged as a [SECURITY WARNING]), and authorizeRoles (role allow-lists per route). A trackModifiers middleware injects CreatedBy/ModifiedBy from the JWT, and guardLockedVoucher prevents an 'EMPLOYEE' role from editing approved/locked or other users' vouchers.</w:t>
      </w:r>
    </w:p>
    <w:p>
      <w:pPr>
        <w:pStyle w:val="ListParagraph"/>
        <w:numPr>
          <w:ilvl w:val="0"/>
          <w:numId w:val="2"/>
        </w:numPr>
        <w:spacing w:after="60"/>
      </w:pPr>
      <w:r>
        <w:t xml:space="preserve">AccountingService is the single, centralized posting engine (“universal journal” pattern) — this is architecturally the right pattern and is the strongest part of the codebase: every voucher, invoice, bill, payslip and depreciation entry ultimately posts through recordJournalEntry, which validates Dr=Cr, wraps the write in a Sequelize transaction, updates Ledger.currentBalance in real time, and writes an AuditLog row.</w:t>
      </w:r>
    </w:p>
    <w:p>
      <w:pPr>
        <w:pStyle w:val="ListParagraph"/>
        <w:numPr>
          <w:ilvl w:val="0"/>
          <w:numId w:val="2"/>
        </w:numPr>
        <w:spacing w:after="60"/>
      </w:pPr>
      <w:r>
        <w:t xml:space="preserve">A single node-cron job runs daily to process due recurring invoices — the only background-job mechanism in the system (no queue, no retries, no dead-letter handling, runs in-process so it does not survive across multiple app instances without a risk of duplicate processing).</w:t>
      </w:r>
    </w:p>
    <w:p>
      <w:pPr>
        <w:pStyle w:val="Heading3"/>
      </w:pPr>
      <w:r>
        <w:t xml:space="preserve">Frontend Architecture (as built)</w:t>
      </w:r>
    </w:p>
    <w:p>
      <w:pPr>
        <w:pStyle w:val="ListParagraph"/>
        <w:numPr>
          <w:ilvl w:val="0"/>
          <w:numId w:val="2"/>
        </w:numPr>
        <w:spacing w:after="60"/>
      </w:pPr>
      <w:r>
        <w:t xml:space="preserve">React 18 + Vite, React Router v6, Redux Toolkit + Zustand (mixed state strategy — a maintenance smell once the team grows), Tailwind CSS, AG-Grid Community, Recharts, Framer Motion, react-hook-form, jsPDF/jspdf-autotable and xlsx for client-side export.</w:t>
      </w:r>
    </w:p>
    <w:p>
      <w:pPr>
        <w:pStyle w:val="ListParagraph"/>
        <w:numPr>
          <w:ilvl w:val="0"/>
          <w:numId w:val="2"/>
        </w:numPr>
        <w:spacing w:after="60"/>
      </w:pPr>
      <w:r>
        <w:t xml:space="preserve">A single shared Axios instance (services/api.js) attaches Authorization and x-company-id headers from sessionStorage on every request and force-redirects to /  on a 401 — functional, but storing JWTs in sessionStorage is the most XSS-exposed option available (see §9).</w:t>
      </w:r>
    </w:p>
    <w:p>
      <w:pPr>
        <w:pStyle w:val="ListParagraph"/>
        <w:numPr>
          <w:ilvl w:val="0"/>
          <w:numId w:val="2"/>
        </w:numPr>
        <w:spacing w:after="60"/>
      </w:pPr>
      <w:r>
        <w:t xml:space="preserve">The module folder layout (16 feature folders mirroring backend modules) is a reasonable starting point for a feature-based architecture, but there is no shared design-system / component-library layer, and AI/mock data fallbacks (services/mockData.js) are mixed into the same folder as live API calls.</w:t>
      </w:r>
    </w:p>
    <w:p>
      <w:pPr>
        <w:pStyle w:val="Heading2"/>
      </w:pPr>
      <w:r>
        <w:t xml:space="preserve">1.2 Module Status Matrix</w:t>
      </w:r>
    </w:p>
    <w:p>
      <w:pPr>
        <w:spacing w:after="120"/>
      </w:pPr>
      <w:r>
        <w:t xml:space="preserve">The matrix below reflects a code-level review of controllers, models, routes and the corresponding frontend views — not feature claims in the README. “Completion %” is an estimate of how close each module is to a commercially shippable version of the equivalent Zoho Books / Tally Prime feature, not a measure of lines-of-code.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300"/>
        <w:gridCol w:w="3360"/>
      </w:tblGrid>
      <w:tr>
        <w:trPr>
          <w:tblHeader/>
        </w:trPr>
        <w:tc>
          <w:tcPr>
            <w:tcW w:type="dxa" w:w="3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sz w:val="20"/>
                <w:szCs w:val="20"/>
              </w:rPr>
              <w:t xml:space="preserve">Module</w:t>
            </w:r>
          </w:p>
        </w:tc>
        <w:tc>
          <w:tcPr>
            <w:tcW w:type="dxa" w:w="17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sz w:val="20"/>
                <w:szCs w:val="20"/>
              </w:rPr>
              <w:t xml:space="preserve">Status</w:t>
            </w:r>
          </w:p>
        </w:tc>
        <w:tc>
          <w:tcPr>
            <w:tcW w:type="dxa" w:w="13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sz w:val="20"/>
                <w:szCs w:val="20"/>
              </w:rPr>
              <w:t xml:space="preserve">Completion %</w:t>
            </w:r>
          </w:p>
        </w:tc>
        <w:tc>
          <w:tcPr>
            <w:tcW w:type="dxa" w:w="33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sz w:val="20"/>
                <w:szCs w:val="20"/>
              </w:rPr>
              <w:t xml:space="preserve">Remarks</w:t>
            </w:r>
          </w:p>
        </w:tc>
      </w:tr>
      <w:tr>
        <w:trPr>
          <w:tblHeader w:val="false"/>
        </w:trP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Authentication &amp; Multi-Company</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Implemented</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75%</w:t>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JWT + bcrypt + Google OAuth (Passport). Multi-company switch via activeCompanyId. No MFA, no password policy, no refresh-token rotation.</w:t>
            </w:r>
          </w:p>
        </w:tc>
      </w:tr>
      <w:tr>
        <w:trPr>
          <w:tblHeader w:val="false"/>
        </w:trP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RBAC / Tenant Isolation</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Implemented</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70%</w:t>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verifyToken / authorizeRoles / tenantAccess / trackModifiers / guardLockedVoucher middleware chain. 6 documented roles plus an undocumented 'EMPLOYEE' role referenced in code — matrix is inconsistent.</w:t>
            </w:r>
          </w:p>
        </w:tc>
      </w:tr>
      <w:tr>
        <w:trPr>
          <w:tblHeader w:val="false"/>
        </w:trP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Chart of Accounts (Groups &amp; Ledgers)</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Implemented</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85%</w:t>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Hierarchical Groups with parent/child, Tally-standard default group seed (helpers/tallyGroups.js), rich Ledger model (GSTIN-validated, banking &amp; contact fields).</w:t>
            </w:r>
          </w:p>
        </w:tc>
      </w:tr>
      <w:tr>
        <w:trPr>
          <w:tblHeader w:val="false"/>
        </w:trP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Voucher Entry / Journal Engine</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Implemented</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80%</w:t>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AccountingService.recordJournalEntry enforces Dr=Cr balance, atomic Sequelize transactions, auto voucher numbering, real-time ledger balance updates, audit-log injection. updateJournalEntry correctly reverses prior deltas.</w:t>
            </w:r>
          </w:p>
        </w:tc>
      </w:tr>
      <w:tr>
        <w:trPr>
          <w:tblHeader w:val="false"/>
        </w:trP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General Ledger / Transactions</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Implemented</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75%</w:t>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Transaction model links Voucher↔Ledger with cost-center &amp; project dimensions. No period-locking, no posting-date vs voucher-date separation.</w:t>
            </w:r>
          </w:p>
        </w:tc>
      </w:tr>
      <w:tr>
        <w:trPr>
          <w:tblHeader w:val="false"/>
        </w:trP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Financial Reports (TB/P&amp;L/BS/Cash Flow/Day Book)</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Implemented</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70%</w:t>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All five core statements generated live by aggregation in reports.controller.js. Logic is recomputed per request — no snapshot/period-close, no comparative (YoY) columns, no drill-down export beyond PDF/Excel via frontend libs.</w:t>
            </w:r>
          </w:p>
        </w:tc>
      </w:tr>
      <w:tr>
        <w:trPr>
          <w:tblHeader w:val="false"/>
        </w:trP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Sales (Quotes→SO→Invoice→Receipt→Credit Note)</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Implemented</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65%</w:t>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Quote, SalesOrder, SalesInvoice, CreditNote, DeliveryChallan, RecurringInvoice, RetainerInvoice models + controllers exist. Aging &amp; statements exist in reports; recurring automation runs via node-cron.</w:t>
            </w:r>
          </w:p>
        </w:tc>
      </w:tr>
      <w:tr>
        <w:trPr>
          <w:tblHeader w:val="false"/>
        </w:trP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Purchases (PO→Bill→Payment→Debit/Vendor Credit)</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Implemented</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60%</w:t>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PurchaseOrder, Bill (via purchases.controller), VendorCredit, RecurringBill, RecurringExpense exist. No formal 3-way match (PO/GRN/Invoice), no approval workflow.</w:t>
            </w:r>
          </w:p>
        </w:tc>
      </w:tr>
      <w:tr>
        <w:trPr>
          <w:tblHeader w:val="false"/>
        </w:trP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Inventory / Stock</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Partially Implemented</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45%</w:t>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Item master with HSN/GST fields, StockGroup/Category, UnitOfMeasure, Godown (warehouse) and PriceList exist, but stock is a single 'currentStock' counter — no stock ledger/movement table, no batch/serial tracking, no warehouse-to-warehouse transfer workflow, no costing method (FIFO/Weighted Avg) selection.</w:t>
            </w:r>
          </w:p>
        </w:tc>
      </w:tr>
      <w:tr>
        <w:trPr>
          <w:tblHeader w:val="false"/>
        </w:trP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GST / Tax Compliance (India)</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Partially Implemented</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35%</w:t>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GSTR-1, GSTR-2A, GSTR-3B report endpoints exist; GSTIN validated at the model layer; CGST/SGST/IGST split implied via tax ledgers. e-Invoice (IRN/QR), e-Way Bill, TDS, TCS are entirely absent.</w:t>
            </w:r>
          </w:p>
        </w:tc>
      </w:tr>
      <w:tr>
        <w:trPr>
          <w:tblHeader w:val="false"/>
        </w:trP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Banking &amp; Reconciliation</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Partially Implemented</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40%</w:t>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BankTransaction model + importStatement/getUnmatched/reconcile endpoints. No bank-feed integrations (Plaid/Yodlee/account-aggregator), matching is manual.</w:t>
            </w:r>
          </w:p>
        </w:tc>
      </w:tr>
      <w:tr>
        <w:trPr>
          <w:tblHeader w:val="false"/>
        </w:trP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Fixed Assets &amp; Depreciation</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Implemented</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60%</w:t>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FixedAsset + DepreciationLog models, SLM/WDV methods, dispose workflow, voucher-linked depreciation postings.</w:t>
            </w:r>
          </w:p>
        </w:tc>
      </w:tr>
      <w:tr>
        <w:trPr>
          <w:tblHeader w:val="false"/>
        </w:trP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Manufacturing (BOM / Production Orders)</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Partially Implemented</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35%</w:t>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BOM, BOMItem, ProductionOrder exist at CRUD level; no shop-floor routing, no work-in-progress costing, no material-consumption variance reporting.</w:t>
            </w:r>
          </w:p>
        </w:tc>
      </w:tr>
      <w:tr>
        <w:trPr>
          <w:tblHeader w:val="false"/>
        </w:trP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Payroll &amp; HR</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Partially Implemented</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40%</w:t>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Employee, Attendance, SalaryStructure, Payslip models; processPayroll posts journal entries. No statutory India payroll (PF/ESI/PT/TDS-on-salary), no leave management, no compliance filings.</w:t>
            </w:r>
          </w:p>
        </w:tc>
      </w:tr>
      <w:tr>
        <w:trPr>
          <w:tblHeader w:val="false"/>
        </w:trP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Budgeting</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Partially Implemented</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40%</w:t>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Budget/BudgetItem with variance reporting against Ledgers/Groups. No multi-year/scenario budgeting, no approval workflow.</w:t>
            </w:r>
          </w:p>
        </w:tc>
      </w:tr>
      <w:tr>
        <w:trPr>
          <w:tblHeader w:val="false"/>
        </w:trP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Fixed Time-Tracking / Projects</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Partially Implemented</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35%</w:t>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Project, ProjectTask, ProjectUser, Timesheet exist with cost-center style linkage to Vouchers/Invoices; no billing-rate cards, no utilization reporting.</w:t>
            </w:r>
          </w:p>
        </w:tc>
      </w:tr>
      <w:tr>
        <w:trPr>
          <w:tblHeader w:val="false"/>
        </w:trP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Audit Trail / Logs</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Implemented</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65%</w:t>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AuditLog captures action, oldData/newData JSON snapshots, IP/UA, linked to User/Company/Project. Visible only via a single /audit endpoint; no searchable UI filters beyond basic list, no immutability guarantee (writable table).</w:t>
            </w:r>
          </w:p>
        </w:tc>
      </w:tr>
      <w:tr>
        <w:trPr>
          <w:tblHeader w:val="false"/>
        </w:trP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Multi-Currency</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Stub / Configuration Only</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20%</w:t>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Currency model with exchange-rate field exists; Company.features.multiCurrency flag defaults to false and is not enforced anywhere in voucher posting or reporting (no FX gain/loss handling, no revaluation).</w:t>
            </w:r>
          </w:p>
        </w:tc>
      </w:tr>
      <w:tr>
        <w:trPr>
          <w:tblHeader w:val="false"/>
        </w:trP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Subscription / Billing (SaaS commercial layer)</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Stub Only</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10%</w:t>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Subscription model (Free/Professional/Enterprise + stripeSubscriptionId) exists with no controller, no route, no Stripe/Razorpay wiring, and no plan-based feature gating anywhere in the codebase.</w:t>
            </w:r>
          </w:p>
        </w:tc>
      </w:tr>
      <w:tr>
        <w:trPr>
          <w:tblHeader w:val="false"/>
        </w:trP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AI Features (OCR Scanner / Assistant)</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Prototype / Simulated</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15%</w:t>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accounting.service.simulateAIOCR() is an explicit stub ("In a real app, you would use Tesseract.js or OpenAI Vision API…"); AIAssistantView.jsx calls an external AI_API_URL directly from the browser — no backend proxy, no key management, no rate limiting.</w:t>
            </w:r>
          </w:p>
        </w:tc>
      </w:tr>
      <w:tr>
        <w:trPr>
          <w:tblHeader w:val="false"/>
        </w:trP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Reporting/Dashboard UI (Recharts/AG-Grid)</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Implemented</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70%</w:t>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DashboardView renders KPI tiles, recent activity, charts; AG-Grid powers high-volume tabular views; jsPDF/xlsx provide client-side export.</w:t>
            </w:r>
          </w:p>
        </w:tc>
      </w:tr>
    </w:tbl>
    <w:p>
      <w:pPr>
        <w:spacing w:after="160"/>
      </w:pPr>
    </w:p>
    <w:p>
      <w:pPr>
        <w:pStyle w:val="Heading2"/>
      </w:pPr>
      <w:r>
        <w:t xml:space="preserve">1.3 Existing Integrations</w:t>
      </w:r>
    </w:p>
    <w:p>
      <w:pPr>
        <w:pStyle w:val="ListParagraph"/>
        <w:numPr>
          <w:ilvl w:val="0"/>
          <w:numId w:val="2"/>
        </w:numPr>
        <w:spacing w:after="60"/>
      </w:pPr>
      <w:r>
        <w:t xml:space="preserve">Google OAuth 2.0 login via Passport.js (session: false, JWT issuance on callback).</w:t>
      </w:r>
    </w:p>
    <w:p>
      <w:pPr>
        <w:pStyle w:val="ListParagraph"/>
        <w:numPr>
          <w:ilvl w:val="0"/>
          <w:numId w:val="2"/>
        </w:numPr>
        <w:spacing w:after="60"/>
      </w:pPr>
      <w:r>
        <w:t xml:space="preserve">Nodemailer-based mail module (SystemMail model) for transactional email.</w:t>
      </w:r>
    </w:p>
    <w:p>
      <w:pPr>
        <w:pStyle w:val="ListParagraph"/>
        <w:numPr>
          <w:ilvl w:val="0"/>
          <w:numId w:val="2"/>
        </w:numPr>
        <w:spacing w:after="60"/>
      </w:pPr>
      <w:r>
        <w:t xml:space="preserve">Client-side PDF/Excel export (jsPDF, xlsx) and a server-side PDFService (pdfkit) for invoice/voucher documents.</w:t>
      </w:r>
    </w:p>
    <w:p>
      <w:pPr>
        <w:pStyle w:val="ListParagraph"/>
        <w:numPr>
          <w:ilvl w:val="0"/>
          <w:numId w:val="2"/>
        </w:numPr>
        <w:spacing w:after="60"/>
      </w:pPr>
      <w:r>
        <w:t xml:space="preserve">An external AI endpoint called directly from the browser in AIAssistantView.jsx (no backend proxy — a security and cost-control concern).</w:t>
      </w:r>
    </w:p>
    <w:p>
      <w:pPr>
        <w:pStyle w:val="ListParagraph"/>
        <w:numPr>
          <w:ilvl w:val="0"/>
          <w:numId w:val="2"/>
        </w:numPr>
        <w:spacing w:after="60"/>
      </w:pPr>
      <w:r>
        <w:t xml:space="preserve">No accounting-ecosystem integrations exist: no payment gateway (Razorpay/Stripe/PayU), no bank-feed aggregator, no e-commerce/marketplace connectors, no GSP (GST Suvidha Provider) integration, no e-invoice/IRP integration, no document-signing, no SMS/WhatsApp notification channel.</w:t>
      </w:r>
    </w:p>
    <w:p>
      <w:pPr>
        <w:pStyle w:val="Heading2"/>
      </w:pPr>
      <w:r>
        <w:t xml:space="preserve">1.4 Security Implementation (summary — detailed in §9)</w:t>
      </w:r>
    </w:p>
    <w:p>
      <w:pPr>
        <w:pStyle w:val="ListParagraph"/>
        <w:numPr>
          <w:ilvl w:val="0"/>
          <w:numId w:val="2"/>
        </w:numPr>
        <w:spacing w:after="60"/>
      </w:pPr>
      <w:r>
        <w:t xml:space="preserve">Implemented: JWT auth, bcrypt password hashing, role-based route guards, tenant scoping, soft deletes (paranoid) on Ledger and Voucher, audit logging with before/after JSON snapshots and IP/User-Agent capture.</w:t>
      </w:r>
    </w:p>
    <w:p>
      <w:pPr>
        <w:pStyle w:val="ListParagraph"/>
        <w:numPr>
          <w:ilvl w:val="0"/>
          <w:numId w:val="2"/>
        </w:numPr>
        <w:spacing w:after="60"/>
      </w:pPr>
      <w:r>
        <w:t xml:space="preserve">Missing: MFA/2FA, password complexity &amp; rotation policy, account lockout/brute-force protection, rate limiting, Helmet/security headers, CORS allow-listing, field-level encryption for PII/bank data, refresh-token rotation, CSRF protection on state-changing routes, secrets management (JWT_SECRET in plain .env).</w:t>
      </w:r>
    </w:p>
    <w:p>
      <w:pPr>
        <w:pStyle w:val="Heading2"/>
      </w:pPr>
      <w:r>
        <w:t xml:space="preserve">1.5 Reporting Capabilities (summary — detailed in §8)</w:t>
      </w:r>
    </w:p>
    <w:p>
      <w:pPr>
        <w:spacing w:after="120"/>
      </w:pPr>
      <w:r>
        <w:t xml:space="preserve">14 live report endpoints are implemented: Trial Balance, Profit &amp; Loss, Balance Sheet, Day Book, Dashboard KPIs, Ledger Statement, Cash Flow, Receivables Ageing, Payables Ageing, Inventory Report, Group Summary, Stock Ageing, Cost-Centre Report and Audit Log — plus GSTR-1/2A/3B in the tax module. All are computed live by aggregating Transaction rows on each request; there is no report caching, no scheduled/emailed reports, no saved custom-report builder, and no comparative (period-over-period / YoY) views.</w:t>
      </w:r>
    </w:p>
    <w:p>
      <w:pPr>
        <w:pStyle w:val="Heading1"/>
        <w:pageBreakBefore/>
      </w:pPr>
      <w:r>
        <w:t xml:space="preserve">2. Missing Feature Analysis — Gap Matrix vs. Reference Platforms</w:t>
      </w:r>
    </w:p>
    <w:p>
      <w:pPr>
        <w:spacing w:after="120"/>
      </w:pPr>
      <w:r>
        <w:t xml:space="preserve">The items below were identified by comparing the implemented feature set (§1) against the publicly documented capabilities of Tally Prime, Zoho Books, QuickBooks Online/Advanced, SAP Business One, and Odoo Accounting/Inventory. Each item is placed in exactly one priority band based on (a) regulatory exposure, (b) blast radius if absent at scale, and (c) how strongly it gates a commercial launch.</w:t>
      </w:r>
    </w:p>
    <w:p>
      <w:pPr>
        <w:pStyle w:val="Heading2"/>
      </w:pPr>
      <w:r>
        <w:t xml:space="preserve">2.1 Critical — Blocks Commercial Launch or Creates Legal/Financial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4560"/>
      </w:tblGrid>
      <w:tr>
        <w:trPr>
          <w:tblHeader/>
        </w:trPr>
        <w:tc>
          <w:tcPr>
            <w:tcW w:type="dxa" w:w="33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sz w:val="20"/>
                <w:szCs w:val="20"/>
              </w:rPr>
              <w:t xml:space="preserve">Missing Capability</w:t>
            </w:r>
          </w:p>
        </w:tc>
        <w:tc>
          <w:tcPr>
            <w:tcW w:type="dxa" w:w="15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sz w:val="20"/>
                <w:szCs w:val="20"/>
              </w:rPr>
              <w:t xml:space="preserve">Category</w:t>
            </w:r>
          </w:p>
        </w:tc>
        <w:tc>
          <w:tcPr>
            <w:tcW w:type="dxa" w:w="45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sz w:val="20"/>
                <w:szCs w:val="20"/>
              </w:rPr>
              <w:t xml:space="preserve">Why It Matters</w:t>
            </w:r>
          </w:p>
        </w:tc>
      </w:tr>
      <w:tr>
        <w:trPr>
          <w:tblHeader w:val="false"/>
        </w:trPr>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GST e-Invoicing (IRN generation, QR code, signed JSON via IRP/GSP)</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Compliance</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Mandatory for businesses above the e-invoicing turnover threshold; Tally Prime, Zoho Books and QuickBooks India all ship this natively. Absence blocks any serious India go-to-market.</w:t>
            </w:r>
          </w:p>
        </w:tc>
      </w:tr>
      <w:tr>
        <w:trPr>
          <w:tblHeader w:val="false"/>
        </w:trPr>
        <w:tc>
          <w:tcPr>
            <w:tcW w:type="dxa" w:w="3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e-Way Bill generation &amp; integration</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Compliance</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Required for goods movement above value thresholds; directly tied to delivery challans/invoices, which already exist as models.</w:t>
            </w:r>
          </w:p>
        </w:tc>
      </w:tr>
      <w:tr>
        <w:trPr>
          <w:tblHeader w:val="false"/>
        </w:trPr>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TDS / TCS computation, ledgers &amp; returns (26Q/27Q/27EQ)</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Compliance</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Core to Indian B2B accounting; without it the product cannot serve any business that pays contractors, rent, professional fees, or sells goods above TCS thresholds.</w:t>
            </w:r>
          </w:p>
        </w:tc>
      </w:tr>
      <w:tr>
        <w:trPr>
          <w:tblHeader w:val="false"/>
        </w:trPr>
        <w:tc>
          <w:tcPr>
            <w:tcW w:type="dxa" w:w="3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Audit-trail “Edit Log” mode (immutable, MCA-mandated since Apr 2023)</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Compliance / Security</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Indian companies are legally required to use accounting software with a tamper-proof edit log. The existing AuditLog table is a normal writable table — it does not meet the regulatory bar (no hash-chaining/immutability, no enforced 'cannot be disabled' guarantee).</w:t>
            </w:r>
          </w:p>
        </w:tc>
      </w:tr>
      <w:tr>
        <w:trPr>
          <w:tblHeader w:val="false"/>
        </w:trPr>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Automated test suite (unit + integration) for the ledger engine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Engineering / Risk</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Zero tests exist. A bug in recordJournalEntry/updateJournalEntry can silently corrupt every customer's books — this is the single highest-risk item in the repository.</w:t>
            </w:r>
          </w:p>
        </w:tc>
      </w:tr>
      <w:tr>
        <w:trPr>
          <w:tblHeader w:val="false"/>
        </w:trPr>
        <w:tc>
          <w:tcPr>
            <w:tcW w:type="dxa" w:w="3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Period locking / books closure</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Accounting Core</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No mechanism prevents posting into a closed period. Tally, Zoho and QuickBooks all enforce this; without it, historical financials are not trustworthy for audit or tax filing.</w:t>
            </w:r>
          </w:p>
        </w:tc>
      </w:tr>
      <w:tr>
        <w:trPr>
          <w:tblHeader w:val="false"/>
        </w:trPr>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Production-grade security baseline (rate limiting, Helmet, CORS allow-list, MFA, secrets mgmt)</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Security</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Current posture (open CORS, sessionStorage JWT, no rate limiting, no MFA) would fail a basic vendor security questionnaire from any mid-size enterprise buyer.</w:t>
            </w:r>
          </w:p>
        </w:tc>
      </w:tr>
      <w:tr>
        <w:trPr>
          <w:tblHeader w:val="false"/>
        </w:trPr>
        <w:tc>
          <w:tcPr>
            <w:tcW w:type="dxa" w:w="3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Subscription billing &amp; plan-gating (Stripe/Razorpay integration)</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SaaS Commercial</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A Subscription model exists but is fully disconnected — there is no way to monetize the product as a SaaS today.</w:t>
            </w:r>
          </w:p>
        </w:tc>
      </w:tr>
    </w:tbl>
    <w:p>
      <w:pPr>
        <w:spacing w:after="160"/>
      </w:pPr>
    </w:p>
    <w:p>
      <w:pPr>
        <w:pStyle w:val="Heading2"/>
      </w:pPr>
      <w:r>
        <w:t xml:space="preserve">2.2 High Priority — Required for a Credible Mid-Market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4560"/>
      </w:tblGrid>
      <w:tr>
        <w:trPr>
          <w:tblHeader/>
        </w:trPr>
        <w:tc>
          <w:tcPr>
            <w:tcW w:type="dxa" w:w="33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sz w:val="20"/>
                <w:szCs w:val="20"/>
              </w:rPr>
              <w:t xml:space="preserve">Missing Capability</w:t>
            </w:r>
          </w:p>
        </w:tc>
        <w:tc>
          <w:tcPr>
            <w:tcW w:type="dxa" w:w="15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sz w:val="20"/>
                <w:szCs w:val="20"/>
              </w:rPr>
              <w:t xml:space="preserve">Category</w:t>
            </w:r>
          </w:p>
        </w:tc>
        <w:tc>
          <w:tcPr>
            <w:tcW w:type="dxa" w:w="45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sz w:val="20"/>
                <w:szCs w:val="20"/>
              </w:rPr>
              <w:t xml:space="preserve">Why It Matters</w:t>
            </w:r>
          </w:p>
        </w:tc>
      </w:tr>
      <w:tr>
        <w:trPr>
          <w:tblHeader w:val="false"/>
        </w:trPr>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Inventory: stock ledger / movement history table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Inventory</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currentStock is a single mutable counter; there is no audit trail of stock movements, making stock valuation, reconciliation and COGS verification unreliable at scale.</w:t>
            </w:r>
          </w:p>
        </w:tc>
      </w:tr>
      <w:tr>
        <w:trPr>
          <w:tblHeader w:val="false"/>
        </w:trPr>
        <w:tc>
          <w:tcPr>
            <w:tcW w:type="dxa" w:w="3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Inventory: batch &amp; serial number tracking, expiry dates</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Inventory</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Standard in Tally Prime, Zoho Inventory and Odoo for pharma/FMCG/electronics verticals — entirely absent from the Item model.</w:t>
            </w:r>
          </w:p>
        </w:tc>
      </w:tr>
      <w:tr>
        <w:trPr>
          <w:tblHeader w:val="false"/>
        </w:trPr>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Inventory: warehouse-to-warehouse stock transfer workflow</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Inventory</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Godown model exists but there is no transfer voucher type or stock-movement linkage between godowns.</w:t>
            </w:r>
          </w:p>
        </w:tc>
      </w:tr>
      <w:tr>
        <w:trPr>
          <w:tblHeader w:val="false"/>
        </w:trPr>
        <w:tc>
          <w:tcPr>
            <w:tcW w:type="dxa" w:w="3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Inventory valuation method selection (FIFO / Weighted Average / Standard Cost)</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Inventory / Accounting</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No costing method is configurable; COGS appears to be derived ad hoc rather than via a recognized valuation method — a material gap for any audited business.</w:t>
            </w:r>
          </w:p>
        </w:tc>
      </w:tr>
      <w:tr>
        <w:trPr>
          <w:tblHeader w:val="false"/>
        </w:trPr>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Multi-currency transaction posting, FX revaluation &amp; realized/unrealized gain-loss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Accounting Core</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Currency model and a multiCurrency feature flag exist, but no voucher posting path actually converts, reports in dual currency, or revalues open balances at period-end (a Zoho Books / QuickBooks staple).</w:t>
            </w:r>
          </w:p>
        </w:tc>
      </w:tr>
      <w:tr>
        <w:trPr>
          <w:tblHeader w:val="false"/>
        </w:trPr>
        <w:tc>
          <w:tcPr>
            <w:tcW w:type="dxa" w:w="3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Bank feed integrations (Plaid / Yodlee / Account Aggregator framework)</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Banking</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Reconciliation is entirely manual via statement import; modern platforms auto-fetch transactions from connected bank accounts.</w:t>
            </w:r>
          </w:p>
        </w:tc>
      </w:tr>
      <w:tr>
        <w:trPr>
          <w:tblHeader w:val="false"/>
        </w:trPr>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Approval workflows (PO approval, expense approval, payment approval chains)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Workflow</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MANAGER role exists conceptually as an approver, but no multi-step approval/escalation engine exists in code — approveVoucher is a single-step status flip.</w:t>
            </w:r>
          </w:p>
        </w:tc>
      </w:tr>
      <w:tr>
        <w:trPr>
          <w:tblHeader w:val="false"/>
        </w:trPr>
        <w:tc>
          <w:tcPr>
            <w:tcW w:type="dxa" w:w="3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Three-way matching (PO ↔ GRN/Delivery ↔ Vendor Bill)</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Purchases</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Standard in SAP B1, Zoho Books Advanced and Odoo; without it, over-billing and quantity mismatches go undetected.</w:t>
            </w:r>
          </w:p>
        </w:tc>
      </w:tr>
      <w:tr>
        <w:trPr>
          <w:tblHeader w:val="false"/>
        </w:trPr>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Customer/Vendor portal (self-service invoice view, payment, statements)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Sales / Purchases</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Zoho Books and QuickBooks both offer customer-facing portals; portalEnabled exists as a boolean on Ledger but there is no portal application.</w:t>
            </w:r>
          </w:p>
        </w:tc>
      </w:tr>
      <w:tr>
        <w:trPr>
          <w:tblHeader w:val="false"/>
        </w:trPr>
        <w:tc>
          <w:tcPr>
            <w:tcW w:type="dxa" w:w="3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Document management / attachments at transaction level (beyond a single uploads folder)</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Cross-cutting</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No structured document linkage (e.g., attach signed PO, delivery proof, e-way bill PDF) to specific vouchers/invoices.</w:t>
            </w:r>
          </w:p>
        </w:tc>
      </w:tr>
      <w:tr>
        <w:trPr>
          <w:tblHeader w:val="false"/>
        </w:trPr>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Notification engine (email/SMS/WhatsApp for invoice due, payment received, approval pending)</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Cross-cutting</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Only a generic SystemMail/Nodemailer pathway exists; no event-driven notification framework.</w:t>
            </w:r>
          </w:p>
        </w:tc>
      </w:tr>
      <w:tr>
        <w:trPr>
          <w:tblHeader w:val="false"/>
        </w:trPr>
        <w:tc>
          <w:tcPr>
            <w:tcW w:type="dxa" w:w="3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Role matrix consistency &amp; granular permission editor</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Security</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An undocumented 'EMPLOYEE' role appears only in guardLockedVoucher; there is no admin UI to define custom roles/permissions beyond the hard-coded six.</w:t>
            </w:r>
          </w:p>
        </w:tc>
      </w:tr>
      <w:tr>
        <w:trPr>
          <w:tblHeader w:val="false"/>
        </w:trPr>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Database indexing strategy &amp; migrations framework (Sequelize CLI / Umzug)</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Database / Engineering</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Zero explicit indexes beyond primary/foreign keys; schema changes rely on sync({ alter: true }) rather than versioned migrations — a production-data-loss risk.</w:t>
            </w:r>
          </w:p>
        </w:tc>
      </w:tr>
    </w:tbl>
    <w:p>
      <w:pPr>
        <w:spacing w:after="160"/>
      </w:pPr>
    </w:p>
    <w:p>
      <w:pPr>
        <w:pStyle w:val="Heading2"/>
      </w:pPr>
      <w:r>
        <w:t xml:space="preserve">2.3 Medium Priority — Differentiators / Competitive Parity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4560"/>
      </w:tblGrid>
      <w:tr>
        <w:trPr>
          <w:tblHeader/>
        </w:trPr>
        <w:tc>
          <w:tcPr>
            <w:tcW w:type="dxa" w:w="33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sz w:val="20"/>
                <w:szCs w:val="20"/>
              </w:rPr>
              <w:t xml:space="preserve">Missing Capability</w:t>
            </w:r>
          </w:p>
        </w:tc>
        <w:tc>
          <w:tcPr>
            <w:tcW w:type="dxa" w:w="15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sz w:val="20"/>
                <w:szCs w:val="20"/>
              </w:rPr>
              <w:t xml:space="preserve">Category</w:t>
            </w:r>
          </w:p>
        </w:tc>
        <w:tc>
          <w:tcPr>
            <w:tcW w:type="dxa" w:w="45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sz w:val="20"/>
                <w:szCs w:val="20"/>
              </w:rPr>
              <w:t xml:space="preserve">Why It Matters</w:t>
            </w:r>
          </w:p>
        </w:tc>
      </w:tr>
      <w:tr>
        <w:trPr>
          <w:tblHeader w:val="false"/>
        </w:trPr>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Recurring billing depth (proration, dunning, payment retries, auto-charge)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Sales</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Basic recurring invoice/bill cron exists; no dunning emails, no card-on-file auto-charge, no proration logic.</w:t>
            </w:r>
          </w:p>
        </w:tc>
      </w:tr>
      <w:tr>
        <w:trPr>
          <w:tblHeader w:val="false"/>
        </w:trPr>
        <w:tc>
          <w:tcPr>
            <w:tcW w:type="dxa" w:w="3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Customer/vendor statements with branded PDF templates &amp; e-mail delivery</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Sales / Purchases</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Reports exist in JSON; no templated, brandable, emailable statement generation pipeline.</w:t>
            </w:r>
          </w:p>
        </w:tc>
      </w:tr>
      <w:tr>
        <w:trPr>
          <w:tblHeader w:val="false"/>
        </w:trPr>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Landed cost / additional cost allocation on purchases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Purchases / Inventory</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Common in Zoho/Odoo for import-heavy businesses; not present.</w:t>
            </w:r>
          </w:p>
        </w:tc>
      </w:tr>
      <w:tr>
        <w:trPr>
          <w:tblHeader w:val="false"/>
        </w:trPr>
        <w:tc>
          <w:tcPr>
            <w:tcW w:type="dxa" w:w="3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Multi-level units of measure &amp; unit conversion (e.g., box → dozen → piece)</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Inventory</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UnitOfMeasure model exists but appears to be a flat list, not a conversion-aware hierarchy as in Tally Prime.</w:t>
            </w:r>
          </w:p>
        </w:tc>
      </w:tr>
      <w:tr>
        <w:trPr>
          <w:tblHeader w:val="false"/>
        </w:trPr>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Project/Job costing depth (budgets vs. actuals, billable-rate cards, WIP)</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Projects</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Timesheet/Project models exist at a shallow level; no margin/utilization analytics.</w:t>
            </w:r>
          </w:p>
        </w:tc>
      </w:tr>
      <w:tr>
        <w:trPr>
          <w:tblHeader w:val="false"/>
        </w:trPr>
        <w:tc>
          <w:tcPr>
            <w:tcW w:type="dxa" w:w="3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Statutory payroll compliance (PF, ESI, Professional Tax, Form 16, TDS-on-salary)</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Payroll</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processPayroll posts journal entries but has no India statutory computation or filing support.</w:t>
            </w:r>
          </w:p>
        </w:tc>
      </w:tr>
      <w:tr>
        <w:trPr>
          <w:tblHeader w:val="false"/>
        </w:trPr>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Budget approval workflow &amp; multi-scenario / rolling budgets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Budgeting</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Variance reporting exists; no workflow, versioning, or scenario modeling.</w:t>
            </w:r>
          </w:p>
        </w:tc>
      </w:tr>
      <w:tr>
        <w:trPr>
          <w:tblHeader w:val="false"/>
        </w:trPr>
        <w:tc>
          <w:tcPr>
            <w:tcW w:type="dxa" w:w="3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Custom report builder &amp; saved/scheduled reports</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Reporting</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All reports are hard-coded controllers; no user-defined report designer, no email scheduling.</w:t>
            </w:r>
          </w:p>
        </w:tc>
      </w:tr>
      <w:tr>
        <w:trPr>
          <w:tblHeader w:val="false"/>
        </w:trPr>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Searchable, filterable global search (Elasticsearch/typesense) across ledgers, vouchers, items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Cross-cutting</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Frontend relies on AG-Grid client-side filtering; no server-side full-text search.</w:t>
            </w:r>
          </w:p>
        </w:tc>
      </w:tr>
      <w:tr>
        <w:trPr>
          <w:tblHeader w:val="false"/>
        </w:trPr>
        <w:tc>
          <w:tcPr>
            <w:tcW w:type="dxa" w:w="3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API versioning, OpenAPI/Swagger documentation, request validation schemas</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API</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Routes are unversioned (/api/...) with no schema validation layer (no Joi/Zod/express-validator) and no published API spec.</w:t>
            </w:r>
          </w:p>
        </w:tc>
      </w:tr>
      <w:tr>
        <w:trPr>
          <w:tblHeader w:val="false"/>
        </w:trPr>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Webhooks / outbound event system for integrations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API / Platform</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No mechanism for third parties (e-commerce, CRM, payment gateways) to subscribe to events.</w:t>
            </w:r>
          </w:p>
        </w:tc>
      </w:tr>
      <w:tr>
        <w:trPr>
          <w:tblHeader w:val="false"/>
        </w:trPr>
        <w:tc>
          <w:tcPr>
            <w:tcW w:type="dxa" w:w="3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Data export/import tooling (Tally XML import, CSV bulk import/export, migration assistant)</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Platform</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No bulk-import pipeline for switching customers from Tally/Excel — a significant adoption barrier given the product's positioning as a 'Tally replacement'.</w:t>
            </w:r>
          </w:p>
        </w:tc>
      </w:tr>
    </w:tbl>
    <w:p>
      <w:pPr>
        <w:spacing w:after="160"/>
      </w:pPr>
    </w:p>
    <w:p>
      <w:pPr>
        <w:pStyle w:val="Heading2"/>
      </w:pPr>
      <w:r>
        <w:t xml:space="preserve">2.4 Nice to Have — Innovation / Long-Term Moat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4560"/>
      </w:tblGrid>
      <w:tr>
        <w:trPr>
          <w:tblHeader/>
        </w:trPr>
        <w:tc>
          <w:tcPr>
            <w:tcW w:type="dxa" w:w="33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sz w:val="20"/>
                <w:szCs w:val="20"/>
              </w:rPr>
              <w:t xml:space="preserve">Missing Capability</w:t>
            </w:r>
          </w:p>
        </w:tc>
        <w:tc>
          <w:tcPr>
            <w:tcW w:type="dxa" w:w="15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sz w:val="20"/>
                <w:szCs w:val="20"/>
              </w:rPr>
              <w:t xml:space="preserve">Category</w:t>
            </w:r>
          </w:p>
        </w:tc>
        <w:tc>
          <w:tcPr>
            <w:tcW w:type="dxa" w:w="45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sz w:val="20"/>
                <w:szCs w:val="20"/>
              </w:rPr>
              <w:t xml:space="preserve">Why It Matters</w:t>
            </w:r>
          </w:p>
        </w:tc>
      </w:tr>
      <w:tr>
        <w:trPr>
          <w:tblHeader w:val="false"/>
        </w:trPr>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AI-assisted bookkeeping (real OCR bill-scanning, auto-categorization, anomaly detection)</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AI/Automation</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Current AI Scanner is an explicit simulation stub; AI Assistant calls an external API directly from the browser with no governance.</w:t>
            </w:r>
          </w:p>
        </w:tc>
      </w:tr>
      <w:tr>
        <w:trPr>
          <w:tblHeader w:val="false"/>
        </w:trPr>
        <w:tc>
          <w:tcPr>
            <w:tcW w:type="dxa" w:w="3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Predictive cash-flow forecasting &amp; working-capital analytics</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Analytics</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Not present; a differentiator for QuickBooks/Zoho 'advanced' tiers.</w:t>
            </w:r>
          </w:p>
        </w:tc>
      </w:tr>
      <w:tr>
        <w:trPr>
          <w:tblHeader w:val="false"/>
        </w:trPr>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Mobile apps (iOS/Android) or PWA for field sales / expense capture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Platform</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Frontend is a desktop-oriented Vite SPA; no mobile-first surface.</w:t>
            </w:r>
          </w:p>
        </w:tc>
      </w:tr>
      <w:tr>
        <w:trPr>
          <w:tblHeader w:val="false"/>
        </w:trPr>
        <w:tc>
          <w:tcPr>
            <w:tcW w:type="dxa" w:w="3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Marketplace / app ecosystem (third-party extensions, Zapier-style connectors)</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Platform</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Not present; long-term differentiator for platform stickiness.</w:t>
            </w:r>
          </w:p>
        </w:tc>
      </w:tr>
      <w:tr>
        <w:trPr>
          <w:tblHeader w:val="false"/>
        </w:trPr>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White-labelling / multi-brand theming for reseller/partner channels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SaaS Commercial</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Not present.</w:t>
            </w:r>
          </w:p>
        </w:tc>
      </w:tr>
      <w:tr>
        <w:trPr>
          <w:tblHeader w:val="false"/>
        </w:trPr>
        <w:tc>
          <w:tcPr>
            <w:tcW w:type="dxa" w:w="3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In-app chat/collaboration on transactions (comments, @mentions, approvals threads)</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Collaboration</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Not present; Zoho Books and QuickBooks both offer transaction-level commenting.</w:t>
            </w:r>
          </w:p>
        </w:tc>
      </w:tr>
    </w:tbl>
    <w:p>
      <w:pPr>
        <w:pStyle w:val="Heading1"/>
        <w:pageBreakBefore/>
      </w:pPr>
      <w:r>
        <w:t xml:space="preserve">3. Accounting Module Review</w:t>
      </w:r>
    </w:p>
    <w:p>
      <w:pPr>
        <w:spacing w:after="120"/>
      </w:pPr>
      <w:r>
        <w:t xml:space="preserve">The accounting core is the single strongest part of this codebase. AccountingService.recordJournalEntry / updateJournalEntry implements a textbook 'universal ledger' pattern — every business transaction (sales invoice, bill, payslip, depreciation run, manual journal) ultimately funnels through one balanced, atomic, audited posting routine. That architectural decision is exactly right and should be preserved as the system grows; the gaps below are mostly about what surrounds that engine, not the engine itself.</w:t>
      </w:r>
    </w:p>
    <w:p>
      <w:pPr>
        <w:pStyle w:val="Heading3"/>
      </w:pPr>
      <w:r>
        <w:t xml:space="preserve">3.1 Chart of Accounts</w:t>
      </w:r>
    </w:p>
    <w:p>
      <w:pPr>
        <w:spacing w:after="120"/>
      </w:pPr>
      <w:r>
        <w:rPr>
          <w:b/>
          <w:bCs/>
        </w:rPr>
        <w:t xml:space="preserve">Implemented: </w:t>
      </w:r>
      <w:r>
        <w:t xml:space="preserve">Hierarchical Group model (parent/sub-group via parent_id) seeded with the 24 standard Tally groups (helpers/tallyGroups.js); Ledger model with rich metadata (GSTIN validation with state-code check, banking fields, customer/vendor classification, opening balance &amp; type).</w:t>
      </w:r>
    </w:p>
    <w:p>
      <w:pPr>
        <w:spacing w:after="120"/>
      </w:pPr>
      <w:r>
        <w:rPr>
          <w:b/>
          <w:bCs/>
        </w:rPr>
        <w:t xml:space="preserve">Missing: </w:t>
      </w:r>
      <w:r>
        <w:t xml:space="preserve">No account-code numbering scheme/segments (e.g., 1000-Assets / 4000-Income), no multi-level account templates by industry, no bulk import/export of CoA, no lock-down of system-defined groups against accidental edit.</w:t>
      </w:r>
    </w:p>
    <w:p>
      <w:pPr>
        <w:spacing w:after="120"/>
      </w:pPr>
      <w:r>
        <w:rPr>
          <w:b/>
          <w:bCs/>
        </w:rPr>
        <w:t xml:space="preserve">Recommended approach: </w:t>
      </w:r>
      <w:r>
        <w:t xml:space="preserve">Add an optional structured accountCode (segment-based, e.g., XX-XXXX-XXX for entity-type-account) to support consolidation and BI tooling later; ship 3–5 industry CoA templates (services, trading, manufacturing, retail, NPO) selectable at company creation; add a 'system' flag to protect default groups from deletion.</w:t>
      </w:r>
    </w:p>
    <w:p>
      <w:pPr>
        <w:pStyle w:val="Heading3"/>
      </w:pPr>
      <w:r>
        <w:t xml:space="preserve">3.2 General Ledger</w:t>
      </w:r>
    </w:p>
    <w:p>
      <w:pPr>
        <w:spacing w:after="120"/>
      </w:pPr>
      <w:r>
        <w:rPr>
          <w:b/>
          <w:bCs/>
        </w:rPr>
        <w:t xml:space="preserve">Implemented: </w:t>
      </w:r>
      <w:r>
        <w:t xml:space="preserve">Transaction model correctly links Voucher↔Ledger with optional CostCenter/Project dimensions; ledger statements aggregate with running balances (getLedgerStatement).</w:t>
      </w:r>
    </w:p>
    <w:p>
      <w:pPr>
        <w:spacing w:after="120"/>
      </w:pPr>
      <w:r>
        <w:rPr>
          <w:b/>
          <w:bCs/>
        </w:rPr>
        <w:t xml:space="preserve">Missing: </w:t>
      </w:r>
      <w:r>
        <w:t xml:space="preserve">No posting-date vs. document-date distinction, no period locking, no draft/posted state machine beyond an ad hoc 'status' string on Voucher, no support for re-statement/restatement entries.</w:t>
      </w:r>
    </w:p>
    <w:p>
      <w:pPr>
        <w:spacing w:after="120"/>
      </w:pPr>
      <w:r>
        <w:rPr>
          <w:b/>
          <w:bCs/>
        </w:rPr>
        <w:t xml:space="preserve">Recommended approach: </w:t>
      </w:r>
      <w:r>
        <w:t xml:space="preserve">Introduce an explicit Voucher.postingStatus enum (Draft → Posted → Approved → Locked) with state-machine guards in the service layer (not just middleware), and add postingDate separate from the user-entered date to support back-dated entry control.</w:t>
      </w:r>
    </w:p>
    <w:p>
      <w:pPr>
        <w:pStyle w:val="Heading3"/>
      </w:pPr>
      <w:r>
        <w:t xml:space="preserve">3.3 Journal Entries</w:t>
      </w:r>
    </w:p>
    <w:p>
      <w:pPr>
        <w:spacing w:after="120"/>
      </w:pPr>
      <w:r>
        <w:rPr>
          <w:b/>
          <w:bCs/>
        </w:rPr>
        <w:t xml:space="preserve">Implemented: </w:t>
      </w:r>
      <w:r>
        <w:t xml:space="preserve">Manual Journal Entry UI (ManualJournalEntryView/List) posts through the same AccountingService; balance validation (|ΣDr − ΣCr| ≤ 0.01) and atomic transaction wrapping are correctly implemented.</w:t>
      </w:r>
    </w:p>
    <w:p>
      <w:pPr>
        <w:spacing w:after="120"/>
      </w:pPr>
      <w:r>
        <w:rPr>
          <w:b/>
          <w:bCs/>
        </w:rPr>
        <w:t xml:space="preserve">Missing: </w:t>
      </w:r>
      <w:r>
        <w:t xml:space="preserve">No recurring/template journals, no multi-currency journal lines, no attachment of supporting documents to a journal line, no narrative templates for common adjustments (accruals, prepayments, depreciation reversal).</w:t>
      </w:r>
    </w:p>
    <w:p>
      <w:pPr>
        <w:spacing w:after="120"/>
      </w:pPr>
      <w:r>
        <w:rPr>
          <w:b/>
          <w:bCs/>
        </w:rPr>
        <w:t xml:space="preserve">Recommended approach: </w:t>
      </w:r>
      <w:r>
        <w:t xml:space="preserve">Add a JournalTemplate concept (name, default lines, recurrence) and per-line attachment support; extend recordJournalEntry to accept an optional fxRate per line so multi-currency journals can post in both transaction and base currency.</w:t>
      </w:r>
    </w:p>
    <w:p>
      <w:pPr>
        <w:pStyle w:val="Heading3"/>
      </w:pPr>
      <w:r>
        <w:t xml:space="preserve">3.4 Trial Balance</w:t>
      </w:r>
    </w:p>
    <w:p>
      <w:pPr>
        <w:spacing w:after="120"/>
      </w:pPr>
      <w:r>
        <w:rPr>
          <w:b/>
          <w:bCs/>
        </w:rPr>
        <w:t xml:space="preserve">Implemented: </w:t>
      </w:r>
      <w:r>
        <w:t xml:space="preserve">getTrialBalance aggregates ledger debit/credit totals live, grouped by Group, with opening + movement + closing columns.</w:t>
      </w:r>
    </w:p>
    <w:p>
      <w:pPr>
        <w:spacing w:after="120"/>
      </w:pPr>
      <w:r>
        <w:rPr>
          <w:b/>
          <w:bCs/>
        </w:rPr>
        <w:t xml:space="preserve">Missing: </w:t>
      </w:r>
      <w:r>
        <w:t xml:space="preserve">No as-of-date snapshot/versioning (always 'live'), no comparison between two periods, no drill-through from a TB line to the underlying transactions in the same view, no support for a 'provisional' vs 'finalized' TB after period close.</w:t>
      </w:r>
    </w:p>
    <w:p>
      <w:pPr>
        <w:spacing w:after="120"/>
      </w:pPr>
      <w:r>
        <w:rPr>
          <w:b/>
          <w:bCs/>
        </w:rPr>
        <w:t xml:space="preserve">Recommended approach: </w:t>
      </w:r>
      <w:r>
        <w:t xml:space="preserve">Add a reportSnapshots table that can persist a TB/BS/P&amp;L as of a locked period-end (immutable JSON), and support comparative columns (this period vs. last period vs. same period last year).</w:t>
      </w:r>
    </w:p>
    <w:p>
      <w:pPr>
        <w:pStyle w:val="Heading3"/>
      </w:pPr>
      <w:r>
        <w:t xml:space="preserve">3.5 Profit &amp; Loss / 3.6 Balance Sheet</w:t>
      </w:r>
    </w:p>
    <w:p>
      <w:pPr>
        <w:spacing w:after="120"/>
      </w:pPr>
      <w:r>
        <w:rPr>
          <w:b/>
          <w:bCs/>
        </w:rPr>
        <w:t xml:space="preserve">Implemented: </w:t>
      </w:r>
      <w:r>
        <w:t xml:space="preserve">Both are computed live by classifying ledgers under primary groups (Income/Expenses for P&amp;L; Assets/Liabilities/Equity for BS) and aggregating transactions within the requested date range; getDashboardStats reuses similar aggregation for KPI tiles.</w:t>
      </w:r>
    </w:p>
    <w:p>
      <w:pPr>
        <w:spacing w:after="120"/>
      </w:pPr>
      <w:r>
        <w:rPr>
          <w:b/>
          <w:bCs/>
        </w:rPr>
        <w:t xml:space="preserve">Missing: </w:t>
      </w:r>
      <w:r>
        <w:t xml:space="preserve">No schedule/notes breakdown (e.g., Schedule III format required for Indian companies), no consolidated multi-company P&amp;L/BS, no comparative or budget-vs-actual columns, no drill-down from a BS line to its constituent ledgers in one click.</w:t>
      </w:r>
    </w:p>
    <w:p>
      <w:pPr>
        <w:spacing w:after="120"/>
      </w:pPr>
      <w:r>
        <w:rPr>
          <w:b/>
          <w:bCs/>
        </w:rPr>
        <w:t xml:space="preserve">Recommended approach: </w:t>
      </w:r>
      <w:r>
        <w:t xml:space="preserve">Build a 'financial statement template' layer that maps Groups to regulatory line items (Schedule III for India, or a configurable chart-of-accounts-to-statement mapping for other geographies), and add consolidation logic that nets out inter-company ledgers when a user owns multiple related companies.</w:t>
      </w:r>
    </w:p>
    <w:p>
      <w:pPr>
        <w:pStyle w:val="Heading3"/>
      </w:pPr>
      <w:r>
        <w:t xml:space="preserve">3.7 Cash Flow</w:t>
      </w:r>
    </w:p>
    <w:p>
      <w:pPr>
        <w:spacing w:after="120"/>
      </w:pPr>
      <w:r>
        <w:rPr>
          <w:b/>
          <w:bCs/>
        </w:rPr>
        <w:t xml:space="preserve">Implemented: </w:t>
      </w:r>
      <w:r>
        <w:t xml:space="preserve">getCashFlow classifies cash-affecting vouchers and produces an operating/investing/financing breakdown.</w:t>
      </w:r>
    </w:p>
    <w:p>
      <w:pPr>
        <w:spacing w:after="120"/>
      </w:pPr>
      <w:r>
        <w:rPr>
          <w:b/>
          <w:bCs/>
        </w:rPr>
        <w:t xml:space="preserve">Missing: </w:t>
      </w:r>
      <w:r>
        <w:t xml:space="preserve">Indirect-method reconciliation against net profit is not shown; no cash-flow forecasting/projection; no multi-bank-account drill-down.</w:t>
      </w:r>
    </w:p>
    <w:p>
      <w:pPr>
        <w:spacing w:after="120"/>
      </w:pPr>
      <w:r>
        <w:rPr>
          <w:b/>
          <w:bCs/>
        </w:rPr>
        <w:t xml:space="preserve">Recommended approach: </w:t>
      </w:r>
      <w:r>
        <w:t xml:space="preserve">Add the indirect-method reconciliation block (Net Profit → adjustments → operating cash flow) as most statutory auditors expect to see it, and layer a simple 13-week cash forecast on top of recurring invoices/bills + open AR/AP ageing.</w:t>
      </w:r>
    </w:p>
    <w:p>
      <w:pPr>
        <w:pStyle w:val="Heading3"/>
      </w:pPr>
      <w:r>
        <w:t xml:space="preserve">3.8 Fiscal Year Management</w:t>
      </w:r>
    </w:p>
    <w:p>
      <w:pPr>
        <w:spacing w:after="120"/>
      </w:pPr>
      <w:r>
        <w:rPr>
          <w:b/>
          <w:bCs/>
        </w:rPr>
        <w:t xml:space="preserve">Implemented: </w:t>
      </w:r>
      <w:r>
        <w:t xml:space="preserve">Company.financialYearStart and Company.booksBeginningFrom date fields exist, plus a human-readable fiscalYear string (e.g., 'April - March').</w:t>
      </w:r>
    </w:p>
    <w:p>
      <w:pPr>
        <w:spacing w:after="120"/>
      </w:pPr>
      <w:r>
        <w:rPr>
          <w:b/>
          <w:bCs/>
        </w:rPr>
        <w:t xml:space="preserve">Missing: </w:t>
      </w:r>
      <w:r>
        <w:t xml:space="preserve">No formal FiscalYear entity (start/end/status), no year-end closing process (carry-forward of balances, retained-earnings roll-up), no support for a company changing its fiscal year mid-stream.</w:t>
      </w:r>
    </w:p>
    <w:p>
      <w:pPr>
        <w:spacing w:after="120"/>
      </w:pPr>
      <w:r>
        <w:rPr>
          <w:b/>
          <w:bCs/>
        </w:rPr>
        <w:t xml:space="preserve">Recommended approach: </w:t>
      </w:r>
      <w:r>
        <w:t xml:space="preserve">Introduce a FiscalYear table (CompanyId, startDate, endDate, status: Open/Closing/Closed) and a year-end-close service that posts closing journal entries (P&amp;L → Retained Earnings) and snapshots opening balances for the new year — this is foundational for period locking (next item) and statutory reporting.</w:t>
      </w:r>
    </w:p>
    <w:p>
      <w:pPr>
        <w:pStyle w:val="Heading3"/>
      </w:pPr>
      <w:r>
        <w:t xml:space="preserve">3.9 Period Locking</w:t>
      </w:r>
    </w:p>
    <w:p>
      <w:pPr>
        <w:spacing w:after="120"/>
      </w:pPr>
      <w:r>
        <w:rPr>
          <w:b/>
          <w:bCs/>
        </w:rPr>
        <w:t xml:space="preserve">Implemented: </w:t>
      </w:r>
      <w:r>
        <w:t xml:space="preserve">None observed — Voucher.status is a free-text field set ad hoc by approveVoucher/cancelVoucher.</w:t>
      </w:r>
    </w:p>
    <w:p>
      <w:pPr>
        <w:spacing w:after="120"/>
      </w:pPr>
      <w:r>
        <w:rPr>
          <w:b/>
          <w:bCs/>
        </w:rPr>
        <w:t xml:space="preserve">Missing: </w:t>
      </w:r>
      <w:r>
        <w:t xml:space="preserve">No mechanism prevents creation/edit/deletion of vouchers dated within a closed accounting period; no role-based override-with-reason for exceptional back-dated postings.</w:t>
      </w:r>
    </w:p>
    <w:p>
      <w:pPr>
        <w:spacing w:after="120"/>
      </w:pPr>
      <w:r>
        <w:rPr>
          <w:b/>
          <w:bCs/>
        </w:rPr>
        <w:t xml:space="preserve">Recommended approach: </w:t>
      </w:r>
      <w:r>
        <w:t xml:space="preserve">Add a PeriodLock table (CompanyId, lockDate, lockedBy) and a single guard in AccountingService (not scattered in route middleware) that rejects any posting/edit whose date ≤ lockDate unless the actor holds an explicit 'override-lock' permission and supplies a reason — log the override to AuditLog.</w:t>
      </w:r>
    </w:p>
    <w:p>
      <w:pPr>
        <w:pStyle w:val="Heading3"/>
      </w:pPr>
      <w:r>
        <w:t xml:space="preserve">3.10 Audit Trail</w:t>
      </w:r>
    </w:p>
    <w:p>
      <w:pPr>
        <w:spacing w:after="120"/>
      </w:pPr>
      <w:r>
        <w:rPr>
          <w:b/>
          <w:bCs/>
        </w:rPr>
        <w:t xml:space="preserve">Implemented: </w:t>
      </w:r>
      <w:r>
        <w:t xml:space="preserve">AuditLog table captures action, tableName, recordId, oldData/newData (JSON), CompanyId, UserId, IP and User-Agent; injected automatically inside recordJournalEntry. A dedicated, role-restricted /reports/audit endpoint exists.</w:t>
      </w:r>
    </w:p>
    <w:p>
      <w:pPr>
        <w:spacing w:after="120"/>
      </w:pPr>
      <w:r>
        <w:rPr>
          <w:b/>
          <w:bCs/>
        </w:rPr>
        <w:t xml:space="preserve">Missing: </w:t>
      </w:r>
      <w:r>
        <w:t xml:space="preserve">The table is a normal mutable row store (no hash-chaining / append-only guarantee), so it does not satisfy the Indian MCA 'edit log' mandate (audit trail must be tamper-evident and cannot be switched off); the UI exposes only a basic list with no advanced filter/export/retention policy.</w:t>
      </w:r>
    </w:p>
    <w:p>
      <w:pPr>
        <w:spacing w:after="120"/>
      </w:pPr>
      <w:r>
        <w:rPr>
          <w:b/>
          <w:bCs/>
        </w:rPr>
        <w:t xml:space="preserve">Recommended approach: </w:t>
      </w:r>
      <w:r>
        <w:t xml:space="preserve">Make AuditLog append-only at the database layer (revoke UPDATE/DELETE grants for the application role; or add a cryptographic hash-chain — each row stores hash(prevHash + payload)); add configurable retention and a dedicated, filterable 'Edit Log' screen that mirrors the Tally Prime / Zoho 'who changed what, when' experience and cannot be disabled by any role including ADMIN.</w:t>
      </w:r>
    </w:p>
    <w:p>
      <w:pPr>
        <w:pStyle w:val="Heading3"/>
      </w:pPr>
      <w:r>
        <w:t xml:space="preserve">3.11 Multi-Company Accounting</w:t>
      </w:r>
    </w:p>
    <w:p>
      <w:pPr>
        <w:spacing w:after="120"/>
      </w:pPr>
      <w:r>
        <w:rPr>
          <w:b/>
          <w:bCs/>
        </w:rPr>
        <w:t xml:space="preserve">Implemented: </w:t>
      </w:r>
      <w:r>
        <w:t xml:space="preserve">Company↔User many-to-many relation, activeCompanyId embedded in JWT, tenantAccess middleware enforcing CompanyId scoping on every guarded route, and a documented SUPER_ADMIN cross-tenant bypass (logged as a security warning).</w:t>
      </w:r>
    </w:p>
    <w:p>
      <w:pPr>
        <w:spacing w:after="120"/>
      </w:pPr>
      <w:r>
        <w:rPr>
          <w:b/>
          <w:bCs/>
        </w:rPr>
        <w:t xml:space="preserve">Missing: </w:t>
      </w:r>
      <w:r>
        <w:t xml:space="preserve">No inter-company transaction support (e.g., one company invoices another within the same group and both books update), no consolidated reporting across owned companies, no shared master-data (CoA templates, item catalogs) across a company group.</w:t>
      </w:r>
    </w:p>
    <w:p>
      <w:pPr>
        <w:spacing w:after="120"/>
      </w:pPr>
      <w:r>
        <w:rPr>
          <w:b/>
          <w:bCs/>
        </w:rPr>
        <w:t xml:space="preserve">Recommended approach: </w:t>
      </w:r>
      <w:r>
        <w:t xml:space="preserve">Add an InterCompanyTransaction pattern that posts mirrored vouchers in both companies inside one database transaction, and a 'company group' concept enabling shared master templates plus consolidated financial statements (eliminating intercompany balances).</w:t>
      </w:r>
    </w:p>
    <w:p>
      <w:pPr>
        <w:pStyle w:val="Heading3"/>
      </w:pPr>
      <w:r>
        <w:t xml:space="preserve">3.12 Multi-Currency Accounting</w:t>
      </w:r>
    </w:p>
    <w:p>
      <w:pPr>
        <w:spacing w:after="120"/>
      </w:pPr>
      <w:r>
        <w:rPr>
          <w:b/>
          <w:bCs/>
        </w:rPr>
        <w:t xml:space="preserve">Implemented: </w:t>
      </w:r>
      <w:r>
        <w:t xml:space="preserve">Currency model (code/name/symbol/exchangeRate) and a Company.features.multiCurrency boolean flag exist; Ledger and Voucher both carry an optional currency string field.</w:t>
      </w:r>
    </w:p>
    <w:p>
      <w:pPr>
        <w:spacing w:after="120"/>
      </w:pPr>
      <w:r>
        <w:rPr>
          <w:b/>
          <w:bCs/>
        </w:rPr>
        <w:t xml:space="preserve">Missing: </w:t>
      </w:r>
      <w:r>
        <w:t xml:space="preserve">No code path actually converts amounts at posting time, stores both transaction-currency and base-currency values, computes realized/unrealized FX gain-loss, or revalues open foreign-currency balances at period-end — the feature flag is, in effect, decorative.</w:t>
      </w:r>
    </w:p>
    <w:p>
      <w:pPr>
        <w:spacing w:after="120"/>
      </w:pPr>
      <w:r>
        <w:rPr>
          <w:b/>
          <w:bCs/>
        </w:rPr>
        <w:t xml:space="preserve">Recommended approach: </w:t>
      </w:r>
      <w:r>
        <w:t xml:space="preserve">Extend Transaction with fxRate and baseCurrencyAmount columns; add an FXRevaluation service that runs at period-end, posts unrealized gain/loss journal entries against open foreign-currency ledger balances, and reverses them at the start of the next period — this is the standard Zoho Books / QuickBooks pattern and is required before the multiCurrency flag can be safely turned on for any customer.</w:t>
      </w:r>
    </w:p>
    <w:p>
      <w:pPr>
        <w:pStyle w:val="Heading1"/>
        <w:pageBreakBefore/>
      </w:pPr>
      <w:r>
        <w:t xml:space="preserve">4. Sales &amp; Receivables Review</w:t>
      </w:r>
    </w:p>
    <w:p>
      <w:pPr>
        <w:spacing w:after="120"/>
      </w:pPr>
      <w:r>
        <w:t xml:space="preserve">The order-to-cash chain is the most complete commercial workflow in the codebase: Quote → Sales Order → Sales Invoice → Delivery Challan → Payment Received → Credit Note all exist as models, controllers and frontend views, with Recurring and Retainer invoice variants layered on top and a daily cron that turns due recurring invoices into real ones.</w:t>
      </w:r>
    </w:p>
    <w:p>
      <w:pPr>
        <w:pStyle w:val="Heading3"/>
      </w:pPr>
      <w:r>
        <w:t xml:space="preserve">4.1 Customer Management</w:t>
      </w:r>
    </w:p>
    <w:p>
      <w:pPr>
        <w:spacing w:after="120"/>
      </w:pPr>
      <w:r>
        <w:rPr>
          <w:b/>
          <w:bCs/>
        </w:rPr>
        <w:t xml:space="preserve">Current status: </w:t>
      </w:r>
      <w:r>
        <w:t xml:space="preserve">Customers are modelled as Ledger rows with a rich set of CRM-style fields (customerType, salutation/first/last/company name, GSTIN with full validation, billing/shipping address JSON, contact-persons JSON, credit limit, payment terms, portalEnabled flag, social fields). CustomersListView/CustomerDetailView/CustomerOverviewSidebar provide a Zoho-like browsing experience.</w:t>
      </w:r>
    </w:p>
    <w:p>
      <w:pPr>
        <w:spacing w:after="120"/>
      </w:pPr>
      <w:r>
        <w:rPr>
          <w:b/>
          <w:bCs/>
        </w:rPr>
        <w:t xml:space="preserve">Missing requirements: </w:t>
      </w:r>
      <w:r>
        <w:t xml:space="preserve">No customer segmentation/tagging, no customer-specific price lists enforced at invoice time (PriceList model exists but linkage at posting time is unclear), no customer health/engagement scoring, no duplicate-detection on create.</w:t>
      </w:r>
    </w:p>
    <w:p>
      <w:pPr>
        <w:spacing w:after="120"/>
      </w:pPr>
      <w:r>
        <w:rPr>
          <w:b/>
          <w:bCs/>
        </w:rPr>
        <w:t xml:space="preserve">Recommended architecture: </w:t>
      </w:r>
      <w:r>
        <w:t xml:space="preserve">Keep customers as specialized Ledgers (architecturally sound — it keeps the GL and CRM in one balance-aware record), but add a CustomerSegment/Tag join table and enforce PriceList resolution inside the invoice-creation service rather than the UI layer, so API clients get consistent pricing.</w:t>
      </w:r>
    </w:p>
    <w:p>
      <w:pPr>
        <w:pStyle w:val="Heading3"/>
      </w:pPr>
      <w:r>
        <w:t xml:space="preserve">4.2 Quotations</w:t>
      </w:r>
    </w:p>
    <w:p>
      <w:pPr>
        <w:spacing w:after="120"/>
      </w:pPr>
      <w:r>
        <w:rPr>
          <w:b/>
          <w:bCs/>
        </w:rPr>
        <w:t xml:space="preserve">Current status: </w:t>
      </w:r>
      <w:r>
        <w:t xml:space="preserve">Quote model with Ledger (customer) linkage, line items, GST fields and a controller/route set; QuotesView in the frontend.</w:t>
      </w:r>
    </w:p>
    <w:p>
      <w:pPr>
        <w:spacing w:after="120"/>
      </w:pPr>
      <w:r>
        <w:rPr>
          <w:b/>
          <w:bCs/>
        </w:rPr>
        <w:t xml:space="preserve">Missing requirements: </w:t>
      </w:r>
      <w:r>
        <w:t xml:space="preserve">No quote-to-order conversion audit trail (which quote became which order), no quote expiry/follow-up automation, no e-signature/acceptance workflow.</w:t>
      </w:r>
    </w:p>
    <w:p>
      <w:pPr>
        <w:spacing w:after="120"/>
      </w:pPr>
      <w:r>
        <w:rPr>
          <w:b/>
          <w:bCs/>
        </w:rPr>
        <w:t xml:space="preserve">Recommended architecture: </w:t>
      </w:r>
      <w:r>
        <w:t xml:space="preserve">Add a sourceDocumentId/sourceDocumentType pair on SalesOrder (and propagate through Invoice) to build a queryable document chain Quote→Order→Invoice→Receipt, and add quote-expiry reminders via the notification engine recommended in §2.</w:t>
      </w:r>
    </w:p>
    <w:p>
      <w:pPr>
        <w:pStyle w:val="Heading3"/>
      </w:pPr>
      <w:r>
        <w:t xml:space="preserve">4.3 Sales Orders</w:t>
      </w:r>
    </w:p>
    <w:p>
      <w:pPr>
        <w:spacing w:after="120"/>
      </w:pPr>
      <w:r>
        <w:rPr>
          <w:b/>
          <w:bCs/>
        </w:rPr>
        <w:t xml:space="preserve">Current status: </w:t>
      </w:r>
      <w:r>
        <w:t xml:space="preserve">SalesOrder + SalesOrderItem with Ledger (customer) linkage, status tracking, conversion to invoice (createInvoice references order context).</w:t>
      </w:r>
    </w:p>
    <w:p>
      <w:pPr>
        <w:spacing w:after="120"/>
      </w:pPr>
      <w:r>
        <w:rPr>
          <w:b/>
          <w:bCs/>
        </w:rPr>
        <w:t xml:space="preserve">Missing requirements: </w:t>
      </w:r>
      <w:r>
        <w:t xml:space="preserve">No partial-fulfilment tracking against delivery challans/inventory, no backorder management, no order-level approval workflow.</w:t>
      </w:r>
    </w:p>
    <w:p>
      <w:pPr>
        <w:spacing w:after="120"/>
      </w:pPr>
      <w:r>
        <w:rPr>
          <w:b/>
          <w:bCs/>
        </w:rPr>
        <w:t xml:space="preserve">Recommended architecture: </w:t>
      </w:r>
      <w:r>
        <w:t xml:space="preserve">Add a fulfilmentStatus computed from linked DeliveryChallan quantities, and a backorder flag that the inventory module can react to once the stock-ledger work in §6 lands.</w:t>
      </w:r>
    </w:p>
    <w:p>
      <w:pPr>
        <w:pStyle w:val="Heading3"/>
      </w:pPr>
      <w:r>
        <w:t xml:space="preserve">4.4 Invoices</w:t>
      </w:r>
    </w:p>
    <w:p>
      <w:pPr>
        <w:spacing w:after="120"/>
      </w:pPr>
      <w:r>
        <w:rPr>
          <w:b/>
          <w:bCs/>
        </w:rPr>
        <w:t xml:space="preserve">Current status: </w:t>
      </w:r>
      <w:r>
        <w:t xml:space="preserve">SalesInvoice + SalesInvoiceItem with full CRUD (createInvoice/updateInvoice/getInvoiceById/getOpenInvoices/getNextNumber), GST-aware line items, ProfessionalInvoiceView for branded rendering, PDF export via jsPDF/PDFService, recordPayment and applyCredit endpoints.</w:t>
      </w:r>
    </w:p>
    <w:p>
      <w:pPr>
        <w:spacing w:after="120"/>
      </w:pPr>
      <w:r>
        <w:rPr>
          <w:b/>
          <w:bCs/>
        </w:rPr>
        <w:t xml:space="preserve">Missing requirements: </w:t>
      </w:r>
      <w:r>
        <w:t xml:space="preserve">No e-Invoice IRN/QR generation (see §7), no multi-template/branding library, no partial-payment allocation rules engine beyond a simple recordPayment, no invoice approval workflow before sending.</w:t>
      </w:r>
    </w:p>
    <w:p>
      <w:pPr>
        <w:spacing w:after="120"/>
      </w:pPr>
      <w:r>
        <w:rPr>
          <w:b/>
          <w:bCs/>
        </w:rPr>
        <w:t xml:space="preserve">Recommended architecture: </w:t>
      </w:r>
      <w:r>
        <w:t xml:space="preserve">Layer an InvoiceTemplate entity (HTML/PDF templates selectable per company/customer) on top of the existing PDFService, and route all payment application through a single AllocationService that can split one receipt across many invoices/credit notes deterministically (oldest-first, manual override) — this also feeds the ageing reports in §4.8.</w:t>
      </w:r>
    </w:p>
    <w:p>
      <w:pPr>
        <w:pStyle w:val="Heading3"/>
      </w:pPr>
      <w:r>
        <w:t xml:space="preserve">4.5 Credit Notes</w:t>
      </w:r>
    </w:p>
    <w:p>
      <w:pPr>
        <w:spacing w:after="120"/>
      </w:pPr>
      <w:r>
        <w:rPr>
          <w:b/>
          <w:bCs/>
        </w:rPr>
        <w:t xml:space="preserve">Current status: </w:t>
      </w:r>
      <w:r>
        <w:t xml:space="preserve">CreditNote + CreditNoteItem with customer/AR-account linkage and applyCredit wiring back into invoices.</w:t>
      </w:r>
    </w:p>
    <w:p>
      <w:pPr>
        <w:spacing w:after="120"/>
      </w:pPr>
      <w:r>
        <w:rPr>
          <w:b/>
          <w:bCs/>
        </w:rPr>
        <w:t xml:space="preserve">Missing requirements: </w:t>
      </w:r>
      <w:r>
        <w:t xml:space="preserve">No credit-note reason codes/analytics (returns vs. pricing errors vs. write-offs), no automatic GST adjustment-return linkage (credit notes must appear correctly in GSTR-1 amendments).</w:t>
      </w:r>
    </w:p>
    <w:p>
      <w:pPr>
        <w:spacing w:after="120"/>
      </w:pPr>
      <w:r>
        <w:rPr>
          <w:b/>
          <w:bCs/>
        </w:rPr>
        <w:t xml:space="preserve">Recommended architecture: </w:t>
      </w:r>
      <w:r>
        <w:t xml:space="preserve">Add a reasonCode enum to CreditNote and ensure the GSTR-1 report (§7) consumes credit notes in the correct amendment section — currently the GST controller does not appear to cross-reference CreditNote at all.</w:t>
      </w:r>
    </w:p>
    <w:p>
      <w:pPr>
        <w:pStyle w:val="Heading3"/>
      </w:pPr>
      <w:r>
        <w:t xml:space="preserve">4.6 Receipts (Payments Received)</w:t>
      </w:r>
    </w:p>
    <w:p>
      <w:pPr>
        <w:spacing w:after="120"/>
      </w:pPr>
      <w:r>
        <w:rPr>
          <w:b/>
          <w:bCs/>
        </w:rPr>
        <w:t xml:space="preserve">Current status: </w:t>
      </w:r>
      <w:r>
        <w:t xml:space="preserve">PaymentsReceivedView + recordPayment endpoint posts the receipt and allocates against open invoices/retainers.</w:t>
      </w:r>
    </w:p>
    <w:p>
      <w:pPr>
        <w:spacing w:after="120"/>
      </w:pPr>
      <w:r>
        <w:rPr>
          <w:b/>
          <w:bCs/>
        </w:rPr>
        <w:t xml:space="preserve">Missing requirements: </w:t>
      </w:r>
      <w:r>
        <w:t xml:space="preserve">No multi-mode receipt handling with gateway reconciliation (UPI/cards/NEFT references), no auto-matching of bank-feed credits to open invoices, no partial/advance receipt → retainer conversion automation.</w:t>
      </w:r>
    </w:p>
    <w:p>
      <w:pPr>
        <w:spacing w:after="120"/>
      </w:pPr>
      <w:r>
        <w:rPr>
          <w:b/>
          <w:bCs/>
        </w:rPr>
        <w:t xml:space="preserve">Recommended architecture: </w:t>
      </w:r>
      <w:r>
        <w:t xml:space="preserve">Once a payment-gateway integration exists (Razorpay/Stripe — §2 gap list), route gateway webhooks through the same AllocationService recommended in §4.4 so manual and automated receipts behave identically.</w:t>
      </w:r>
    </w:p>
    <w:p>
      <w:pPr>
        <w:pStyle w:val="Heading3"/>
      </w:pPr>
      <w:r>
        <w:t xml:space="preserve">4.7 Customer Statements</w:t>
      </w:r>
    </w:p>
    <w:p>
      <w:pPr>
        <w:spacing w:after="120"/>
      </w:pPr>
      <w:r>
        <w:rPr>
          <w:b/>
          <w:bCs/>
        </w:rPr>
        <w:t xml:space="preserve">Current status: </w:t>
      </w:r>
      <w:r>
        <w:t xml:space="preserve">Underlying data (ledger statement, open invoices, payments) all exists via getLedgerStatement and related endpoints.</w:t>
      </w:r>
    </w:p>
    <w:p>
      <w:pPr>
        <w:spacing w:after="120"/>
      </w:pPr>
      <w:r>
        <w:rPr>
          <w:b/>
          <w:bCs/>
        </w:rPr>
        <w:t xml:space="preserve">Missing requirements: </w:t>
      </w:r>
      <w:r>
        <w:t xml:space="preserve">No dedicated, brandable 'Customer Statement' document/PDF/email pipeline — customers must currently be shown a generic ledger statement.</w:t>
      </w:r>
    </w:p>
    <w:p>
      <w:pPr>
        <w:spacing w:after="120"/>
      </w:pPr>
      <w:r>
        <w:rPr>
          <w:b/>
          <w:bCs/>
        </w:rPr>
        <w:t xml:space="preserve">Recommended architecture: </w:t>
      </w:r>
      <w:r>
        <w:t xml:space="preserve">Build a StatementGenerator that assembles opening balance + invoices + receipts + credit notes + closing balance into a branded PDF (reusing PDFService/InvoiceTemplate) and schedule monthly auto-send via the notification engine.</w:t>
      </w:r>
    </w:p>
    <w:p>
      <w:pPr>
        <w:pStyle w:val="Heading3"/>
      </w:pPr>
      <w:r>
        <w:t xml:space="preserve">4.8 Aging Reports</w:t>
      </w:r>
    </w:p>
    <w:p>
      <w:pPr>
        <w:spacing w:after="120"/>
      </w:pPr>
      <w:r>
        <w:rPr>
          <w:b/>
          <w:bCs/>
        </w:rPr>
        <w:t xml:space="preserve">Current status: </w:t>
      </w:r>
      <w:r>
        <w:t xml:space="preserve">getReceivablesReport implements bucketed ageing (current / 1-30 / 31-60 / 61-90 / 90+) per customer, aggregated from open invoices and ledger transactions.</w:t>
      </w:r>
    </w:p>
    <w:p>
      <w:pPr>
        <w:spacing w:after="120"/>
      </w:pPr>
      <w:r>
        <w:rPr>
          <w:b/>
          <w:bCs/>
        </w:rPr>
        <w:t xml:space="preserve">Missing requirements: </w:t>
      </w:r>
      <w:r>
        <w:t xml:space="preserve">No drill-through from an ageing bucket to the specific open documents, no ageing-trend-over-time view, no automatic dunning-letter generation tied to ageing buckets.</w:t>
      </w:r>
    </w:p>
    <w:p>
      <w:pPr>
        <w:spacing w:after="120"/>
      </w:pPr>
      <w:r>
        <w:rPr>
          <w:b/>
          <w:bCs/>
        </w:rPr>
        <w:t xml:space="preserve">Recommended architecture: </w:t>
      </w:r>
      <w:r>
        <w:t xml:space="preserve">Expose the underlying per-invoice detail behind each bucket via a single parameterized endpoint (the aggregation already computes it — it is just not returned), and wire ageing buckets to the dunning/notification engine for automatic reminder emails at 7/30/60/90 days overdue.</w:t>
      </w:r>
    </w:p>
    <w:p>
      <w:pPr>
        <w:pStyle w:val="Heading3"/>
      </w:pPr>
      <w:r>
        <w:t xml:space="preserve">4.9 Recurring Billing</w:t>
      </w:r>
    </w:p>
    <w:p>
      <w:pPr>
        <w:spacing w:after="120"/>
      </w:pPr>
      <w:r>
        <w:rPr>
          <w:b/>
          <w:bCs/>
        </w:rPr>
        <w:t xml:space="preserve">Current status: </w:t>
      </w:r>
      <w:r>
        <w:t xml:space="preserve">RecurringInvoice/RecurringBill/RecurringExpense models with item lines, a node-cron job (processDueInvoices) that runs daily at midnight and converts due templates into real invoices.</w:t>
      </w:r>
    </w:p>
    <w:p>
      <w:pPr>
        <w:spacing w:after="120"/>
      </w:pPr>
      <w:r>
        <w:rPr>
          <w:b/>
          <w:bCs/>
        </w:rPr>
        <w:t xml:space="preserve">Missing requirements: </w:t>
      </w:r>
      <w:r>
        <w:t xml:space="preserve">No proration for mid-cycle plan changes, no dunning/payment-retry sequencing, no customer self-service to pause/resume/update card-on-file, no usage-based billing support.</w:t>
      </w:r>
    </w:p>
    <w:p>
      <w:pPr>
        <w:spacing w:after="120"/>
      </w:pPr>
      <w:r>
        <w:rPr>
          <w:b/>
          <w:bCs/>
        </w:rPr>
        <w:t xml:space="preserve">Recommended architecture: </w:t>
      </w:r>
      <w:r>
        <w:t xml:space="preserve">Move recurring-invoice processing from an in-process cron job to a proper scheduled job in a queue (BullMQ/Agenda — see §13) so it survives restarts and scales horizontally without double-processing; layer a dunning state machine (Active → PastDue → Suspended → Cancelled) on top once payment-gateway integration exists.</w:t>
      </w:r>
    </w:p>
    <w:p>
      <w:pPr>
        <w:pStyle w:val="Heading1"/>
        <w:pageBreakBefore/>
      </w:pPr>
      <w:r>
        <w:t xml:space="preserve">5. Purchase &amp; Payables Review</w:t>
      </w:r>
    </w:p>
    <w:p>
      <w:pPr>
        <w:spacing w:after="120"/>
      </w:pPr>
      <w:r>
        <w:t xml:space="preserve">The procure-to-pay chain mirrors the sales side structurally (Vendors as Ledgers, PurchaseOrder → Bill → Payment Made → Vendor/Debit Credit), and is roughly one tier shallower in completeness — there is no formal three-way match and no purchase-approval workflow, both of which are standard in SAP Business One and Odoo and increasingly expected even in Zoho/QuickBooks 'Plus' tiers.</w:t>
      </w:r>
    </w:p>
    <w:p>
      <w:pPr>
        <w:pStyle w:val="Heading3"/>
      </w:pPr>
      <w:r>
        <w:t xml:space="preserve">5.1 Vendor Management</w:t>
      </w:r>
    </w:p>
    <w:p>
      <w:pPr>
        <w:spacing w:after="120"/>
      </w:pPr>
      <w:r>
        <w:rPr>
          <w:b/>
          <w:bCs/>
        </w:rPr>
        <w:t xml:space="preserve">Current status: </w:t>
      </w:r>
      <w:r>
        <w:t xml:space="preserve">Vendors reuse the same Ledger model as customers (registrationType, GSTIN, bank details, payment terms, credit data) — getVendors filters Ledgers by group/classification; VendorCredit and RecurringBill both reference vendorLedgerId/vendorId.</w:t>
      </w:r>
    </w:p>
    <w:p>
      <w:pPr>
        <w:spacing w:after="120"/>
      </w:pPr>
      <w:r>
        <w:rPr>
          <w:b/>
          <w:bCs/>
        </w:rPr>
        <w:t xml:space="preserve">Missing requirements: </w:t>
      </w:r>
      <w:r>
        <w:t xml:space="preserve">No vendor scorecards (on-time delivery, quality, price variance), no vendor onboarding/compliance-document workflow (GST certificate, MSME status, bank-proof upload &amp; verification), no preferred-vendor-per-item enforcement at PO creation (Item.preferredVendor exists as a free-text field only).</w:t>
      </w:r>
    </w:p>
    <w:p>
      <w:pPr>
        <w:spacing w:after="120"/>
      </w:pPr>
      <w:r>
        <w:rPr>
          <w:b/>
          <w:bCs/>
        </w:rPr>
        <w:t xml:space="preserve">Recommended architecture: </w:t>
      </w:r>
      <w:r>
        <w:t xml:space="preserve">Promote preferredVendor from a free-text Item field to a proper VendorItem join table (vendor, item, last price, lead time) and add a lightweight vendor-compliance-document checklist (reusing the document-management gap item from §2) gating PO issuance.</w:t>
      </w:r>
    </w:p>
    <w:p>
      <w:pPr>
        <w:pStyle w:val="Heading3"/>
      </w:pPr>
      <w:r>
        <w:t xml:space="preserve">5.2 Purchase Orders</w:t>
      </w:r>
    </w:p>
    <w:p>
      <w:pPr>
        <w:spacing w:after="120"/>
      </w:pPr>
      <w:r>
        <w:rPr>
          <w:b/>
          <w:bCs/>
        </w:rPr>
        <w:t xml:space="preserve">Current status: </w:t>
      </w:r>
      <w:r>
        <w:t xml:space="preserve">PurchaseOrder model + controller (createOrder/getOrders/updateOrder/deleteOrder), PurchaseOrderEntryView/EmailModal/DeliveryAddressModal in the frontend, project linkage.</w:t>
      </w:r>
    </w:p>
    <w:p>
      <w:pPr>
        <w:spacing w:after="120"/>
      </w:pPr>
      <w:r>
        <w:rPr>
          <w:b/>
          <w:bCs/>
        </w:rPr>
        <w:t xml:space="preserve">Missing requirements: </w:t>
      </w:r>
      <w:r>
        <w:t xml:space="preserve">No PO approval workflow/threshold-based routing, no PO-to-GRN (goods-receipt-note) linkage, no partial-receipt tracking, no PO amendment/versioning history.</w:t>
      </w:r>
    </w:p>
    <w:p>
      <w:pPr>
        <w:spacing w:after="120"/>
      </w:pPr>
      <w:r>
        <w:rPr>
          <w:b/>
          <w:bCs/>
        </w:rPr>
        <w:t xml:space="preserve">Recommended architecture: </w:t>
      </w:r>
      <w:r>
        <w:t xml:space="preserve">Introduce a GoodsReceiptNote model that references PurchaseOrder line items and updates a (new) stock-ledger; require GRN + PO + Bill quantities to reconcile within tolerance before a bill can be approved (the three-way match referenced in §2).</w:t>
      </w:r>
    </w:p>
    <w:p>
      <w:pPr>
        <w:pStyle w:val="Heading3"/>
      </w:pPr>
      <w:r>
        <w:t xml:space="preserve">5.3 Bills</w:t>
      </w:r>
    </w:p>
    <w:p>
      <w:pPr>
        <w:spacing w:after="120"/>
      </w:pPr>
      <w:r>
        <w:rPr>
          <w:b/>
          <w:bCs/>
        </w:rPr>
        <w:t xml:space="preserve">Current status: </w:t>
      </w:r>
      <w:r>
        <w:t xml:space="preserve">Bill handling lives in purchases.controller.js (getBills/createBill/updateBill — large, ~270-line createBill function suggesting complex inline logic that should be decomposed into a service), with GST-aware line items and posting through AccountingService.</w:t>
      </w:r>
    </w:p>
    <w:p>
      <w:pPr>
        <w:spacing w:after="120"/>
      </w:pPr>
      <w:r>
        <w:rPr>
          <w:b/>
          <w:bCs/>
        </w:rPr>
        <w:t xml:space="preserve">Missing requirements: </w:t>
      </w:r>
      <w:r>
        <w:t xml:space="preserve">No three-way matching against PO/GRN, no bill-approval routing by amount threshold, no duplicate-bill detection (same vendor + invoice number), no support for bills in foreign currency tied to the multi-currency gap in §3.12.</w:t>
      </w:r>
    </w:p>
    <w:p>
      <w:pPr>
        <w:spacing w:after="120"/>
      </w:pPr>
      <w:r>
        <w:rPr>
          <w:b/>
          <w:bCs/>
        </w:rPr>
        <w:t xml:space="preserve">Recommended architecture: </w:t>
      </w:r>
      <w:r>
        <w:t xml:space="preserve">Extract the bill-posting logic out of the controller into a BillService (mirroring AccountingService's pattern), add a uniqueness constraint/check on (vendorLedgerId, vendorInvoiceNumber, CompanyId), and route bills above a configurable threshold through the approval-workflow engine recommended in §2.</w:t>
      </w:r>
    </w:p>
    <w:p>
      <w:pPr>
        <w:pStyle w:val="Heading3"/>
      </w:pPr>
      <w:r>
        <w:t xml:space="preserve">5.4 Payments</w:t>
      </w:r>
    </w:p>
    <w:p>
      <w:pPr>
        <w:spacing w:after="120"/>
      </w:pPr>
      <w:r>
        <w:rPr>
          <w:b/>
          <w:bCs/>
        </w:rPr>
        <w:t xml:space="preserve">Current status: </w:t>
      </w:r>
      <w:r>
        <w:t xml:space="preserve">paymentMade.controller.js handles outgoing payments with allocation against open bills; PaymentsMadeListView/EntryView in the frontend.</w:t>
      </w:r>
    </w:p>
    <w:p>
      <w:pPr>
        <w:spacing w:after="120"/>
      </w:pPr>
      <w:r>
        <w:rPr>
          <w:b/>
          <w:bCs/>
        </w:rPr>
        <w:t xml:space="preserve">Missing requirements: </w:t>
      </w:r>
      <w:r>
        <w:t xml:space="preserve">No payment-batch/bulk-pay-run feature (pay 50 vendor bills in one bank file/NEFT batch), no cheque-printing/positive-pay-file generation, no payment-approval-by-threshold routing.</w:t>
      </w:r>
    </w:p>
    <w:p>
      <w:pPr>
        <w:spacing w:after="120"/>
      </w:pPr>
      <w:r>
        <w:rPr>
          <w:b/>
          <w:bCs/>
        </w:rPr>
        <w:t xml:space="preserve">Recommended architecture: </w:t>
      </w:r>
      <w:r>
        <w:t xml:space="preserve">Add a PaymentBatch entity that groups multiple Bill payments into one bank instruction (NEFT/RTGS file or cheque run) and posts one consolidated bank-ledger entry with itemized sub-allocations — this is a frequently requested mid-market feature (SAP B1 and Tally Prime both ship it).</w:t>
      </w:r>
    </w:p>
    <w:p>
      <w:pPr>
        <w:pStyle w:val="Heading3"/>
      </w:pPr>
      <w:r>
        <w:t xml:space="preserve">5.5 Debit Notes / Vendor Credits</w:t>
      </w:r>
    </w:p>
    <w:p>
      <w:pPr>
        <w:spacing w:after="120"/>
      </w:pPr>
      <w:r>
        <w:rPr>
          <w:b/>
          <w:bCs/>
        </w:rPr>
        <w:t xml:space="preserve">Current status: </w:t>
      </w:r>
      <w:r>
        <w:t xml:space="preserve">VendorCredit + VendorCreditItem models exist with vendor/AP-account linkage, mirroring the CreditNote pattern on the sales side.</w:t>
      </w:r>
    </w:p>
    <w:p>
      <w:pPr>
        <w:spacing w:after="120"/>
      </w:pPr>
      <w:r>
        <w:rPr>
          <w:b/>
          <w:bCs/>
        </w:rPr>
        <w:t xml:space="preserve">Missing requirements: </w:t>
      </w:r>
      <w:r>
        <w:t xml:space="preserve">No formal 'Debit Note' voucher type distinct from VendorCredit in the Voucher model's allowed-type list (only 'Debit Note'/'Credit Note' appear as strings without dedicated line-item models for the purchase side beyond VendorCredit), no GSTR-2 cross-referencing.</w:t>
      </w:r>
    </w:p>
    <w:p>
      <w:pPr>
        <w:spacing w:after="120"/>
      </w:pPr>
      <w:r>
        <w:rPr>
          <w:b/>
          <w:bCs/>
        </w:rPr>
        <w:t xml:space="preserve">Recommended architecture: </w:t>
      </w:r>
      <w:r>
        <w:t xml:space="preserve">Reconcile the VendorCredit/Debit-Note naming and modelling so there is exactly one canonical purchase-side adjustment entity, and ensure it flows into GSTR-2A/2B reconciliation (§7).</w:t>
      </w:r>
    </w:p>
    <w:p>
      <w:pPr>
        <w:pStyle w:val="Heading3"/>
      </w:pPr>
      <w:r>
        <w:t xml:space="preserve">5.6 Vendor Aging</w:t>
      </w:r>
    </w:p>
    <w:p>
      <w:pPr>
        <w:spacing w:after="120"/>
      </w:pPr>
      <w:r>
        <w:rPr>
          <w:b/>
          <w:bCs/>
        </w:rPr>
        <w:t xml:space="preserve">Current status: </w:t>
      </w:r>
      <w:r>
        <w:t xml:space="preserve">getPayablesReport implements bucketed payables ageing per vendor, structurally identical to the receivables version.</w:t>
      </w:r>
    </w:p>
    <w:p>
      <w:pPr>
        <w:spacing w:after="120"/>
      </w:pPr>
      <w:r>
        <w:rPr>
          <w:b/>
          <w:bCs/>
        </w:rPr>
        <w:t xml:space="preserve">Missing requirements: </w:t>
      </w:r>
      <w:r>
        <w:t xml:space="preserve">Same drill-through and trend-analysis gaps as receivables (§4.8); no cash-flow-impact forecasting from upcoming payables.</w:t>
      </w:r>
    </w:p>
    <w:p>
      <w:pPr>
        <w:spacing w:after="120"/>
      </w:pPr>
      <w:r>
        <w:rPr>
          <w:b/>
          <w:bCs/>
        </w:rPr>
        <w:t xml:space="preserve">Recommended architecture: </w:t>
      </w:r>
      <w:r>
        <w:t xml:space="preserve">Reuse the AllocationService and dunning/notification patterns recommended for receivables; add a 'cash-out forecast' that combines payables ageing with recurring-bill schedules to project the next 30/60/90-day outflow.</w:t>
      </w:r>
    </w:p>
    <w:p>
      <w:pPr>
        <w:pStyle w:val="Heading1"/>
        <w:pageBreakBefore/>
      </w:pPr>
      <w:r>
        <w:t xml:space="preserve">6. Inventory Management Review</w:t>
      </w:r>
    </w:p>
    <w:p>
      <w:pPr>
        <w:spacing w:after="120"/>
      </w:pPr>
      <w:r>
        <w:t xml:space="preserve">Inventory is the area with the largest gap between what exists structurally (a reasonably complete master-data layer) and what is needed operationally (a real stock-movement ledger). Today, Item.currentStock is a single mutable number that gets nudged by sales/purchase postings — there is no immutable record of each movement, which means stock cannot be reconciled, valued by FIFO/weighted-average, or audited the way Tally Prime, Zoho Inventory or Odoo require.</w:t>
      </w:r>
    </w:p>
    <w:p>
      <w:pPr>
        <w:pStyle w:val="Heading3"/>
      </w:pPr>
      <w:r>
        <w:t xml:space="preserve">6.1 Current State</w:t>
      </w:r>
    </w:p>
    <w:p>
      <w:pPr>
        <w:pStyle w:val="ListParagraph"/>
        <w:numPr>
          <w:ilvl w:val="0"/>
          <w:numId w:val="2"/>
        </w:numPr>
        <w:spacing w:after="60"/>
      </w:pPr>
      <w:r>
        <w:t xml:space="preserve">Item Master: rich model — name, unit, opening/current stock, type (Goods/Service), selling/cost price, GST rate &amp; HSN/SAC code, item code/SKU, reorder level, sales/purchase account &amp; description, preferred vendor.</w:t>
      </w:r>
    </w:p>
    <w:p>
      <w:pPr>
        <w:pStyle w:val="ListParagraph"/>
        <w:numPr>
          <w:ilvl w:val="0"/>
          <w:numId w:val="2"/>
        </w:numPr>
        <w:spacing w:after="60"/>
      </w:pPr>
      <w:r>
        <w:t xml:space="preserve">Categories: StockGroup and StockCategory models, both company-scoped and linked to Item — functionally equivalent to Tally's Stock Group / Stock Category.</w:t>
      </w:r>
    </w:p>
    <w:p>
      <w:pPr>
        <w:pStyle w:val="ListParagraph"/>
        <w:numPr>
          <w:ilvl w:val="0"/>
          <w:numId w:val="2"/>
        </w:numPr>
        <w:spacing w:after="60"/>
      </w:pPr>
      <w:r>
        <w:t xml:space="preserve">Warehouses: Godown model (name, address, CompanyId) with an Item.godownId association — single-warehouse-per-item only.</w:t>
      </w:r>
    </w:p>
    <w:p>
      <w:pPr>
        <w:pStyle w:val="ListParagraph"/>
        <w:numPr>
          <w:ilvl w:val="0"/>
          <w:numId w:val="2"/>
        </w:numPr>
        <w:spacing w:after="60"/>
      </w:pPr>
      <w:r>
        <w:t xml:space="preserve">Stock Ledger: not implemented as a distinct entity — getInventoryReport derives a point-in-time view by re-aggregating SalesInvoiceItem/PurchaseOrder lines on every request.</w:t>
      </w:r>
    </w:p>
    <w:p>
      <w:pPr>
        <w:pStyle w:val="ListParagraph"/>
        <w:numPr>
          <w:ilvl w:val="0"/>
          <w:numId w:val="2"/>
        </w:numPr>
        <w:spacing w:after="60"/>
      </w:pPr>
      <w:r>
        <w:t xml:space="preserve">Inventory Valuation: not implemented — no FIFO/Weighted-Average/Standard-Cost selection; COGS appears to be posted using a fixed costPrice rather than a recognized valuation method.</w:t>
      </w:r>
    </w:p>
    <w:p>
      <w:pPr>
        <w:pStyle w:val="ListParagraph"/>
        <w:numPr>
          <w:ilvl w:val="0"/>
          <w:numId w:val="2"/>
        </w:numPr>
        <w:spacing w:after="60"/>
      </w:pPr>
      <w:r>
        <w:t xml:space="preserve">Batch Tracking / Serial Numbers / Expiry Dates: not implemented — no fields, no models.</w:t>
      </w:r>
    </w:p>
    <w:p>
      <w:pPr>
        <w:pStyle w:val="ListParagraph"/>
        <w:numPr>
          <w:ilvl w:val="0"/>
          <w:numId w:val="2"/>
        </w:numPr>
        <w:spacing w:after="60"/>
      </w:pPr>
      <w:r>
        <w:t xml:space="preserve">Reorder Levels: present on Item (reorderLevel) but there is no automated low-stock alerting/PO-suggestion workflow consuming it.</w:t>
      </w:r>
    </w:p>
    <w:p>
      <w:pPr>
        <w:pStyle w:val="ListParagraph"/>
        <w:numPr>
          <w:ilvl w:val="0"/>
          <w:numId w:val="2"/>
        </w:numPr>
        <w:spacing w:after="60"/>
      </w:pPr>
      <w:r>
        <w:t xml:space="preserve">Warehouse Transfers: not implemented — no transfer-voucher type, no inter-godown movement tracking.</w:t>
      </w:r>
    </w:p>
    <w:p>
      <w:pPr>
        <w:pStyle w:val="ListParagraph"/>
        <w:numPr>
          <w:ilvl w:val="0"/>
          <w:numId w:val="2"/>
        </w:numPr>
        <w:spacing w:after="60"/>
      </w:pPr>
      <w:r>
        <w:t xml:space="preserve">Units of Measure &amp; Price Lists: UnitOfMeasure and PriceList models exist (company-scoped); UoM appears to be a flat list rather than a conversion-aware hierarchy (e.g., 1 Box = 12 Pieces).</w:t>
      </w:r>
    </w:p>
    <w:p>
      <w:pPr>
        <w:pStyle w:val="Heading3"/>
      </w:pPr>
      <w:r>
        <w:t xml:space="preserve">6.2 Missing Functionality (priority order)</w:t>
      </w:r>
    </w:p>
    <w:p>
      <w:pPr>
        <w:pStyle w:val="ListParagraph"/>
        <w:numPr>
          <w:ilvl w:val="0"/>
          <w:numId w:val="2"/>
        </w:numPr>
        <w:spacing w:after="60"/>
      </w:pPr>
      <w:r>
        <w:t xml:space="preserve">A StockLedgerEntry (or 'StockMovement') table: every inward/outward/transfer/adjustment event recorded immutably with item, godown, quantity, rate, value, reference voucher, and running balance — this single table underpins valuation, reconciliation, batch tracking and audit simultaneously, and should be the very next inventory investment.</w:t>
      </w:r>
    </w:p>
    <w:p>
      <w:pPr>
        <w:pStyle w:val="ListParagraph"/>
        <w:numPr>
          <w:ilvl w:val="0"/>
          <w:numId w:val="2"/>
        </w:numPr>
        <w:spacing w:after="60"/>
      </w:pPr>
      <w:r>
        <w:t xml:space="preserve">Configurable valuation method (FIFO / Weighted Average / Standard Cost) computed from the stock ledger, with COGS posted automatically at the moment of sale (today this looks like it is approximated rather than computed).</w:t>
      </w:r>
    </w:p>
    <w:p>
      <w:pPr>
        <w:pStyle w:val="ListParagraph"/>
        <w:numPr>
          <w:ilvl w:val="0"/>
          <w:numId w:val="2"/>
        </w:numPr>
        <w:spacing w:after="60"/>
      </w:pPr>
      <w:r>
        <w:t xml:space="preserve">Batch/lot numbers with expiry dates and serial-number tracking for serialized goods (warranty, traceability, recalls) — essential for pharma, FMCG, electronics and any regulated vertical.</w:t>
      </w:r>
    </w:p>
    <w:p>
      <w:pPr>
        <w:pStyle w:val="ListParagraph"/>
        <w:numPr>
          <w:ilvl w:val="0"/>
          <w:numId w:val="2"/>
        </w:numPr>
        <w:spacing w:after="60"/>
      </w:pPr>
      <w:r>
        <w:t xml:space="preserve">A formal Stock Transfer voucher type that debits the source godown and credits the destination godown in the stock ledger (and, where company policy requires, posts an inter-godown GL entry).</w:t>
      </w:r>
    </w:p>
    <w:p>
      <w:pPr>
        <w:pStyle w:val="ListParagraph"/>
        <w:numPr>
          <w:ilvl w:val="0"/>
          <w:numId w:val="2"/>
        </w:numPr>
        <w:spacing w:after="60"/>
      </w:pPr>
      <w:r>
        <w:t xml:space="preserve">Automated reorder workflows: a scheduled job that compares currentStock to reorderLevel and raises purchase-suggestion notifications or draft POs.</w:t>
      </w:r>
    </w:p>
    <w:p>
      <w:pPr>
        <w:pStyle w:val="ListParagraph"/>
        <w:numPr>
          <w:ilvl w:val="0"/>
          <w:numId w:val="2"/>
        </w:numPr>
        <w:spacing w:after="60"/>
      </w:pPr>
      <w:r>
        <w:t xml:space="preserve">Multi-level UoM conversion so a single item can be purchased in one unit and sold in another with automatic quantity/value conversion.</w:t>
      </w:r>
    </w:p>
    <w:p>
      <w:pPr>
        <w:pStyle w:val="Heading3"/>
      </w:pPr>
      <w:r>
        <w:t xml:space="preserve">6.3 Scalability Considerations</w:t>
      </w:r>
    </w:p>
    <w:p>
      <w:pPr>
        <w:pStyle w:val="ListParagraph"/>
        <w:numPr>
          <w:ilvl w:val="0"/>
          <w:numId w:val="2"/>
        </w:numPr>
        <w:spacing w:after="60"/>
      </w:pPr>
      <w:r>
        <w:t xml:space="preserve">A stock-ledger table will grow faster than any other table in the system (one row per movement, potentially dozens per invoice line for serialized/batch goods). It must be designed with partitioning in mind from day one (e.g., partition by CompanyId + date range) and indexed on (CompanyId, ItemId, godownId, date).</w:t>
      </w:r>
    </w:p>
    <w:p>
      <w:pPr>
        <w:pStyle w:val="ListParagraph"/>
        <w:numPr>
          <w:ilvl w:val="0"/>
          <w:numId w:val="2"/>
        </w:numPr>
        <w:spacing w:after="60"/>
      </w:pPr>
      <w:r>
        <w:t xml:space="preserve">Re-deriving 'current stock' by aggregating historical movements on every read does not scale; maintain a denormalized currentStock/currentValue snapshot per (Item, Godown, Batch) updated transactionally at write time — exactly the pattern AccountingService already uses for Ledger.currentBalance, so the team has already proven they can do this correctly.</w:t>
      </w:r>
    </w:p>
    <w:p>
      <w:pPr>
        <w:pStyle w:val="ListParagraph"/>
        <w:numPr>
          <w:ilvl w:val="0"/>
          <w:numId w:val="2"/>
        </w:numPr>
        <w:spacing w:after="60"/>
      </w:pPr>
      <w:r>
        <w:t xml:space="preserve">Search/filter across large item catalogues (tens of thousands of SKUs for a distribution business) will need a dedicated search index (Postgres full-text or OpenSearch/Typesense) rather than client-side AG-Grid filtering once catalogues exceed roughly 5,000–10,000 items.</w:t>
      </w:r>
    </w:p>
    <w:p>
      <w:pPr>
        <w:pStyle w:val="Heading1"/>
        <w:pageBreakBefore/>
      </w:pPr>
      <w:r>
        <w:t xml:space="preserve">7. GST &amp; Tax Compliance Review (India)</w:t>
      </w:r>
    </w:p>
    <w:p>
      <w:pPr>
        <w:spacing w:after="120"/>
      </w:pPr>
      <w:r>
        <w:t xml:space="preserve">This is the single highest-leverage compliance gap in the product. GSTR-1, GSTR-2A and GSTR-3B report endpoints exist (modules/tax/gst.controller.js), GSTIN format and state-code are validated at the Ledger model layer, and Item carries gstRate/hsnCode — a credible starting point. But four India-specific capabilities that are now table-stakes for any GST-compliant accounting product are entirely absent from the codebase: e-Invoicing, e-Way Bill, TDS and TCS.</w:t>
      </w:r>
    </w:p>
    <w:p>
      <w:pPr>
        <w:pStyle w:val="Heading3"/>
      </w:pPr>
      <w:r>
        <w:t xml:space="preserve">7.1 Current State</w:t>
      </w:r>
    </w:p>
    <w:p>
      <w:pPr>
        <w:pStyle w:val="ListParagraph"/>
        <w:numPr>
          <w:ilvl w:val="0"/>
          <w:numId w:val="2"/>
        </w:numPr>
        <w:spacing w:after="60"/>
      </w:pPr>
      <w:r>
        <w:t xml:space="preserve">GST Configuration: Company has gstNumber/state/panNumber; Ledger validates GSTIN format (15 chars, regex, state-code range 01–38); Item has gstRate (default 18%) and hsnCode.</w:t>
      </w:r>
    </w:p>
    <w:p>
      <w:pPr>
        <w:pStyle w:val="ListParagraph"/>
        <w:numPr>
          <w:ilvl w:val="0"/>
          <w:numId w:val="2"/>
        </w:numPr>
        <w:spacing w:after="60"/>
      </w:pPr>
      <w:r>
        <w:t xml:space="preserve">CGST / SGST / IGST: not modelled as explicit tax-component fields — implied through tax ledgers under 'Duties &amp; Taxes' and computed inline during invoice/bill posting (intra-state vs inter-state split logic exists in the GST report aggregation but is not surfaced as a reusable TaxComponent abstraction).</w:t>
      </w:r>
    </w:p>
    <w:p>
      <w:pPr>
        <w:pStyle w:val="ListParagraph"/>
        <w:numPr>
          <w:ilvl w:val="0"/>
          <w:numId w:val="2"/>
        </w:numPr>
        <w:spacing w:after="60"/>
      </w:pPr>
      <w:r>
        <w:t xml:space="preserve">GST Reports: getGSTR1 (outward supplies), getGSTR2A (inward supplies / vendor-side reconciliation), getGSTR3B (summary return) are implemented as live aggregations over invoices/bills.</w:t>
      </w:r>
    </w:p>
    <w:p>
      <w:pPr>
        <w:pStyle w:val="Heading3"/>
      </w:pPr>
      <w:r>
        <w:t xml:space="preserve">7.2 Missing Compliance Requirements</w:t>
      </w:r>
    </w:p>
    <w:p>
      <w:pPr>
        <w:pStyle w:val="ListParagraph"/>
        <w:numPr>
          <w:ilvl w:val="0"/>
          <w:numId w:val="2"/>
        </w:numPr>
        <w:spacing w:after="60"/>
      </w:pPr>
      <w:r>
        <w:t xml:space="preserve">E-Invoice (IRN/QR): no integration with the Invoice Registration Portal (IRP) or any GSP (GST Suvidha Provider) to generate an Invoice Reference Number, signed QR code, or e-invoice JSON schema (as mandated for businesses above the notified turnover threshold). This is now a hard blocker for selling into a large segment of the Indian B2B market.</w:t>
      </w:r>
    </w:p>
    <w:p>
      <w:pPr>
        <w:pStyle w:val="ListParagraph"/>
        <w:numPr>
          <w:ilvl w:val="0"/>
          <w:numId w:val="2"/>
        </w:numPr>
        <w:spacing w:after="60"/>
      </w:pPr>
      <w:r>
        <w:t xml:space="preserve">E-Way Bill: no generation/cancellation/extension workflow, no integration with the E-Way Bill portal, and no linkage from DeliveryChallan/SalesInvoice to a generated e-way bill number — despite DeliveryChallan already existing as a model that is the natural trigger point.</w:t>
      </w:r>
    </w:p>
    <w:p>
      <w:pPr>
        <w:pStyle w:val="ListParagraph"/>
        <w:numPr>
          <w:ilvl w:val="0"/>
          <w:numId w:val="2"/>
        </w:numPr>
        <w:spacing w:after="60"/>
      </w:pPr>
      <w:r>
        <w:t xml:space="preserve">TDS (Tax Deducted at Source): no TDS section/rate master, no TDS ledger auto-posting on vendor bills crossing threshold limits, no Form 26Q/27Q return generation, no TDS certificate (Form 16A) issuance.</w:t>
      </w:r>
    </w:p>
    <w:p>
      <w:pPr>
        <w:pStyle w:val="ListParagraph"/>
        <w:numPr>
          <w:ilvl w:val="0"/>
          <w:numId w:val="2"/>
        </w:numPr>
        <w:spacing w:after="60"/>
      </w:pPr>
      <w:r>
        <w:t xml:space="preserve">TCS (Tax Collected at Source): no TCS computation on applicable sales (e-commerce operators, sale of goods above ₹50 lakh threshold under Section 206C(1H)), no Form 27EQ support.</w:t>
      </w:r>
    </w:p>
    <w:p>
      <w:pPr>
        <w:pStyle w:val="ListParagraph"/>
        <w:numPr>
          <w:ilvl w:val="0"/>
          <w:numId w:val="2"/>
        </w:numPr>
        <w:spacing w:after="60"/>
      </w:pPr>
      <w:r>
        <w:t xml:space="preserve">GSTR-2B reconciliation (auto-drafted ITC statement matching) and GSTR-9/9C annual return support are also absent — both are now standard in Zoho Books GST and Tally Prime.</w:t>
      </w:r>
    </w:p>
    <w:p>
      <w:pPr>
        <w:pStyle w:val="ListParagraph"/>
        <w:numPr>
          <w:ilvl w:val="0"/>
          <w:numId w:val="2"/>
        </w:numPr>
        <w:spacing w:after="60"/>
      </w:pPr>
      <w:r>
        <w:t xml:space="preserve">HSN/SAC-wise summary reporting (mandatory in GSTR-1 table 12) is not visibly broken out as its own report.</w:t>
      </w:r>
    </w:p>
    <w:p>
      <w:pPr>
        <w:pStyle w:val="Heading3"/>
      </w:pPr>
      <w:r>
        <w:t xml:space="preserve">7.3 Recommended Approach</w:t>
      </w:r>
    </w:p>
    <w:p>
      <w:pPr>
        <w:pStyle w:val="ListParagraph"/>
        <w:numPr>
          <w:ilvl w:val="0"/>
          <w:numId w:val="2"/>
        </w:numPr>
        <w:spacing w:after="60"/>
      </w:pPr>
      <w:r>
        <w:t xml:space="preserve">Treat GST compliance as its own bounded context: introduce explicit TaxComponent (CGST/SGST/IGST/CESS/TDS/TCS) records on each transaction line rather than inferring tax splits from ledger names — this makes every downstream report (GSTR-1/2A/3B/2B/9, e-invoice JSON, e-way bill payload) a deterministic transformation of structured data instead of re-derived aggregation.</w:t>
      </w:r>
    </w:p>
    <w:p>
      <w:pPr>
        <w:pStyle w:val="ListParagraph"/>
        <w:numPr>
          <w:ilvl w:val="0"/>
          <w:numId w:val="2"/>
        </w:numPr>
        <w:spacing w:after="60"/>
      </w:pPr>
      <w:r>
        <w:t xml:space="preserve">Integrate with a GSP/IRP sandbox first (e.g., via a GST-API aggregator such as ClearTax, Zoho's GSP, or NIC's e-invoice APIs) behind a thin adapter interface, so the integration partner can be swapped without touching domain logic.</w:t>
      </w:r>
    </w:p>
    <w:p>
      <w:pPr>
        <w:pStyle w:val="ListParagraph"/>
        <w:numPr>
          <w:ilvl w:val="0"/>
          <w:numId w:val="2"/>
        </w:numPr>
        <w:spacing w:after="60"/>
      </w:pPr>
      <w:r>
        <w:t xml:space="preserve">Build e-Way Bill generation as a natural extension of DeliveryChallan/SalesInvoice — add an EWayBill model (number, validity, vehicle/transporter details, linked document) and a status workflow (Generated → In-Transit → Completed/Cancelled/Expired).</w:t>
      </w:r>
    </w:p>
    <w:p>
      <w:pPr>
        <w:pStyle w:val="ListParagraph"/>
        <w:numPr>
          <w:ilvl w:val="0"/>
          <w:numId w:val="2"/>
        </w:numPr>
        <w:spacing w:after="60"/>
      </w:pPr>
      <w:r>
        <w:t xml:space="preserve">Add TDS/TCS as configurable 'tax sections' on the Ledger (for vendors/customers) and Item, with automatic threshold tracking across the financial year and auto-posting of the deduction/collection ledger entries at voucher time — mirroring the same pattern AccountingService already uses for balanced postings.</w:t>
      </w:r>
    </w:p>
    <w:p>
      <w:pPr>
        <w:pStyle w:val="Heading1"/>
        <w:pageBreakBefore/>
      </w:pPr>
      <w:r>
        <w:t xml:space="preserve">8. Reporting &amp; Analytics Review</w:t>
      </w:r>
    </w:p>
    <w:p>
      <w:pPr>
        <w:spacing w:after="120"/>
      </w:pPr>
      <w:r>
        <w:t xml:space="preserve">14 distinct report endpoints exist and are wired to corresponding frontend views — a genuinely comprehensive baseline for an early-stage product. The architectural pattern (live aggregation of Transaction rows per request) is simple and correct for low transaction volumes, but it will not scale past a few hundred thousand transactions per company without caching or pre-aggregation (see §13).</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660"/>
      </w:tblGrid>
      <w:tr>
        <w:trPr>
          <w:tblHeader/>
        </w:trPr>
        <w:tc>
          <w:tcPr>
            <w:tcW w:type="dxa" w:w="3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sz w:val="20"/>
                <w:szCs w:val="20"/>
              </w:rPr>
              <w:t xml:space="preserve">Report</w:t>
            </w:r>
          </w:p>
        </w:tc>
        <w:tc>
          <w:tcPr>
            <w:tcW w:type="dxa" w:w="19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sz w:val="20"/>
                <w:szCs w:val="20"/>
              </w:rPr>
              <w:t xml:space="preserve">Status</w:t>
            </w:r>
          </w:p>
        </w:tc>
        <w:tc>
          <w:tcPr>
            <w:tcW w:type="dxa" w:w="46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sz w:val="20"/>
                <w:szCs w:val="20"/>
              </w:rPr>
              <w:t xml:space="preserve">Notes</w:t>
            </w:r>
          </w:p>
        </w:tc>
      </w:tr>
      <w:tr>
        <w:trPr>
          <w:tblHeader w:val="false"/>
        </w:trP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Trial Balance</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Implemented</w:t>
            </w:r>
          </w:p>
        </w:tc>
        <w:tc>
          <w:tcPr>
            <w:tcW w:type="dxa" w:w="4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Live aggregation, grouped by Group, opening+movement+closing.</w:t>
            </w:r>
          </w:p>
        </w:tc>
      </w:tr>
      <w:tr>
        <w:trPr>
          <w:tblHeader w:val="false"/>
        </w:trP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Ledger Statement / Day Book</w:t>
            </w:r>
          </w:p>
        </w:tc>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Implemented</w:t>
            </w:r>
          </w:p>
        </w:tc>
        <w:tc>
          <w:tcPr>
            <w:tcW w:type="dxa" w:w="46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Running-balance statement per ledger; chronological day-book of all vouchers.</w:t>
            </w:r>
          </w:p>
        </w:tc>
      </w:tr>
      <w:tr>
        <w:trPr>
          <w:tblHeader w:val="false"/>
        </w:trP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Balance Sheet</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Implemented</w:t>
            </w:r>
          </w:p>
        </w:tc>
        <w:tc>
          <w:tcPr>
            <w:tcW w:type="dxa" w:w="4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Classifies ledgers under Assets/Liabilities/Equity via primary-group walk.</w:t>
            </w:r>
          </w:p>
        </w:tc>
      </w:tr>
      <w:tr>
        <w:trPr>
          <w:tblHeader w:val="false"/>
        </w:trP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Profit &amp; Loss</w:t>
            </w:r>
          </w:p>
        </w:tc>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Implemented</w:t>
            </w:r>
          </w:p>
        </w:tc>
        <w:tc>
          <w:tcPr>
            <w:tcW w:type="dxa" w:w="46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Classifies ledgers under Income/Expenses; period-range aggregation.</w:t>
            </w:r>
          </w:p>
        </w:tc>
      </w:tr>
      <w:tr>
        <w:trPr>
          <w:tblHeader w:val="false"/>
        </w:trP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Cash Flow</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Implemented</w:t>
            </w:r>
          </w:p>
        </w:tc>
        <w:tc>
          <w:tcPr>
            <w:tcW w:type="dxa" w:w="4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Operating/Investing/Financing classification of cash-affecting vouchers.</w:t>
            </w:r>
          </w:p>
        </w:tc>
      </w:tr>
      <w:tr>
        <w:trPr>
          <w:tblHeader w:val="false"/>
        </w:trP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Stock / Inventory Reports (incl. Stock Ageing)</w:t>
            </w:r>
          </w:p>
        </w:tc>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Implemented (shallow)</w:t>
            </w:r>
          </w:p>
        </w:tc>
        <w:tc>
          <w:tcPr>
            <w:tcW w:type="dxa" w:w="46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Derived by re-aggregating sales/purchase line items rather than a stock ledger (see §6).</w:t>
            </w:r>
          </w:p>
        </w:tc>
      </w:tr>
      <w:tr>
        <w:trPr>
          <w:tblHeader w:val="false"/>
        </w:trP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GST Reports (GSTR-1 / 2A / 3B)</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Implemented (partial)</w:t>
            </w:r>
          </w:p>
        </w:tc>
        <w:tc>
          <w:tcPr>
            <w:tcW w:type="dxa" w:w="4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Core three returns only; 2B, 9/9C, HSN summary not present (see §7).</w:t>
            </w:r>
          </w:p>
        </w:tc>
      </w:tr>
      <w:tr>
        <w:trPr>
          <w:tblHeader w:val="false"/>
        </w:trP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Dashboard Analytics / KPIs</w:t>
            </w:r>
          </w:p>
        </w:tc>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Implemented</w:t>
            </w:r>
          </w:p>
        </w:tc>
        <w:tc>
          <w:tcPr>
            <w:tcW w:type="dxa" w:w="46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Recharts-powered tiles: sales, expenses, profit, recent activity, receivables snapshot.</w:t>
            </w:r>
          </w:p>
        </w:tc>
      </w:tr>
      <w:tr>
        <w:trPr>
          <w:tblHeader w:val="false"/>
        </w:trP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Receivables / Payables Ageing</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Implemented</w:t>
            </w:r>
          </w:p>
        </w:tc>
        <w:tc>
          <w:tcPr>
            <w:tcW w:type="dxa" w:w="4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Bucketed (current/30/60/90+) per customer/vendor.</w:t>
            </w:r>
          </w:p>
        </w:tc>
      </w:tr>
      <w:tr>
        <w:trPr>
          <w:tblHeader w:val="false"/>
        </w:trP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Cost-Centre Report / Group Summary</w:t>
            </w:r>
          </w:p>
        </w:tc>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Implemented</w:t>
            </w:r>
          </w:p>
        </w:tc>
        <w:tc>
          <w:tcPr>
            <w:tcW w:type="dxa" w:w="46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Dimensional breakdowns by cost centre and account group.</w:t>
            </w:r>
          </w:p>
        </w:tc>
      </w:tr>
      <w:tr>
        <w:trPr>
          <w:tblHeader w:val="false"/>
        </w:trP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Audit Log Report</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Implemented (basic)</w:t>
            </w:r>
          </w:p>
        </w:tc>
        <w:tc>
          <w:tcPr>
            <w:tcW w:type="dxa" w:w="4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List view only; no advanced filter, export, or retention controls (see §3.10).</w:t>
            </w:r>
          </w:p>
        </w:tc>
      </w:tr>
      <w:tr>
        <w:trPr>
          <w:tblHeader w:val="false"/>
        </w:trP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Comparative / Budget-vs-Actual / Consolidated reports</w:t>
            </w:r>
          </w:p>
        </w:tc>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Missing</w:t>
            </w:r>
          </w:p>
        </w:tc>
        <w:tc>
          <w:tcPr>
            <w:tcW w:type="dxa" w:w="46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No multi-period comparison, no consolidation across companies, no budget overlay on financial statements.</w:t>
            </w:r>
          </w:p>
        </w:tc>
      </w:tr>
      <w:tr>
        <w:trPr>
          <w:tblHeader w:val="false"/>
        </w:trP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Custom Report Builder / Scheduled &amp; Emailed Reports</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Missing</w:t>
            </w:r>
          </w:p>
        </w:tc>
        <w:tc>
          <w:tcPr>
            <w:tcW w:type="dxa" w:w="4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All reports are hard-coded; no user-defined report designer or delivery scheduling.</w:t>
            </w:r>
          </w:p>
        </w:tc>
      </w:tr>
    </w:tbl>
    <w:p>
      <w:pPr>
        <w:spacing w:after="160"/>
      </w:pPr>
    </w:p>
    <w:p>
      <w:pPr>
        <w:pStyle w:val="Heading2"/>
      </w:pPr>
      <w:r>
        <w:t xml:space="preserve">8.1 Recommended Additional Reports</w:t>
      </w:r>
    </w:p>
    <w:p>
      <w:pPr>
        <w:pStyle w:val="ListParagraph"/>
        <w:numPr>
          <w:ilvl w:val="0"/>
          <w:numId w:val="2"/>
        </w:numPr>
        <w:spacing w:after="60"/>
      </w:pPr>
      <w:r>
        <w:t xml:space="preserve">Schedule III-formatted Balance Sheet &amp; P&amp;L (statutory format for Indian companies, with notes/schedules) and a 'Books vs. Tax' reconciliation report.</w:t>
      </w:r>
    </w:p>
    <w:p>
      <w:pPr>
        <w:pStyle w:val="ListParagraph"/>
        <w:numPr>
          <w:ilvl w:val="0"/>
          <w:numId w:val="2"/>
        </w:numPr>
        <w:spacing w:after="60"/>
      </w:pPr>
      <w:r>
        <w:t xml:space="preserve">Comparative financial statements (this period vs. prior period vs. same period last year vs. budget) as a single configurable view.</w:t>
      </w:r>
    </w:p>
    <w:p>
      <w:pPr>
        <w:pStyle w:val="ListParagraph"/>
        <w:numPr>
          <w:ilvl w:val="0"/>
          <w:numId w:val="2"/>
        </w:numPr>
        <w:spacing w:after="60"/>
      </w:pPr>
      <w:r>
        <w:t xml:space="preserve">HSN/SAC-wise sales &amp; purchase summary (GSTR-1 table 12 requirement) and an Input Tax Credit (ITC) reconciliation report (GSTR-2B vs. books).</w:t>
      </w:r>
    </w:p>
    <w:p>
      <w:pPr>
        <w:pStyle w:val="ListParagraph"/>
        <w:numPr>
          <w:ilvl w:val="0"/>
          <w:numId w:val="2"/>
        </w:numPr>
        <w:spacing w:after="60"/>
      </w:pPr>
      <w:r>
        <w:t xml:space="preserve">Cash-flow forecast (13-week rolling, derived from open AR/AP ageing + recurring schedules) and a working-capital dashboard.</w:t>
      </w:r>
    </w:p>
    <w:p>
      <w:pPr>
        <w:pStyle w:val="ListParagraph"/>
        <w:numPr>
          <w:ilvl w:val="0"/>
          <w:numId w:val="2"/>
        </w:numPr>
        <w:spacing w:after="60"/>
      </w:pPr>
      <w:r>
        <w:t xml:space="preserve">Inventory valuation report by costing method, stock-ageing-by-batch, and dead-stock/slow-moving analysis.</w:t>
      </w:r>
    </w:p>
    <w:p>
      <w:pPr>
        <w:pStyle w:val="ListParagraph"/>
        <w:numPr>
          <w:ilvl w:val="0"/>
          <w:numId w:val="2"/>
        </w:numPr>
        <w:spacing w:after="60"/>
      </w:pPr>
      <w:r>
        <w:t xml:space="preserve">Sales/purchase analytics by item, customer, salesperson, territory, and cost centre with period-over-period trend lines.</w:t>
      </w:r>
    </w:p>
    <w:p>
      <w:pPr>
        <w:pStyle w:val="ListParagraph"/>
        <w:numPr>
          <w:ilvl w:val="0"/>
          <w:numId w:val="2"/>
        </w:numPr>
        <w:spacing w:after="60"/>
      </w:pPr>
      <w:r>
        <w:t xml:space="preserve">Consolidated financial statements across a company group, with inter-company elimination.</w:t>
      </w:r>
    </w:p>
    <w:p>
      <w:pPr>
        <w:pStyle w:val="Heading2"/>
      </w:pPr>
      <w:r>
        <w:t xml:space="preserve">8.2 Recommended BI / Analytics Architecture</w:t>
      </w:r>
    </w:p>
    <w:p>
      <w:pPr>
        <w:pStyle w:val="ListParagraph"/>
        <w:numPr>
          <w:ilvl w:val="0"/>
          <w:numId w:val="2"/>
        </w:numPr>
        <w:spacing w:after="60"/>
      </w:pPr>
      <w:r>
        <w:t xml:space="preserve">Keep transactional reports (Trial Balance, statements, day book) on the live OLTP database — they need to be exact and current.</w:t>
      </w:r>
    </w:p>
    <w:p>
      <w:pPr>
        <w:pStyle w:val="ListParagraph"/>
        <w:numPr>
          <w:ilvl w:val="0"/>
          <w:numId w:val="2"/>
        </w:numPr>
        <w:spacing w:after="60"/>
      </w:pPr>
      <w:r>
        <w:t xml:space="preserve">For analytical/trend workloads (dashboards, BI, multi-period comparisons), introduce a read-optimized reporting layer: either Postgres materialized views refreshed on a schedule, or — at larger scale — a star-schema data mart (fact_transactions, dim_ledger, dim_period, dim_customer, dim_item) fed by CDC (e.g., Debezium) from the OLTP database into a columnar store (ClickHouse / BigQuery / Redshift).</w:t>
      </w:r>
    </w:p>
    <w:p>
      <w:pPr>
        <w:pStyle w:val="ListParagraph"/>
        <w:numPr>
          <w:ilvl w:val="0"/>
          <w:numId w:val="2"/>
        </w:numPr>
        <w:spacing w:after="60"/>
      </w:pPr>
      <w:r>
        <w:t xml:space="preserve">Add a thin semantic layer (e.g., Cube.js or a hand-rolled aggregation API) so the same metric definitions (revenue, gross margin, DSO, DPO) are reused consistently across the dashboard, scheduled reports, and any future BI/embedding surface.</w:t>
      </w:r>
    </w:p>
    <w:p>
      <w:pPr>
        <w:pStyle w:val="Heading2"/>
      </w:pPr>
      <w:r>
        <w:t xml:space="preserve">8.3 KPI Dashboard Recommendations</w:t>
      </w:r>
    </w:p>
    <w:p>
      <w:pPr>
        <w:pStyle w:val="ListParagraph"/>
        <w:numPr>
          <w:ilvl w:val="0"/>
          <w:numId w:val="2"/>
        </w:numPr>
        <w:spacing w:after="60"/>
      </w:pPr>
      <w:r>
        <w:t xml:space="preserve">Executive tier: revenue &amp; gross margin trend, cash position &amp; runway, AR/AP ageing summary, top customers/vendors by exposure, budget-vs-actual variance.</w:t>
      </w:r>
    </w:p>
    <w:p>
      <w:pPr>
        <w:pStyle w:val="ListParagraph"/>
        <w:numPr>
          <w:ilvl w:val="0"/>
          <w:numId w:val="2"/>
        </w:numPr>
        <w:spacing w:after="60"/>
      </w:pPr>
      <w:r>
        <w:t xml:space="preserve">Operational tier: open invoices/bills due this week, low-stock alerts, pending approvals queue, reconciliation exceptions, overdue tasks/timesheets.</w:t>
      </w:r>
    </w:p>
    <w:p>
      <w:pPr>
        <w:pStyle w:val="ListParagraph"/>
        <w:numPr>
          <w:ilvl w:val="0"/>
          <w:numId w:val="2"/>
        </w:numPr>
        <w:spacing w:after="60"/>
      </w:pPr>
      <w:r>
        <w:t xml:space="preserve">Compliance tier: GST filing due-dates &amp; status, TDS/TCS thresholds approaching, e-invoice/e-way-bill generation backlog, period-lock status.</w:t>
      </w:r>
    </w:p>
    <w:p>
      <w:pPr>
        <w:pStyle w:val="Heading1"/>
        <w:pageBreakBefore/>
      </w:pPr>
      <w:r>
        <w:t xml:space="preserve">9. Security Review</w:t>
      </w:r>
    </w:p>
    <w:p>
      <w:pPr>
        <w:spacing w:after="120"/>
      </w:pPr>
      <w:r>
        <w:t xml:space="preserve">The security model has the right shape — a layered middleware chain (verifyToken → tenantAccess → authorizeRoles → trackModifiers → guardLockedVoucher) and a documented role matrix — but the implementation sits at 'works for a demo' rather than 'passes an enterprise vendor security review'. None of the gaps below are unusual for an MVP; all of them are blocking for a B2B SaaS sales process, an insurance/compliance audit, or a SOC 2 readiness assessment.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4460"/>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sz w:val="20"/>
                <w:szCs w:val="20"/>
              </w:rPr>
              <w:t xml:space="preserve">Control</w:t>
            </w:r>
          </w:p>
        </w:tc>
        <w:tc>
          <w:tcPr>
            <w:tcW w:type="dxa" w:w="27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sz w:val="20"/>
                <w:szCs w:val="20"/>
              </w:rPr>
              <w:t xml:space="preserve">Status</w:t>
            </w:r>
          </w:p>
        </w:tc>
        <w:tc>
          <w:tcPr>
            <w:tcW w:type="dxa" w:w="44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sz w:val="20"/>
                <w:szCs w:val="20"/>
              </w:rPr>
              <w:t xml:space="preserve">Risk / Notes</w:t>
            </w:r>
          </w:p>
        </w:tc>
      </w:tr>
      <w:tr>
        <w:trPr>
          <w:tblHeader w:val="false"/>
        </w:trP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Authentication</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JWT + bcrypt + Google OAuth (Passport)</w:t>
            </w:r>
          </w:p>
        </w:tc>
        <w:tc>
          <w:tcPr>
            <w:tcW w:type="dxa" w:w="44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Tokens are signed with HS256 using a JWT_SECRET from .env (no rotation/secret-manager); 1-day expiry on OAuth tokens, no visible expiry/refresh strategy on the standard login path.</w:t>
            </w:r>
          </w:p>
        </w:tc>
      </w:tr>
      <w:tr>
        <w:trPr>
          <w:tblHeader w:val="false"/>
        </w:trP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Authorization (RBAC)</w:t>
            </w:r>
          </w:p>
        </w:tc>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authorizeRoles + tenantAccess middleware</w:t>
            </w:r>
          </w:p>
        </w:tc>
        <w:tc>
          <w:tcPr>
            <w:tcW w:type="dxa" w:w="44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Role list is inconsistent: README/architecture docs describe 6 roles (SUPER_ADMIN/ADMIN/ACCOUNTANT/MANAGER/AUDITOR/VIEWER) but auth.middleware.guardLockedVoucher references a 7th, undocumented 'EMPLOYEE' role — a sign of drift between design and implementation that should be reconciled before it becomes a real authorization bug.</w:t>
            </w:r>
          </w:p>
        </w:tc>
      </w:tr>
      <w:tr>
        <w:trPr>
          <w:tblHeader w:val="false"/>
        </w:trP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Token storage (frontend)</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sessionStorage</w:t>
            </w:r>
          </w:p>
        </w:tc>
        <w:tc>
          <w:tcPr>
            <w:tcW w:type="dxa" w:w="44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High XSS exposure — any injected script can read sessionStorage and exfiltrate the JWT and company context. httpOnly, Secure, SameSite=Strict cookies are the safer pattern for SPA+API architectures.</w:t>
            </w:r>
          </w:p>
        </w:tc>
      </w:tr>
      <w:tr>
        <w:trPr>
          <w:tblHeader w:val="false"/>
        </w:trP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MFA / 2FA</w:t>
            </w:r>
          </w:p>
        </w:tc>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Not implemented</w:t>
            </w:r>
          </w:p>
        </w:tc>
        <w:tc>
          <w:tcPr>
            <w:tcW w:type="dxa" w:w="44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No TOTP/SMS/email second factor anywhere — a baseline expectation for any product handling financial data.</w:t>
            </w:r>
          </w:p>
        </w:tc>
      </w:tr>
      <w:tr>
        <w:trPr>
          <w:tblHeader w:val="false"/>
        </w:trP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Password Policy</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bcrypt hashing only</w:t>
            </w:r>
          </w:p>
        </w:tc>
        <w:tc>
          <w:tcPr>
            <w:tcW w:type="dxa" w:w="44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No minimum complexity, no breach-list checking (e.g., HaveIBeenPwned k-anonymity API), no rotation/expiry, no account lockout after repeated failures (brute-force exposure on /api/auth/login).</w:t>
            </w:r>
          </w:p>
        </w:tc>
      </w:tr>
      <w:tr>
        <w:trPr>
          <w:tblHeader w:val="false"/>
        </w:trP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Rate Limiting / Abuse Protection</w:t>
            </w:r>
          </w:p>
        </w:tc>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Not implemented</w:t>
            </w:r>
          </w:p>
        </w:tc>
        <w:tc>
          <w:tcPr>
            <w:tcW w:type="dxa" w:w="44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No express-rate-limit/Helmet/slow-down middleware anywhere in server.js — login, OTP-style, and report endpoints are all open to brute-force and scraping.</w:t>
            </w:r>
          </w:p>
        </w:tc>
      </w:tr>
      <w:tr>
        <w:trPr>
          <w:tblHeader w:val="false"/>
        </w:trP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CORS</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app.use(cors()) — wide open</w:t>
            </w:r>
          </w:p>
        </w:tc>
        <w:tc>
          <w:tcPr>
            <w:tcW w:type="dxa" w:w="44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No origin allow-list; any website can make authenticated cross-origin requests if it can obtain a token, and the wildcard response weakens cookie-based hardening if the team migrates off sessionStorage.</w:t>
            </w:r>
          </w:p>
        </w:tc>
      </w:tr>
      <w:tr>
        <w:trPr>
          <w:tblHeader w:val="false"/>
        </w:trP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Audit Logs</w:t>
            </w:r>
          </w:p>
        </w:tc>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AuditLog model with old/new JSON, IP, User-Agent</w:t>
            </w:r>
          </w:p>
        </w:tc>
        <w:tc>
          <w:tcPr>
            <w:tcW w:type="dxa" w:w="44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Functionally good coverage, but the table is fully mutable — does not meet the 'tamper-evident, cannot be disabled' bar required for the Indian MCA audit-trail mandate (see §3.10).</w:t>
            </w:r>
          </w:p>
        </w:tc>
      </w:tr>
      <w:tr>
        <w:trPr>
          <w:tblHeader w:val="false"/>
        </w:trP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Data Encryption (at rest / in transit)</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Not implemented at the field level</w:t>
            </w:r>
          </w:p>
        </w:tc>
        <w:tc>
          <w:tcPr>
            <w:tcW w:type="dxa" w:w="44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Bank account numbers, IFSC, PAN, GSTIN and personal contact data are stored as plain columns; no field-level encryption (e.g., pgcrypto / application-layer envelope encryption) for PII/financial-identifier columns. TLS depends entirely on the hosting platform (Render/Vercel) rather than being enforced in-app.</w:t>
            </w:r>
          </w:p>
        </w:tc>
      </w:tr>
      <w:tr>
        <w:trPr>
          <w:tblHeader w:val="false"/>
        </w:trP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Secrets Management</w:t>
            </w:r>
          </w:p>
        </w:tc>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.env files</w:t>
            </w:r>
          </w:p>
        </w:tc>
        <w:tc>
          <w:tcPr>
            <w:tcW w:type="dxa" w:w="44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JWT_SECRET, DB credentials and OAuth secrets live in plaintext .env — no Vault/AWS Secrets Manager/Doppler integration, no secret-rotation process.</w:t>
            </w:r>
          </w:p>
        </w:tc>
      </w:tr>
      <w:tr>
        <w:trPr>
          <w:tblHeader w:val="false"/>
        </w:trP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Backup Strategy</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Manual (a 2.7 MB backup.sql exists in the repo root)</w:t>
            </w:r>
          </w:p>
        </w:tc>
        <w:tc>
          <w:tcPr>
            <w:tcW w:type="dxa" w:w="44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Committing a database dump to the application repository is itself a serious data-handling risk (PII/financial data in version control history); no automated, encrypted, retention-managed backup pipeline is evident.</w:t>
            </w:r>
          </w:p>
        </w:tc>
      </w:tr>
      <w:tr>
        <w:trPr>
          <w:tblHeader w:val="false"/>
        </w:trP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Disaster Recovery</w:t>
            </w:r>
          </w:p>
        </w:tc>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Not documented/implemented</w:t>
            </w:r>
          </w:p>
        </w:tc>
        <w:tc>
          <w:tcPr>
            <w:tcW w:type="dxa" w:w="44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No RTO/RPO targets, no documented failover plan, no multi-region or point-in-time-recovery strategy.</w:t>
            </w:r>
          </w:p>
        </w:tc>
      </w:tr>
      <w:tr>
        <w:trPr>
          <w:tblHeader w:val="false"/>
        </w:trP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Input Validation</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Partial (model-level Sequelize validators e.g. GSTIN regex)</w:t>
            </w:r>
          </w:p>
        </w:tc>
        <w:tc>
          <w:tcPr>
            <w:tcW w:type="dxa" w:w="44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No request-level schema validation layer (Joi/Zod/express-validator) — malformed payloads reach controllers and, in some cases, the database layer first.</w:t>
            </w:r>
          </w:p>
        </w:tc>
      </w:tr>
      <w:tr>
        <w:trPr>
          <w:tblHeader w:val="false"/>
        </w:trP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CSRF Protection</w:t>
            </w:r>
          </w:p>
        </w:tc>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Not applicable/implemented</w:t>
            </w:r>
          </w:p>
        </w:tc>
        <w:tc>
          <w:tcPr>
            <w:tcW w:type="dxa" w:w="44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Bearer-token APIs are generally CSRF-resilient by design, but if the team migrates to cookie-based auth (recommended above) CSRF tokens become mandatory.</w:t>
            </w:r>
          </w:p>
        </w:tc>
      </w:tr>
    </w:tbl>
    <w:p>
      <w:pPr>
        <w:spacing w:after="160"/>
      </w:pPr>
    </w:p>
    <w:p>
      <w:pPr>
        <w:pStyle w:val="Heading2"/>
      </w:pPr>
      <w:r>
        <w:t xml:space="preserve">9.1 Key Vulnerabilities &amp; Risks (ranked)</w:t>
      </w:r>
    </w:p>
    <w:p>
      <w:pPr>
        <w:pStyle w:val="ListParagraph"/>
        <w:numPr>
          <w:ilvl w:val="0"/>
          <w:numId w:val="2"/>
        </w:numPr>
        <w:spacing w:after="60"/>
      </w:pPr>
      <w:r>
        <w:t xml:space="preserve">1. Token theft via XSS — sessionStorage-held JWTs combine with an unrestricted CORS policy to create a realistic cross-site token-exfiltration path. Remediation: httpOnly+Secure+SameSite cookies, CSP headers, origin allow-listing.</w:t>
      </w:r>
    </w:p>
    <w:p>
      <w:pPr>
        <w:pStyle w:val="ListParagraph"/>
        <w:numPr>
          <w:ilvl w:val="0"/>
          <w:numId w:val="2"/>
        </w:numPr>
        <w:spacing w:after="60"/>
      </w:pPr>
      <w:r>
        <w:t xml:space="preserve">2. Brute-force / credential-stuffing on /api/auth/login — no rate limiting, no lockout, no CAPTCHA. Remediation: express-rate-limit + progressive backoff + optional CAPTCHA on repeated failures.</w:t>
      </w:r>
    </w:p>
    <w:p>
      <w:pPr>
        <w:pStyle w:val="ListParagraph"/>
        <w:numPr>
          <w:ilvl w:val="0"/>
          <w:numId w:val="2"/>
        </w:numPr>
        <w:spacing w:after="60"/>
      </w:pPr>
      <w:r>
        <w:t xml:space="preserve">3. Tampering with the financial audit trail — AuditLog rows can be altered/deleted by anyone with database access (and, if a future admin-tools feature is added carelessly, by ADMIN users). Remediation: append-only storage (DB grants or hash-chaining).</w:t>
      </w:r>
    </w:p>
    <w:p>
      <w:pPr>
        <w:pStyle w:val="ListParagraph"/>
        <w:numPr>
          <w:ilvl w:val="0"/>
          <w:numId w:val="2"/>
        </w:numPr>
        <w:spacing w:after="60"/>
      </w:pPr>
      <w:r>
        <w:t xml:space="preserve">4. PII/financial-identifier exposure — bank account numbers, IFSC, PAN and GSTIN sit in plaintext columns with no field-level encryption; a single SQL-injection or backup-leak incident exposes regulated data directly. Remediation: envelope-encrypt sensitive columns; restrict raw access via views/row-level security.</w:t>
      </w:r>
    </w:p>
    <w:p>
      <w:pPr>
        <w:pStyle w:val="ListParagraph"/>
        <w:numPr>
          <w:ilvl w:val="0"/>
          <w:numId w:val="2"/>
        </w:numPr>
        <w:spacing w:after="60"/>
      </w:pPr>
      <w:r>
        <w:t xml:space="preserve">5. Database dump committed to the repository — backup.sql in the project root is a severe data-governance issue if this repository is, or ever becomes, shared/cloned outside the core team. Remediation: purge from history, add to .gitignore (already partially present), move backups to an encrypted, access-controlled object store with lifecycle policies.</w:t>
      </w:r>
    </w:p>
    <w:p>
      <w:pPr>
        <w:pStyle w:val="ListParagraph"/>
        <w:numPr>
          <w:ilvl w:val="0"/>
          <w:numId w:val="2"/>
        </w:numPr>
        <w:spacing w:after="60"/>
      </w:pPr>
      <w:r>
        <w:t xml:space="preserve">6. Direct browser-to-AI-vendor calls — AIAssistantView.jsx calls an external AI API straight from the client, implying an exposed API key or an open proxy; either way this is a cost-control and data-leakage risk (customer financial data could be sent to a third-party LLM with no governance). Remediation: route all AI calls through a backend proxy with key management, prompt redaction of sensitive fields, and per-tenant rate/cost limits.</w:t>
      </w:r>
    </w:p>
    <w:p>
      <w:pPr>
        <w:pStyle w:val="ListParagraph"/>
        <w:numPr>
          <w:ilvl w:val="0"/>
          <w:numId w:val="2"/>
        </w:numPr>
        <w:spacing w:after="60"/>
      </w:pPr>
      <w:r>
        <w:t xml:space="preserve">7. Schema drift via sequelize.sync({ alter: true }) in production — this can silently alter live tables on deploy, creating both a data-loss risk and an audit/compliance problem (uncontrolled schema changes on a financial system). Remediation: adopt a migrations framework (Sequelize CLI / Umzug) with reviewed, versioned, rollback-capable migration files; disable sync-based schema management in any non-local environment.</w:t>
      </w:r>
    </w:p>
    <w:p>
      <w:pPr>
        <w:pStyle w:val="Heading2"/>
      </w:pPr>
      <w:r>
        <w:t xml:space="preserve">9.2 Recommended Security Roadmap (priority order)</w:t>
      </w:r>
    </w:p>
    <w:p>
      <w:pPr>
        <w:pStyle w:val="ListParagraph"/>
        <w:numPr>
          <w:ilvl w:val="0"/>
          <w:numId w:val="2"/>
        </w:numPr>
        <w:spacing w:after="60"/>
      </w:pPr>
      <w:r>
        <w:t xml:space="preserve">Immediate (Phase 1/2): move JWTs to httpOnly cookies + CSRF tokens; add Helmet + CORS allow-list + express-rate-limit; add account lockout &amp; password policy; remove backup.sql from the repo and from git history; introduce request-schema validation (Zod/Joi) on every route.</w:t>
      </w:r>
    </w:p>
    <w:p>
      <w:pPr>
        <w:pStyle w:val="ListParagraph"/>
        <w:numPr>
          <w:ilvl w:val="0"/>
          <w:numId w:val="2"/>
        </w:numPr>
        <w:spacing w:after="60"/>
      </w:pPr>
      <w:r>
        <w:t xml:space="preserve">Near-term (Phase 2/3): add TOTP-based MFA (with recovery codes), field-level encryption for bank/PAN/GSTIN columns, secrets-manager integration, append-only audit logging, and a documented incident-response runbook.</w:t>
      </w:r>
    </w:p>
    <w:p>
      <w:pPr>
        <w:pStyle w:val="ListParagraph"/>
        <w:numPr>
          <w:ilvl w:val="0"/>
          <w:numId w:val="2"/>
        </w:numPr>
        <w:spacing w:after="60"/>
      </w:pPr>
      <w:r>
        <w:t xml:space="preserve">Medium-term (Phase 3): pursue SOC 2 Type I readiness — formal access-review cadence, encryption-at-rest for the database (managed Postgres with KMS), automated vulnerability scanning (Snyk/Dependabot — package.json shows no such tooling configured), and a documented DR plan with tested RTO/RPO.</w:t>
      </w:r>
    </w:p>
    <w:p>
      <w:pPr>
        <w:pStyle w:val="Heading1"/>
        <w:pageBreakBefore/>
      </w:pPr>
      <w:r>
        <w:t xml:space="preserve">10. Database Architecture Review</w:t>
      </w:r>
    </w:p>
    <w:p>
      <w:pPr>
        <w:spacing w:after="120"/>
      </w:pPr>
      <w:r>
        <w:t xml:space="preserve">The schema is broad and relationally sound — 54 models with clear ownership (every financial document belongs to a Company, every transaction belongs to a Voucher and a Ledger) and a sensible use of UUID primary keys for multi-tenant safety. The two structural weaknesses are the complete absence of explicit indexes on a schema this size, and the use of live-sync (sequelize.sync({ alter: true })) instead of versioned migrations on what is meant to become a production financial database.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4060"/>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sz w:val="20"/>
                <w:szCs w:val="20"/>
              </w:rPr>
              <w:t xml:space="preserve">Aspect</w:t>
            </w:r>
          </w:p>
        </w:tc>
        <w:tc>
          <w:tcPr>
            <w:tcW w:type="dxa" w:w="33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sz w:val="20"/>
                <w:szCs w:val="20"/>
              </w:rPr>
              <w:t xml:space="preserve">Current State</w:t>
            </w:r>
          </w:p>
        </w:tc>
        <w:tc>
          <w:tcPr>
            <w:tcW w:type="dxa" w:w="40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sz w:val="20"/>
                <w:szCs w:val="20"/>
              </w:rPr>
              <w:t xml:space="preserve">Recommendation</w:t>
            </w:r>
          </w:p>
        </w:tc>
      </w:tr>
      <w:tr>
        <w:trPr>
          <w:tblHeader w:val="false"/>
        </w:trP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Schema scale</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54 Sequelize models / ~50+ relations centralized in models/index.js</w:t>
            </w:r>
          </w:p>
        </w:tc>
        <w:tc>
          <w:tcPr>
            <w:tcW w:type="dxa" w:w="4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Document the schema with a generated ER diagram (e.g., sequelize-erd) and keep it versioned alongside migrations.</w:t>
            </w:r>
          </w:p>
        </w:tc>
      </w:tr>
      <w:tr>
        <w:trPr>
          <w:tblHeader w:val="false"/>
        </w:trP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Primary keys</w:t>
            </w:r>
          </w:p>
        </w:tc>
        <w:tc>
          <w:tcPr>
            <w:tcW w:type="dxa" w:w="3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UUID v4 everywhere</w:t>
            </w:r>
          </w:p>
        </w:tc>
        <w:tc>
          <w:tcPr>
            <w:tcW w:type="dxa" w:w="4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Good for multi-tenant merge/replication safety; consider UUIDv7 (time-ordered) for new tables to improve index locality and reduce write amplification on B-tree PKs at scale.</w:t>
            </w:r>
          </w:p>
        </w:tc>
      </w:tr>
      <w:tr>
        <w:trPr>
          <w:tblHeader w:val="false"/>
        </w:trP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Indexing</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None explicitly defined beyond PK/FK constraints</w:t>
            </w:r>
          </w:p>
        </w:tc>
        <w:tc>
          <w:tcPr>
            <w:tcW w:type="dxa" w:w="4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Add composite indexes on every (CompanyId, &lt;date&gt;) and (CompanyId, &lt;foreign key&gt;) pair that appears in a WHERE/JOIN — at minimum: Transaction(CompanyId, LedgerId, date), Voucher(CompanyId, voucherType, date), AuditLog(CompanyId, createdAt), SalesInvoice(CompanyId, customerLedgerId, status).</w:t>
            </w:r>
          </w:p>
        </w:tc>
      </w:tr>
      <w:tr>
        <w:trPr>
          <w:tblHeader w:val="false"/>
        </w:trP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Soft deletes (paranoid)</w:t>
            </w:r>
          </w:p>
        </w:tc>
        <w:tc>
          <w:tcPr>
            <w:tcW w:type="dxa" w:w="3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Enabled on Ledger and Voucher only</w:t>
            </w:r>
          </w:p>
        </w:tc>
        <w:tc>
          <w:tcPr>
            <w:tcW w:type="dxa" w:w="4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Extend paranoid consistently to every financial document model (Transaction, SalesInvoice, Bill/PurchaseOrder, CreditNote, VendorCredit, Payslip, FixedAsset) — partial coverage creates inconsistent recovery/audit behavior.</w:t>
            </w:r>
          </w:p>
        </w:tc>
      </w:tr>
      <w:tr>
        <w:trPr>
          <w:tblHeader w:val="false"/>
        </w:trP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Constraints / referential integrity</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FK relations declared via Sequelize associations; some onDelete: CASCADE / SET NULL</w:t>
            </w:r>
          </w:p>
        </w:tc>
        <w:tc>
          <w:tcPr>
            <w:tcW w:type="dxa" w:w="4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Audit CASCADE deletes on financial-document children (e.g., Transactions cascading from Voucher) — for a ledger system, hard deletes of posted transactions should generally be disallowed at the DB layer in favor of reversal entries.</w:t>
            </w:r>
          </w:p>
        </w:tc>
      </w:tr>
      <w:tr>
        <w:trPr>
          <w:tblHeader w:val="false"/>
        </w:trP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Normalization</w:t>
            </w:r>
          </w:p>
        </w:tc>
        <w:tc>
          <w:tcPr>
            <w:tcW w:type="dxa" w:w="3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Reasonable 3NF in most areas; some denormalization via *Json text columns (billingAddressJson, contactPersonsJson, documentsJson, bankDetailsJson on Ledger)</w:t>
            </w:r>
          </w:p>
        </w:tc>
        <w:tc>
          <w:tcPr>
            <w:tcW w:type="dxa" w:w="4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Either move JSON columns to the native JSONB type (Postgres) for queryability, or normalize frequently-queried sub-structures (e.g., contact persons, bank details) into their own tables — current TEXT-stored JSON cannot be indexed or queried server-side.</w:t>
            </w:r>
          </w:p>
        </w:tc>
      </w:tr>
      <w:tr>
        <w:trPr>
          <w:tblHeader w:val="false"/>
        </w:trP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Schema management</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sequelize.sync({ alter: true }) at boot</w:t>
            </w:r>
          </w:p>
        </w:tc>
        <w:tc>
          <w:tcPr>
            <w:tcW w:type="dxa" w:w="4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Replace with a migrations framework (Sequelize CLI / Umzug) and CI-gated migration review; never run alter-sync against a production database.</w:t>
            </w:r>
          </w:p>
        </w:tc>
      </w:tr>
      <w:tr>
        <w:trPr>
          <w:tblHeader w:val="false"/>
        </w:trP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Multi-tenant readiness</w:t>
            </w:r>
          </w:p>
        </w:tc>
        <w:tc>
          <w:tcPr>
            <w:tcW w:type="dxa" w:w="3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Shared-schema, CompanyId-scoped rows + middleware enforcement</w:t>
            </w:r>
          </w:p>
        </w:tc>
        <w:tc>
          <w:tcPr>
            <w:tcW w:type="dxa" w:w="4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Workable to ~10K tenants; add Postgres Row-Level Security (RLS) policies as defense-in-depth (the current model relies entirely on application-layer discipline — one missed tenantAccess on a new route is a cross-tenant data leak).</w:t>
            </w:r>
          </w:p>
        </w:tc>
      </w:tr>
      <w:tr>
        <w:trPr>
          <w:tblHeader w:val="false"/>
        </w:trP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Performance / query patterns</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Live aggregation over Transaction rows for every report</w:t>
            </w:r>
          </w:p>
        </w:tc>
        <w:tc>
          <w:tcPr>
            <w:tcW w:type="dxa" w:w="4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Introduce summary/snapshot tables (period-end TB/BS/P&amp;L snapshots, daily ledger-balance roll-ups) to avoid re-scanning full transaction history on every report request as data volume grows.</w:t>
            </w:r>
          </w:p>
        </w:tc>
      </w:tr>
    </w:tbl>
    <w:p>
      <w:pPr>
        <w:spacing w:after="160"/>
      </w:pPr>
    </w:p>
    <w:p>
      <w:pPr>
        <w:pStyle w:val="Heading2"/>
      </w:pPr>
      <w:r>
        <w:t xml:space="preserve">10.1 Missing Tables (recommended additions)</w:t>
      </w:r>
    </w:p>
    <w:p>
      <w:pPr>
        <w:pStyle w:val="ListParagraph"/>
        <w:numPr>
          <w:ilvl w:val="0"/>
          <w:numId w:val="2"/>
        </w:numPr>
        <w:spacing w:after="60"/>
      </w:pPr>
      <w:r>
        <w:t xml:space="preserve">FiscalYear — formal year entities with status (Open/Closing/Closed) to support year-end close and period locking (§3.8–3.9).</w:t>
      </w:r>
    </w:p>
    <w:p>
      <w:pPr>
        <w:pStyle w:val="ListParagraph"/>
        <w:numPr>
          <w:ilvl w:val="0"/>
          <w:numId w:val="2"/>
        </w:numPr>
        <w:spacing w:after="60"/>
      </w:pPr>
      <w:r>
        <w:t xml:space="preserve">PeriodLock — lock-date records per company with override audit trail (§3.9).</w:t>
      </w:r>
    </w:p>
    <w:p>
      <w:pPr>
        <w:pStyle w:val="ListParagraph"/>
        <w:numPr>
          <w:ilvl w:val="0"/>
          <w:numId w:val="2"/>
        </w:numPr>
        <w:spacing w:after="60"/>
      </w:pPr>
      <w:r>
        <w:t xml:space="preserve">StockLedgerEntry / StockMovement — immutable inventory movement ledger underpinning valuation, batch tracking and reconciliation (§6).</w:t>
      </w:r>
    </w:p>
    <w:p>
      <w:pPr>
        <w:pStyle w:val="ListParagraph"/>
        <w:numPr>
          <w:ilvl w:val="0"/>
          <w:numId w:val="2"/>
        </w:numPr>
        <w:spacing w:after="60"/>
      </w:pPr>
      <w:r>
        <w:t xml:space="preserve">Batch / SerialNumber — lot/serial master data linked to Item and StockLedgerEntry (§6).</w:t>
      </w:r>
    </w:p>
    <w:p>
      <w:pPr>
        <w:pStyle w:val="ListParagraph"/>
        <w:numPr>
          <w:ilvl w:val="0"/>
          <w:numId w:val="2"/>
        </w:numPr>
        <w:spacing w:after="60"/>
      </w:pPr>
      <w:r>
        <w:t xml:space="preserve">StockTransfer / StockTransferItem — inter-godown movement vouchers (§6).</w:t>
      </w:r>
    </w:p>
    <w:p>
      <w:pPr>
        <w:pStyle w:val="ListParagraph"/>
        <w:numPr>
          <w:ilvl w:val="0"/>
          <w:numId w:val="2"/>
        </w:numPr>
        <w:spacing w:after="60"/>
      </w:pPr>
      <w:r>
        <w:t xml:space="preserve">GoodsReceiptNote / GRNItem — three-way-match anchor between PurchaseOrder and Bill (§5.2–5.3).</w:t>
      </w:r>
    </w:p>
    <w:p>
      <w:pPr>
        <w:pStyle w:val="ListParagraph"/>
        <w:numPr>
          <w:ilvl w:val="0"/>
          <w:numId w:val="2"/>
        </w:numPr>
        <w:spacing w:after="60"/>
      </w:pPr>
      <w:r>
        <w:t xml:space="preserve">EWayBill, EInvoice — compliance documents linked to SalesInvoice/DeliveryChallan, with status workflow (§7).</w:t>
      </w:r>
    </w:p>
    <w:p>
      <w:pPr>
        <w:pStyle w:val="ListParagraph"/>
        <w:numPr>
          <w:ilvl w:val="0"/>
          <w:numId w:val="2"/>
        </w:numPr>
        <w:spacing w:after="60"/>
      </w:pPr>
      <w:r>
        <w:t xml:space="preserve">TDSSection / TCSSection / TaxComponent — structured tax masters and per-line tax breakdown (§7).</w:t>
      </w:r>
    </w:p>
    <w:p>
      <w:pPr>
        <w:pStyle w:val="ListParagraph"/>
        <w:numPr>
          <w:ilvl w:val="0"/>
          <w:numId w:val="2"/>
        </w:numPr>
        <w:spacing w:after="60"/>
      </w:pPr>
      <w:r>
        <w:t xml:space="preserve">ReportSnapshot — immutable JSON snapshots of period-end financial statements (§3.4, §8).</w:t>
      </w:r>
    </w:p>
    <w:p>
      <w:pPr>
        <w:pStyle w:val="ListParagraph"/>
        <w:numPr>
          <w:ilvl w:val="0"/>
          <w:numId w:val="2"/>
        </w:numPr>
        <w:spacing w:after="60"/>
      </w:pPr>
      <w:r>
        <w:t xml:space="preserve">PaymentBatch — grouped outbound payment runs (§5.4).</w:t>
      </w:r>
    </w:p>
    <w:p>
      <w:pPr>
        <w:pStyle w:val="ListParagraph"/>
        <w:numPr>
          <w:ilvl w:val="0"/>
          <w:numId w:val="2"/>
        </w:numPr>
        <w:spacing w:after="60"/>
      </w:pPr>
      <w:r>
        <w:t xml:space="preserve">Plan, Subscription→PlanFeature, UsageRecord, Invoice (billing) — SaaS commercial layer (§12).</w:t>
      </w:r>
    </w:p>
    <w:p>
      <w:pPr>
        <w:pStyle w:val="ListParagraph"/>
        <w:numPr>
          <w:ilvl w:val="0"/>
          <w:numId w:val="2"/>
        </w:numPr>
        <w:spacing w:after="60"/>
      </w:pPr>
      <w:r>
        <w:t xml:space="preserve">Webhook, WebhookDelivery — outbound integration events (§2 medium-priority gap).</w:t>
      </w:r>
    </w:p>
    <w:p>
      <w:pPr>
        <w:pStyle w:val="ListParagraph"/>
        <w:numPr>
          <w:ilvl w:val="0"/>
          <w:numId w:val="2"/>
        </w:numPr>
        <w:spacing w:after="60"/>
      </w:pPr>
      <w:r>
        <w:t xml:space="preserve">ApiKey, RateLimitPolicy — for the API platform recommended in §11.</w:t>
      </w:r>
    </w:p>
    <w:p>
      <w:pPr>
        <w:pStyle w:val="Heading2"/>
      </w:pPr>
      <w:r>
        <w:t xml:space="preserve">10.2 Missing Relationships / Integrity Gaps</w:t>
      </w:r>
    </w:p>
    <w:p>
      <w:pPr>
        <w:pStyle w:val="ListParagraph"/>
        <w:numPr>
          <w:ilvl w:val="0"/>
          <w:numId w:val="2"/>
        </w:numPr>
        <w:spacing w:after="60"/>
      </w:pPr>
      <w:r>
        <w:t xml:space="preserve">No FK from financial documents (SalesInvoice, Bill, etc.) to a FiscalYear/Period — without it, period-locking cannot be enforced declaratively.</w:t>
      </w:r>
    </w:p>
    <w:p>
      <w:pPr>
        <w:pStyle w:val="ListParagraph"/>
        <w:numPr>
          <w:ilvl w:val="0"/>
          <w:numId w:val="2"/>
        </w:numPr>
        <w:spacing w:after="60"/>
      </w:pPr>
      <w:r>
        <w:t xml:space="preserve">No link from Item to a costing-method or stock-ledger aggregate — currentStock is updated imperatively rather than derived from a movement ledger, so it can drift from reality.</w:t>
      </w:r>
    </w:p>
    <w:p>
      <w:pPr>
        <w:pStyle w:val="ListParagraph"/>
        <w:numPr>
          <w:ilvl w:val="0"/>
          <w:numId w:val="2"/>
        </w:numPr>
        <w:spacing w:after="60"/>
      </w:pPr>
      <w:r>
        <w:t xml:space="preserve">No formal link between Quote → SalesOrder → SalesInvoice → Receipt beyond ad hoc fields — a generic 'document chain' (sourceDocumentType/sourceDocumentId) would make traceability queryable across the whole O2C/P2P lifecycle.</w:t>
      </w:r>
    </w:p>
    <w:p>
      <w:pPr>
        <w:pStyle w:val="ListParagraph"/>
        <w:numPr>
          <w:ilvl w:val="0"/>
          <w:numId w:val="2"/>
        </w:numPr>
        <w:spacing w:after="60"/>
      </w:pPr>
      <w:r>
        <w:t xml:space="preserve">AuditLog has no hash-chain / previous-record reference — cannot prove non-tampering after the fact.</w:t>
      </w:r>
    </w:p>
    <w:p>
      <w:pPr>
        <w:pStyle w:val="Heading2"/>
      </w:pPr>
      <w:r>
        <w:t xml:space="preserve">10.3 Improved Schema Recommendations (summary)</w:t>
      </w:r>
    </w:p>
    <w:p>
      <w:pPr>
        <w:pStyle w:val="ListParagraph"/>
        <w:numPr>
          <w:ilvl w:val="0"/>
          <w:numId w:val="2"/>
        </w:numPr>
        <w:spacing w:after="60"/>
      </w:pPr>
      <w:r>
        <w:t xml:space="preserve">Adopt Postgres exclusively for production (the multi-dialect support is a development convenience, not a production requirement) and use native JSONB, partial indexes, and Row-Level Security.</w:t>
      </w:r>
    </w:p>
    <w:p>
      <w:pPr>
        <w:pStyle w:val="ListParagraph"/>
        <w:numPr>
          <w:ilvl w:val="0"/>
          <w:numId w:val="2"/>
        </w:numPr>
        <w:spacing w:after="60"/>
      </w:pPr>
      <w:r>
        <w:t xml:space="preserve">Introduce a versioned migrations pipeline before the next schema change ships to any shared environment.</w:t>
      </w:r>
    </w:p>
    <w:p>
      <w:pPr>
        <w:pStyle w:val="ListParagraph"/>
        <w:numPr>
          <w:ilvl w:val="0"/>
          <w:numId w:val="2"/>
        </w:numPr>
        <w:spacing w:after="60"/>
      </w:pPr>
      <w:r>
        <w:t xml:space="preserve">Add the composite indexes listed above as the very next piece of database work — they are low-risk, high-impact, and require no model changes.</w:t>
      </w:r>
    </w:p>
    <w:p>
      <w:pPr>
        <w:pStyle w:val="ListParagraph"/>
        <w:numPr>
          <w:ilvl w:val="0"/>
          <w:numId w:val="2"/>
        </w:numPr>
        <w:spacing w:after="60"/>
      </w:pPr>
      <w:r>
        <w:t xml:space="preserve">Plan for table partitioning (by CompanyId range or by date) on Transaction, AuditLog and the future StockLedgerEntry once any single company starts approaching ~5–10 million transaction rows.</w:t>
      </w:r>
    </w:p>
    <w:p>
      <w:pPr>
        <w:pStyle w:val="Heading1"/>
        <w:pageBreakBefore/>
      </w:pPr>
      <w:r>
        <w:t xml:space="preserve">11. API Architecture Review</w:t>
      </w:r>
    </w:p>
    <w:p>
      <w:pPr>
        <w:spacing w:after="120"/>
      </w:pPr>
      <w:r>
        <w:t xml:space="preserve">The API is a conventional Express REST surface — 26 route groups mounted under /api/* in server.js, each module owning its own router/controller pair, guarded by a consistent verifyToken → tenantAccess → authorizeRoles chain. This is a clean, comprehensible structure for a team of the current size. It is also, in its current form, an internal API rather than a platform API: there is no versioning, no published specification, no client SDKs, no rate limiting, and no schema validation layer.</w:t>
      </w:r>
    </w:p>
    <w:p>
      <w:pPr>
        <w:pStyle w:val="Heading2"/>
      </w:pPr>
      <w:r>
        <w:t xml:space="preserve">11.1 Findings</w:t>
      </w:r>
    </w:p>
    <w:p>
      <w:pPr>
        <w:pStyle w:val="ListParagraph"/>
        <w:numPr>
          <w:ilvl w:val="0"/>
          <w:numId w:val="2"/>
        </w:numPr>
        <w:spacing w:after="60"/>
      </w:pPr>
      <w:r>
        <w:t xml:space="preserve">API Design: resource-oriented and largely RESTful (GET/POST/PUT/DELETE per module), but inconsistent in places — e.g., action-style endpoints (approveVoucher, cancelVoucher, applyCredit, getNextNumber) sit alongside CRUD endpoints without a documented convention for when to use a verb-style route vs. a status-update PATCH.</w:t>
      </w:r>
    </w:p>
    <w:p>
      <w:pPr>
        <w:pStyle w:val="ListParagraph"/>
        <w:numPr>
          <w:ilvl w:val="0"/>
          <w:numId w:val="2"/>
        </w:numPr>
        <w:spacing w:after="60"/>
      </w:pPr>
      <w:r>
        <w:t xml:space="preserve">REST Standards: mostly followed; however responses are not consistently enveloped (some return raw arrays, some return { data, meta }-style shapes implicitly via controller code) and HTTP status-code usage for validation errors vs. authorization errors vs. not-found is not uniform across controllers.</w:t>
      </w:r>
    </w:p>
    <w:p>
      <w:pPr>
        <w:pStyle w:val="ListParagraph"/>
        <w:numPr>
          <w:ilvl w:val="0"/>
          <w:numId w:val="2"/>
        </w:numPr>
        <w:spacing w:after="60"/>
      </w:pPr>
      <w:r>
        <w:t xml:space="preserve">Versioning: none — all routes are mounted directly under /api/. Any breaking change to a response shape would break every client simultaneously.</w:t>
      </w:r>
    </w:p>
    <w:p>
      <w:pPr>
        <w:pStyle w:val="ListParagraph"/>
        <w:numPr>
          <w:ilvl w:val="0"/>
          <w:numId w:val="2"/>
        </w:numPr>
        <w:spacing w:after="60"/>
      </w:pPr>
      <w:r>
        <w:t xml:space="preserve">Validation: relies entirely on Sequelize model-level validators (e.g., the GSTIN regex on Ledger) — there is no request-level schema validation (Joi/Zod/express-validator), so malformed input can reach business logic and, in some paths, the database before being rejected.</w:t>
      </w:r>
    </w:p>
    <w:p>
      <w:pPr>
        <w:pStyle w:val="ListParagraph"/>
        <w:numPr>
          <w:ilvl w:val="0"/>
          <w:numId w:val="2"/>
        </w:numPr>
        <w:spacing w:after="60"/>
      </w:pPr>
      <w:r>
        <w:t xml:space="preserve">Error Handling: each controller wraps its logic in try/catch and returns ad hoc { error: message } bodies; there is no centralized error-handling middleware, no error taxonomy/codes, and stack traces risk leaking in some catch blocks (a quick grep shows controllers returning err.message directly to clients in places, which can leak internal details).</w:t>
      </w:r>
    </w:p>
    <w:p>
      <w:pPr>
        <w:pStyle w:val="ListParagraph"/>
        <w:numPr>
          <w:ilvl w:val="0"/>
          <w:numId w:val="2"/>
        </w:numPr>
        <w:spacing w:after="60"/>
      </w:pPr>
      <w:r>
        <w:t xml:space="preserve">Rate Limiting: none anywhere in the stack.</w:t>
      </w:r>
    </w:p>
    <w:p>
      <w:pPr>
        <w:pStyle w:val="ListParagraph"/>
        <w:numPr>
          <w:ilvl w:val="0"/>
          <w:numId w:val="2"/>
        </w:numPr>
        <w:spacing w:after="60"/>
      </w:pPr>
      <w:r>
        <w:t xml:space="preserve">API Security: covered in depth in §9 — bearer JWT + tenant/role middleware is solid as far as it goes, but lacks API keys for machine clients, scoped tokens, or partner-grade authentication (OAuth2 client-credentials).</w:t>
      </w:r>
    </w:p>
    <w:p>
      <w:pPr>
        <w:pStyle w:val="Heading2"/>
      </w:pPr>
      <w:r>
        <w:t xml:space="preserve">11.2 API Roadmap</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860"/>
      </w:tblGrid>
      <w:tr>
        <w:trPr>
          <w:tblHeader/>
        </w:trPr>
        <w:tc>
          <w:tcPr>
            <w:tcW w:type="dxa" w:w="15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sz w:val="20"/>
                <w:szCs w:val="20"/>
              </w:rPr>
              <w:t xml:space="preserve">Stage</w:t>
            </w:r>
          </w:p>
        </w:tc>
        <w:tc>
          <w:tcPr>
            <w:tcW w:type="dxa" w:w="4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sz w:val="20"/>
                <w:szCs w:val="20"/>
              </w:rPr>
              <w:t xml:space="preserve">Deliverable</w:t>
            </w:r>
          </w:p>
        </w:tc>
        <w:tc>
          <w:tcPr>
            <w:tcW w:type="dxa" w:w="38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sz w:val="20"/>
                <w:szCs w:val="20"/>
              </w:rPr>
              <w:t xml:space="preserve">Why</w:t>
            </w:r>
          </w:p>
        </w:tc>
      </w:tr>
      <w:tr>
        <w:trPr>
          <w:tblHeader w:val="false"/>
        </w:trP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1. Stabilize</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Add request-schema validation (Zod/Joi) to every route; standardize error envelope ({ error: { code, message, details } }); add a global error-handling middleware</w:t>
            </w:r>
          </w:p>
        </w:tc>
        <w:tc>
          <w:tcPr>
            <w:tcW w:type="dxa" w:w="38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Today, error shapes vary by controller (e.g., { error: '...' } strings); a financial API needs predictable, machine-parseable errors for client retries and partner integrations.</w:t>
            </w:r>
          </w:p>
        </w:tc>
      </w:tr>
      <w:tr>
        <w:trPr>
          <w:tblHeader w:val="false"/>
        </w:trPr>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2. Version &amp; Document</w:t>
            </w:r>
          </w:p>
        </w:tc>
        <w:tc>
          <w:tcPr>
            <w:tcW w:type="dxa" w:w="4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Introduce /api/v1 prefix; generate OpenAPI 3.1 spec from route definitions (e.g., zod-to-openapi); publish interactive docs (Swagger UI/Redoc)</w:t>
            </w:r>
          </w:p>
        </w:tc>
        <w:tc>
          <w:tcPr>
            <w:tcW w:type="dxa" w:w="3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Unversioned routes (/api/sales, /api/reports/...) cannot evolve without breaking existing clients; no spec means every integration partner reverse-engineers the API by reading network traffic.</w:t>
            </w:r>
          </w:p>
        </w:tc>
      </w:tr>
      <w:tr>
        <w:trPr>
          <w:tblHeader w:val="false"/>
        </w:trP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3. Harden</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Add express-rate-limit (per-IP and per-token tiers), Helmet security headers, CORS allow-list, request-size limits per route (not a blanket 10 MB), audit logging of all write operations at the gateway layer</w:t>
            </w:r>
          </w:p>
        </w:tc>
        <w:tc>
          <w:tcPr>
            <w:tcW w:type="dxa" w:w="38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Required before any external partner or customer-facing integration can be supported safely.</w:t>
            </w:r>
          </w:p>
        </w:tc>
      </w:tr>
      <w:tr>
        <w:trPr>
          <w:tblHeader w:val="false"/>
        </w:trPr>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4. Platformize</w:t>
            </w:r>
          </w:p>
        </w:tc>
        <w:tc>
          <w:tcPr>
            <w:tcW w:type="dxa" w:w="4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Issue scoped API keys / OAuth2 client-credentials for machine-to-machine access; add per-tenant rate-limit policies tied to subscription plan; add webhook subscriptions for key events (invoice.created, payment.received, voucher.posted)</w:t>
            </w:r>
          </w:p>
        </w:tc>
        <w:tc>
          <w:tcPr>
            <w:tcW w:type="dxa" w:w="3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Turns the product from an app with an API into an integration platform — a major differentiator for SAP B1/Zoho-style ecosystems and a precondition for marketplace/connector strategies (§2 nice-to-have list).</w:t>
            </w:r>
          </w:p>
        </w:tc>
      </w:tr>
      <w:tr>
        <w:trPr>
          <w:tblHeader w:val="false"/>
        </w:trP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5. Optimize</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Add field-selection / pagination standards (cursor-based for high-volume endpoints like Transactions/AuditLog), ETags/conditional GET for report caching, GraphQL or BFF layer if frontend complexity grows</w:t>
            </w:r>
          </w:p>
        </w:tc>
        <w:tc>
          <w:tcPr>
            <w:tcW w:type="dxa" w:w="38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Current list endpoints appear to return full collections; this will not hold up once a tenant has hundreds of thousands of transactions.</w:t>
            </w:r>
          </w:p>
        </w:tc>
      </w:tr>
    </w:tbl>
    <w:p>
      <w:pPr>
        <w:pStyle w:val="Heading1"/>
        <w:pageBreakBefore/>
      </w:pPr>
      <w:r>
        <w:t xml:space="preserve">12. SaaS Readiness Assessment</w:t>
      </w:r>
    </w:p>
    <w:p>
      <w:pPr>
        <w:spacing w:after="120"/>
      </w:pPr>
      <w:r>
        <w:t xml:space="preserve">Multi-tenancy — the hardest part to retrofit — is already reasonably well architected: a shared-schema model with consistent CompanyId scoping, a clean middleware chokepoint, and a sensible JWT shape (id, role, activeCompanyId). That is the right foundation. Everything that turns this from 'a multi-tenant app' into 'a SaaS business', however — subscriptions, billing, plan gating, usage metering — is either missing or stubbed.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000"/>
        <w:gridCol w:w="3060"/>
      </w:tblGrid>
      <w:tr>
        <w:trPr>
          <w:tblHeader/>
        </w:trPr>
        <w:tc>
          <w:tcPr>
            <w:tcW w:type="dxa" w:w="23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sz w:val="20"/>
                <w:szCs w:val="20"/>
              </w:rPr>
              <w:t xml:space="preserve">Dimension</w:t>
            </w:r>
          </w:p>
        </w:tc>
        <w:tc>
          <w:tcPr>
            <w:tcW w:type="dxa" w:w="4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sz w:val="20"/>
                <w:szCs w:val="20"/>
              </w:rPr>
              <w:t xml:space="preserve">Current State</w:t>
            </w:r>
          </w:p>
        </w:tc>
        <w:tc>
          <w:tcPr>
            <w:tcW w:type="dxa" w:w="30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sz w:val="20"/>
                <w:szCs w:val="20"/>
              </w:rPr>
              <w:t xml:space="preserve">Gap</w:t>
            </w:r>
          </w:p>
        </w:tc>
      </w:tr>
      <w:tr>
        <w:trPr>
          <w:tblHeader w:val="false"/>
        </w:trP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Multi-Tenancy</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Shared schema, CompanyId-scoped, tenantAccess middleware, User↔Company many-to-many with activeCompanyId in JWT</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Solid foundation; needs RLS as defense-in-depth and a documented tenant-provisioning/offboarding runbook (including data export &amp; deletion for GDPR/DPDP-Act compliance).</w:t>
            </w:r>
          </w:p>
        </w:tc>
      </w:tr>
      <w:tr>
        <w:trPr>
          <w:tblHeader w:val="false"/>
        </w:trPr>
        <w:tc>
          <w:tcPr>
            <w:tcW w:type="dxa" w:w="2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Subscription Management</w:t>
            </w:r>
          </w:p>
        </w:tc>
        <w:tc>
          <w:tcPr>
            <w:tcW w:type="dxa" w:w="4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Subscription model exists (planName: Free/Professional/Enterprise, status, dates, stripeSubscriptionId)</w:t>
            </w:r>
          </w:p>
        </w:tc>
        <w:tc>
          <w:tcPr>
            <w:tcW w:type="dxa" w:w="3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No controller, no route, no UI — completely disconnected from the rest of the system. This is effectively a 10%-built feature.</w:t>
            </w:r>
          </w:p>
        </w:tc>
      </w:tr>
      <w:tr>
        <w:trPr>
          <w:tblHeader w:val="false"/>
        </w:trP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Billing</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None</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No payment-gateway integration (Stripe/Razorpay/Paddle), no invoicing-of-the-platform-itself, no dunning for the SaaS subscription (as distinct from customer-facing AR).</w:t>
            </w:r>
          </w:p>
        </w:tc>
      </w:tr>
      <w:tr>
        <w:trPr>
          <w:tblHeader w:val="false"/>
        </w:trPr>
        <w:tc>
          <w:tcPr>
            <w:tcW w:type="dxa" w:w="2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User Plans / Feature Gating</w:t>
            </w:r>
          </w:p>
        </w:tc>
        <w:tc>
          <w:tcPr>
            <w:tcW w:type="dxa" w:w="4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Company.features JSON flag bag exists (maintainAccountsOnly, multiCurrency, billWiseDetails, multipleGodowns, stockCategories, purchaseOrders, etc.)</w:t>
            </w:r>
          </w:p>
        </w:tc>
        <w:tc>
          <w:tcPr>
            <w:tcW w:type="dxa" w:w="3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Flags are stored but not consistently enforced in business logic (e.g., multiCurrency defaults false yet nothing checks it before allowing currency fields to be used) — they read as configuration intent rather than active gates.</w:t>
            </w:r>
          </w:p>
        </w:tc>
      </w:tr>
      <w:tr>
        <w:trPr>
          <w:tblHeader w:val="false"/>
        </w:trP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Company Isolation</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tenantAccess middleware + UUID validation + SUPER_ADMIN logged bypass</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Functionally adequate; would benefit from automated cross-tenant-leak testing (a dedicated test suite that asserts every list/detail endpoint 403s for a foreign CompanyId) given there are currently no tests at all.</w:t>
            </w:r>
          </w:p>
        </w:tc>
      </w:tr>
      <w:tr>
        <w:trPr>
          <w:tblHeader w:val="false"/>
        </w:trPr>
        <w:tc>
          <w:tcPr>
            <w:tcW w:type="dxa" w:w="2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Feature Flags (platform-level)</w:t>
            </w:r>
          </w:p>
        </w:tc>
        <w:tc>
          <w:tcPr>
            <w:tcW w:type="dxa" w:w="4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None beyond the per-company features JSON</w:t>
            </w:r>
          </w:p>
        </w:tc>
        <w:tc>
          <w:tcPr>
            <w:tcW w:type="dxa" w:w="3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No experiment/rollout flagging system (LaunchDarkly/Unleash/home-grown) for staged feature releases across the tenant base.</w:t>
            </w:r>
          </w:p>
        </w:tc>
      </w:tr>
      <w:tr>
        <w:trPr>
          <w:tblHeader w:val="false"/>
        </w:trP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Usage Tracking / Metering</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None</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No event/usage-record pipeline — required for usage-based pricing, support diagnostics, and capacity planning.</w:t>
            </w:r>
          </w:p>
        </w:tc>
      </w:tr>
    </w:tbl>
    <w:p>
      <w:pPr>
        <w:spacing w:after="160"/>
      </w:pPr>
    </w:p>
    <w:p>
      <w:pPr>
        <w:pStyle w:val="Heading2"/>
      </w:pPr>
      <w:r>
        <w:t xml:space="preserve">Recommended Enterprise SaaS Architecture</w:t>
      </w:r>
    </w:p>
    <w:p>
      <w:pPr>
        <w:pStyle w:val="ListParagraph"/>
        <w:numPr>
          <w:ilvl w:val="0"/>
          <w:numId w:val="2"/>
        </w:numPr>
        <w:spacing w:after="60"/>
      </w:pPr>
      <w:r>
        <w:t xml:space="preserve">Stand up a dedicated Billing &amp; Subscriptions service (can start as a module in the existing monolith) that owns Plan, Subscription, Invoice, UsageRecord, and PaymentMethod entities, integrates with Stripe Billing or Razorpay Subscriptions via webhooks, and is the single source of truth for 'what is this tenant entitled to'.</w:t>
      </w:r>
    </w:p>
    <w:p>
      <w:pPr>
        <w:pStyle w:val="ListParagraph"/>
        <w:numPr>
          <w:ilvl w:val="0"/>
          <w:numId w:val="2"/>
        </w:numPr>
        <w:spacing w:after="60"/>
      </w:pPr>
      <w:r>
        <w:t xml:space="preserve">Wrap every gated capability behind a single entitlements check (e.g., requireFeature('multiCurrency') middleware) that consults the active subscription's plan + the company's feature-flag overrides — this both enforces monetization and gives the team a clean mechanism for staged rollouts.</w:t>
      </w:r>
    </w:p>
    <w:p>
      <w:pPr>
        <w:pStyle w:val="ListParagraph"/>
        <w:numPr>
          <w:ilvl w:val="0"/>
          <w:numId w:val="2"/>
        </w:numPr>
        <w:spacing w:after="60"/>
      </w:pPr>
      <w:r>
        <w:t xml:space="preserve">Add a usage-metering pipeline (lightweight: append events to a UsageRecord table; mature: stream to a time-series store) covering the dimensions that will eventually drive pricing — active users, companies per account, transactions/month, storage, API calls, AI-feature usage.</w:t>
      </w:r>
    </w:p>
    <w:p>
      <w:pPr>
        <w:pStyle w:val="ListParagraph"/>
        <w:numPr>
          <w:ilvl w:val="0"/>
          <w:numId w:val="2"/>
        </w:numPr>
        <w:spacing w:after="60"/>
      </w:pPr>
      <w:r>
        <w:t xml:space="preserve">Build a self-service billing portal (plan upgrade/downgrade, payment-method management, invoice history) — Stripe Billing Portal or Razorpay's equivalent can shortcut this significantly.</w:t>
      </w:r>
    </w:p>
    <w:p>
      <w:pPr>
        <w:pStyle w:val="ListParagraph"/>
        <w:numPr>
          <w:ilvl w:val="0"/>
          <w:numId w:val="2"/>
        </w:numPr>
        <w:spacing w:after="60"/>
      </w:pPr>
      <w:r>
        <w:t xml:space="preserve">Define a tenant lifecycle runbook: provisioning (default CoA seed — already exists via tallyGroups — plus sample data), trial-to-paid conversion, suspension on non-payment, data export and right-to-erasure on offboarding (a DPDP Act / GDPR requirement, not optional for an India-plus-export product).</w:t>
      </w:r>
    </w:p>
    <w:p>
      <w:pPr>
        <w:pStyle w:val="Heading1"/>
        <w:pageBreakBefore/>
      </w:pPr>
      <w:r>
        <w:t xml:space="preserve">13. Scalability Assessment</w:t>
      </w:r>
    </w:p>
    <w:p>
      <w:pPr>
        <w:pStyle w:val="Heading2"/>
      </w:pPr>
      <w:r>
        <w:t xml:space="preserve">13.1 Current Bottlenecks</w:t>
      </w:r>
    </w:p>
    <w:p>
      <w:pPr>
        <w:pStyle w:val="ListParagraph"/>
        <w:numPr>
          <w:ilvl w:val="0"/>
          <w:numId w:val="2"/>
        </w:numPr>
        <w:spacing w:after="60"/>
      </w:pPr>
      <w:r>
        <w:t xml:space="preserve">Database performance: zero explicit indexes on a 50+ table schema that already centers on a high-write Transaction table — this is the most immediate, lowest-effort, highest-impact fix available.</w:t>
      </w:r>
    </w:p>
    <w:p>
      <w:pPr>
        <w:pStyle w:val="ListParagraph"/>
        <w:numPr>
          <w:ilvl w:val="0"/>
          <w:numId w:val="2"/>
        </w:numPr>
        <w:spacing w:after="60"/>
      </w:pPr>
      <w:r>
        <w:t xml:space="preserve">Caching strategy: none — every dashboard load and report view re-aggregates raw transaction data; there is no Redis/Memcached layer and no HTTP caching headers on read-heavy report endpoints.</w:t>
      </w:r>
    </w:p>
    <w:p>
      <w:pPr>
        <w:pStyle w:val="ListParagraph"/>
        <w:numPr>
          <w:ilvl w:val="0"/>
          <w:numId w:val="2"/>
        </w:numPr>
        <w:spacing w:after="60"/>
      </w:pPr>
      <w:r>
        <w:t xml:space="preserve">Background jobs: a single in-process node-cron job is the entire background-processing story; it does not survive horizontal scaling without a distributed lock, has no retry/backoff, and silently logs failures to the console rather than to an observability system.</w:t>
      </w:r>
    </w:p>
    <w:p>
      <w:pPr>
        <w:pStyle w:val="ListParagraph"/>
        <w:numPr>
          <w:ilvl w:val="0"/>
          <w:numId w:val="2"/>
        </w:numPr>
        <w:spacing w:after="60"/>
      </w:pPr>
      <w:r>
        <w:t xml:space="preserve">Message queues: none — all work (invoice posting, payroll runs, depreciation, email sending, recurring billing) happens synchronously in the request/response cycle or in the single cron job, which will create request-timeout and duplicate-processing risks as volume grows.</w:t>
      </w:r>
    </w:p>
    <w:p>
      <w:pPr>
        <w:pStyle w:val="ListParagraph"/>
        <w:numPr>
          <w:ilvl w:val="0"/>
          <w:numId w:val="2"/>
        </w:numPr>
        <w:spacing w:after="60"/>
      </w:pPr>
      <w:r>
        <w:t xml:space="preserve">Search implementation: AG-Grid client-side filtering over data fetched in bulk — workable for hundreds of rows, painful for tens of thousands (large item catalogues, transaction histories, audit logs).</w:t>
      </w:r>
    </w:p>
    <w:p>
      <w:pPr>
        <w:pStyle w:val="ListParagraph"/>
        <w:numPr>
          <w:ilvl w:val="0"/>
          <w:numId w:val="2"/>
        </w:numPr>
        <w:spacing w:after="60"/>
      </w:pPr>
      <w:r>
        <w:t xml:space="preserve">Schema-sync at boot: sequelize.sync({ alter: true }) running on every deploy is itself an availability and correctness risk at scale (long-running ALTERs can lock tables on a live production database).</w:t>
      </w:r>
    </w:p>
    <w:p>
      <w:pPr>
        <w:pStyle w:val="Heading2"/>
      </w:pPr>
      <w:r>
        <w:t xml:space="preserve">13.2 Recommended Scaling Strategy by Customer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4160"/>
      </w:tblGrid>
      <w:tr>
        <w:trPr>
          <w:tblHeader/>
        </w:trPr>
        <w:tc>
          <w:tcPr>
            <w:tcW w:type="dxa" w:w="15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sz w:val="20"/>
                <w:szCs w:val="20"/>
              </w:rPr>
              <w:t xml:space="preserve">Scale Target</w:t>
            </w:r>
          </w:p>
        </w:tc>
        <w:tc>
          <w:tcPr>
            <w:tcW w:type="dxa" w:w="37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sz w:val="20"/>
                <w:szCs w:val="20"/>
              </w:rPr>
              <w:t xml:space="preserve">Primary Bottlenecks at This Scale</w:t>
            </w:r>
          </w:p>
        </w:tc>
        <w:tc>
          <w:tcPr>
            <w:tcW w:type="dxa" w:w="41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sz w:val="20"/>
                <w:szCs w:val="20"/>
              </w:rPr>
              <w:t xml:space="preserve">Recommended Strategy</w:t>
            </w:r>
          </w:p>
        </w:tc>
      </w:tr>
      <w:tr>
        <w:trPr>
          <w:tblHeader w:val="false"/>
        </w:trP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1,000 customers (companies)</w:t>
            </w:r>
          </w:p>
        </w:tc>
        <w:tc>
          <w:tcPr>
            <w:tcW w:type="dxa" w:w="3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Live report aggregation begins to show latency on larger tenants; single Postgres instance is fine; in-process cron job is the biggest correctness risk (duplicate processing on redeploys/scale-out)</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Add the composite indexes from §10 now; move the recurring-invoice cron to a proper job queue (BullMQ + Redis) with a single-leader lock; introduce basic Redis caching for dashboard/report endpoints with short TTLs; add APM (e.g., OpenTelemetry + a hosted backend) to find real hotspots before guessing.</w:t>
            </w:r>
          </w:p>
        </w:tc>
      </w:tr>
      <w:tr>
        <w:trPr>
          <w:tblHeader w:val="false"/>
        </w:trPr>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10,000 customers (companies)</w:t>
            </w:r>
          </w:p>
        </w:tc>
        <w:tc>
          <w:tcPr>
            <w:tcW w:type="dxa" w:w="3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Single-instance Node process and single Postgres primary become throughput-limited; live aggregation queries (TB/BS/P&amp;L/dashboard) re-scan growing transaction tables on every request; AG-Grid client-side filtering chokes on large item/ledger catalogues</w:t>
            </w:r>
          </w:p>
        </w:tc>
        <w:tc>
          <w:tcPr>
            <w:tcW w:type="dxa" w:w="4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Horizontally scale the API behind a load balancer (stateless Express + externalized session/cache in Redis); add a read-replica for reporting queries; introduce summary/snapshot tables (period-end balances, daily roll-ups) so reports stop re-deriving from scratch; move full-text/catalogue search to Postgres GIN indexes or a dedicated search engine; formalize the job queue for all background work (recurring billing, email, depreciation runs, payroll processing).</w:t>
            </w:r>
          </w:p>
        </w:tc>
      </w:tr>
      <w:tr>
        <w:trPr>
          <w:tblHeader w:val="false"/>
        </w:trP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100,000 customers (companies)</w:t>
            </w:r>
          </w:p>
        </w:tc>
        <w:tc>
          <w:tcPr>
            <w:tcW w:type="dxa" w:w="3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Single shared-schema Postgres reaches practical ceilings on connection counts, vacuum overhead, and noisy-neighbor effects; a single region cannot serve a global customer base with acceptable latency; report/analytics workloads compete with OLTP for resources</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Shard the database by tenant range or move to a hybrid model (shared schema for small tenants, dedicated schema/database for large 'Enterprise' tenants); separate OLTP and OLAP entirely — replicate into a columnar warehouse (ClickHouse/BigQuery/Snowflake) via CDC for all reporting/BI; introduce multi-region deployment with tenant-aware routing; adopt a service-oriented decomposition for the highest-load domains (Ledger/Reporting, Billing, Notifications) so they can scale independently of the rest of the monolith (see §15 for microservices-vs-modular-monolith guidance).</w:t>
            </w:r>
          </w:p>
        </w:tc>
      </w:tr>
    </w:tbl>
    <w:p>
      <w:pPr>
        <w:spacing w:after="160"/>
      </w:pPr>
    </w:p>
    <w:p>
      <w:pPr>
        <w:pStyle w:val="Heading2"/>
      </w:pPr>
      <w:r>
        <w:t xml:space="preserve">13.3 General Principles to Adopt Early</w:t>
      </w:r>
    </w:p>
    <w:p>
      <w:pPr>
        <w:pStyle w:val="ListParagraph"/>
        <w:numPr>
          <w:ilvl w:val="0"/>
          <w:numId w:val="2"/>
        </w:numPr>
        <w:spacing w:after="60"/>
      </w:pPr>
      <w:r>
        <w:t xml:space="preserve">Make the API stateless (externalize sessions/cache to Redis) so horizontal scaling is a deploy-time decision, not an architecture change.</w:t>
      </w:r>
    </w:p>
    <w:p>
      <w:pPr>
        <w:pStyle w:val="ListParagraph"/>
        <w:numPr>
          <w:ilvl w:val="0"/>
          <w:numId w:val="2"/>
        </w:numPr>
        <w:spacing w:after="60"/>
      </w:pPr>
      <w:r>
        <w:t xml:space="preserve">Separate write-heavy OLTP paths (posting vouchers/invoices) from read-heavy analytical paths (reports/dashboards) as early as the 10K-tenant tier — they have fundamentally different performance profiles and contention patterns.</w:t>
      </w:r>
    </w:p>
    <w:p>
      <w:pPr>
        <w:pStyle w:val="ListParagraph"/>
        <w:numPr>
          <w:ilvl w:val="0"/>
          <w:numId w:val="2"/>
        </w:numPr>
        <w:spacing w:after="60"/>
      </w:pPr>
      <w:r>
        <w:t xml:space="preserve">Treat 'every report is computed live' as a temporary simplification, not a long-term architecture — snapshot/summary tables are the single biggest scalability lever available given how the reporting module is currently built.</w:t>
      </w:r>
    </w:p>
    <w:p>
      <w:pPr>
        <w:pStyle w:val="ListParagraph"/>
        <w:numPr>
          <w:ilvl w:val="0"/>
          <w:numId w:val="2"/>
        </w:numPr>
        <w:spacing w:after="60"/>
      </w:pPr>
      <w:r>
        <w:t xml:space="preserve">Instrument before optimizing: add APM/tracing now so that scaling decisions at each tier are driven by real bottleneck data rather than speculation.</w:t>
      </w:r>
    </w:p>
    <w:p>
      <w:pPr>
        <w:pStyle w:val="Heading1"/>
        <w:pageBreakBefore/>
      </w:pPr>
      <w:r>
        <w:t xml:space="preserve">14. Complete Product Roadmap</w:t>
      </w:r>
    </w:p>
    <w:p>
      <w:pPr>
        <w:spacing w:after="120"/>
      </w:pPr>
      <w:r>
        <w:t xml:space="preserve">The roadmap below sequences the gap matrix from §2 into four phases, ordered by a simple rule: fix what could silently corrupt customer data or expose the company to legal/regulatory risk first; then build what is required to charge money and operate as a real SaaS business; then build what enterprise buyers will specifically diligence; and only then invest in differentiation. Each phase assumes the prior phase's foundation is in place — they are not meant to run fully in parallel with a small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900"/>
        <w:gridCol w:w="4460"/>
      </w:tblGrid>
      <w:tr>
        <w:trPr>
          <w:tblHeader/>
        </w:trPr>
        <w:tc>
          <w:tcPr>
            <w:tcW w:type="dxa" w:w="17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sz w:val="20"/>
                <w:szCs w:val="20"/>
              </w:rPr>
              <w:t xml:space="preserve">Phase</w:t>
            </w:r>
          </w:p>
        </w:tc>
        <w:tc>
          <w:tcPr>
            <w:tcW w:type="dxa" w:w="13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sz w:val="20"/>
                <w:szCs w:val="20"/>
              </w:rPr>
              <w:t xml:space="preserve">Timeframe</w:t>
            </w:r>
          </w:p>
        </w:tc>
        <w:tc>
          <w:tcPr>
            <w:tcW w:type="dxa" w:w="19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sz w:val="20"/>
                <w:szCs w:val="20"/>
              </w:rPr>
              <w:t xml:space="preserve">Theme</w:t>
            </w:r>
          </w:p>
        </w:tc>
        <w:tc>
          <w:tcPr>
            <w:tcW w:type="dxa" w:w="44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sz w:val="20"/>
                <w:szCs w:val="20"/>
              </w:rPr>
              <w:t xml:space="preserve">Key Deliverables</w:t>
            </w:r>
          </w:p>
        </w:tc>
      </w:tr>
      <w:tr>
        <w:trPr>
          <w:tblHeader w:val="false"/>
        </w:trP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Phase 1 — MVP Stabilization</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Months 1–3</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Make what exists trustworthy</w:t>
            </w:r>
          </w:p>
        </w:tc>
        <w:tc>
          <w:tcPr>
            <w:tcW w:type="dxa" w:w="44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Automated test suite for AccountingService and all posting paths (target: 80%+ coverage on the ledger engine); database indexing pass + migrations framework (Sequelize CLI/Umzug, retire sync({ alter:true })); centralized error handling &amp; request validation (Zod/Joi); security baseline (Helmet, rate limiting, CORS allow-list, move JWT out of sessionStorage to httpOnly cookies, secrets manager); FiscalYear + PeriodLock entities and enforcement in AccountingService; CI pipeline (lint, test, build) — none exists today.</w:t>
            </w:r>
          </w:p>
        </w:tc>
      </w:tr>
      <w:tr>
        <w:trPr>
          <w:tblHeader w:val="false"/>
        </w:trPr>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Phase 2 — Production Ready</w:t>
            </w:r>
          </w:p>
        </w:tc>
        <w:tc>
          <w:tcPr>
            <w:tcW w:type="dxa" w:w="1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Months 4–7</w:t>
            </w:r>
          </w:p>
        </w:tc>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Make it sellable in India</w:t>
            </w:r>
          </w:p>
        </w:tc>
        <w:tc>
          <w:tcPr>
            <w:tcW w:type="dxa" w:w="44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GST e-Invoicing (IRN/QR via GSP), e-Way Bill generation, TDS/TCS computation &amp; ledgers, immutable/hash-chained audit-trail ('Edit Log') meeting the MCA mandate; Subscription &amp; Billing module wired to Stripe/Razorpay with plan-gating middleware; stock-ledger/movement table + batch tracking for inventory; report snapshot/caching layer (materialized views or scheduled aggregation jobs) to remove live-recompute risk; observability stack (structured logging, APM/tracing, error tracking).</w:t>
            </w:r>
          </w:p>
        </w:tc>
      </w:tr>
      <w:tr>
        <w:trPr>
          <w:tblHeader w:val="false"/>
        </w:trP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Phase 3 — Enterprise Readiness</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Months 8–12</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Make it credible to mid-market &amp; enterprise buyers</w:t>
            </w:r>
          </w:p>
        </w:tc>
        <w:tc>
          <w:tcPr>
            <w:tcW w:type="dxa" w:w="44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Multi-currency posting with FX revaluation; approval workflows (PO/expense/payment chains); three-way matching for purchases; consolidated multi-company reporting &amp; inter-company transactions; granular custom-role/permission editor; SSO (SAML/OIDC) and MFA; data residency / encryption-at-rest for PII &amp; banking data; SOC 2 readiness program (policies, access reviews, vendor risk); customer/vendor self-service portals; bulk import/migration tooling (Tally XML, Excel) to reduce switching friction.</w:t>
            </w:r>
          </w:p>
        </w:tc>
      </w:tr>
      <w:tr>
        <w:trPr>
          <w:tblHeader w:val="false"/>
        </w:trPr>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Phase 4 — Market Leadership</w:t>
            </w:r>
          </w:p>
        </w:tc>
        <w:tc>
          <w:tcPr>
            <w:tcW w:type="dxa" w:w="1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Months 13–18+</w:t>
            </w:r>
          </w:p>
        </w:tc>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Differentiate and platformize</w:t>
            </w:r>
          </w:p>
        </w:tc>
        <w:tc>
          <w:tcPr>
            <w:tcW w:type="dxa" w:w="44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Real AI bookkeeping (OCR via a managed vision API behind a backend proxy, auto-categorization, anomaly detection, cash-flow forecasting); webhook/event platform + public API with versioning, OpenAPI docs, and partner SDKs; marketplace/connector ecosystem (e-commerce, payment gateways, CRM); mobile apps/PWA for field sales and expense capture; white-labeling for reseller/partner channels; advanced analytics &amp; BI (star-schema warehouse, embedded dashboards).</w:t>
            </w:r>
          </w:p>
        </w:tc>
      </w:tr>
    </w:tbl>
    <w:p>
      <w:pPr>
        <w:pStyle w:val="Heading1"/>
        <w:pageBreakBefore/>
      </w:pPr>
      <w:r>
        <w:t xml:space="preserve">15. Technical Architecture Blueprint</w:t>
      </w:r>
    </w:p>
    <w:p>
      <w:pPr>
        <w:spacing w:after="120"/>
      </w:pPr>
      <w:r>
        <w:t xml:space="preserve">This section describes a target-state architecture the team can grow into incrementally — it is deliberately not a 'rewrite everything' blueprint. The existing modular-monolith shape (Express + Sequelize + React/Vite) is a reasonable foundation through at least the 10,000-tenant tier (§13); the recommendations below are about disciplined evolution of that foundation, with clearly marked decision points for when to split services out.</w:t>
      </w:r>
    </w:p>
    <w:p>
      <w:pPr>
        <w:pStyle w:val="Heading2"/>
      </w:pPr>
      <w:r>
        <w:t xml:space="preserve">15.1 Frontend</w:t>
      </w:r>
    </w:p>
    <w:p>
      <w:pPr>
        <w:pStyle w:val="ListParagraph"/>
        <w:numPr>
          <w:ilvl w:val="0"/>
          <w:numId w:val="2"/>
        </w:numPr>
        <w:spacing w:after="60"/>
      </w:pPr>
      <w:r>
        <w:t xml:space="preserve">Framework: keep React 18 + Vite — both are appropriate choices and migrating frameworks would be costly with no commensurate benefit. Consolidate state management onto Redux Toolkit (with RTK Query for server-state/caching) and retire Zustand, or vice versa — running both is a long-term maintenance tax.</w:t>
      </w:r>
    </w:p>
    <w:p>
      <w:pPr>
        <w:pStyle w:val="ListParagraph"/>
        <w:numPr>
          <w:ilvl w:val="0"/>
          <w:numId w:val="2"/>
        </w:numPr>
        <w:spacing w:after="60"/>
      </w:pPr>
      <w:r>
        <w:t xml:space="preserve">Folder structure: keep the feature-based module layout (it already mirrors the backend, which is good for discoverability), but extract a shared design-system package (buttons, form fields, table wrappers, modals, typography) so that the ~101 components stop re-implementing the same primitives. Separate services/mockData.js from live API clients into clearly named directories (api/ vs. fixtures/).</w:t>
      </w:r>
    </w:p>
    <w:p>
      <w:pPr>
        <w:pStyle w:val="ListParagraph"/>
        <w:numPr>
          <w:ilvl w:val="0"/>
          <w:numId w:val="2"/>
        </w:numPr>
        <w:spacing w:after="60"/>
      </w:pPr>
      <w:r>
        <w:t xml:space="preserve">State management: standardize on one server-state layer (RTK Query or React Query) for all API data, reserving Redux/Zustand purely for client-only UI state (modals, wizards, table preferences). This alone will remove a large share of the bugs that come from 'two sources of truth' in async-heavy financial UIs.</w:t>
      </w:r>
    </w:p>
    <w:p>
      <w:pPr>
        <w:pStyle w:val="ListParagraph"/>
        <w:numPr>
          <w:ilvl w:val="0"/>
          <w:numId w:val="2"/>
        </w:numPr>
        <w:spacing w:after="60"/>
      </w:pPr>
      <w:r>
        <w:t xml:space="preserve">Components: invest in a component-library/storybook layer once the team passes ~5 frontend engineers — at the current size, a lightweight shared-components folder with documented props is sufficient.</w:t>
      </w:r>
    </w:p>
    <w:p>
      <w:pPr>
        <w:pStyle w:val="Heading2"/>
      </w:pPr>
      <w:r>
        <w:t xml:space="preserve">15.2 Backend</w:t>
      </w:r>
    </w:p>
    <w:p>
      <w:pPr>
        <w:pStyle w:val="ListParagraph"/>
        <w:numPr>
          <w:ilvl w:val="0"/>
          <w:numId w:val="2"/>
        </w:numPr>
        <w:spacing w:after="60"/>
      </w:pPr>
      <w:r>
        <w:t xml:space="preserve">Service architecture: stay a modular monolith for now — the 15-module structure under backend/modules is already close to a 'modular monolith done right'. The single highest-leverage change is enforcing module boundaries in code (no controller reaching into another module's models directly; route everything through service-layer functions) so that splitting out services later is a refactor, not a rewrite.</w:t>
      </w:r>
    </w:p>
    <w:p>
      <w:pPr>
        <w:pStyle w:val="ListParagraph"/>
        <w:numPr>
          <w:ilvl w:val="0"/>
          <w:numId w:val="2"/>
        </w:numPr>
        <w:spacing w:after="60"/>
      </w:pPr>
      <w:r>
        <w:t xml:space="preserve">DDD framing: treat AccountingService as the Core Domain (the thing that must never be wrong); Sales, Purchases, Inventory, Payroll, Manufacturing as Supporting Domains that all ultimately call into it; Reporting/Analytics, Notifications, AI, and Billing as Generic/Platform Domains that can be decomposed into separate services first because they are the easiest to extract safely.</w:t>
      </w:r>
    </w:p>
    <w:p>
      <w:pPr>
        <w:pStyle w:val="ListParagraph"/>
        <w:numPr>
          <w:ilvl w:val="0"/>
          <w:numId w:val="2"/>
        </w:numPr>
        <w:spacing w:after="60"/>
      </w:pPr>
      <w:r>
        <w:t xml:space="preserve">Microservices vs. monolith: do not decompose prematurely. The recommended order, when the time comes (roughly the 10K-tenant tier or when team size passes ~15 engineers), is: (1) Reporting/Analytics — read-heavy, replicate via CDC into a warehouse; (2) Billing/Subscriptions — naturally bounded, integrates with Stripe/Razorpay; (3) Notifications — naturally event-driven; (4) AI services — needs independent scaling and a different deployment profile (GPU/managed-API access); keep the Ledger/Accounting core as a monolith the longest, since splitting a transactional ledger across service boundaries is one of the hardest distributed-systems problems in this domain (distributed transactions, eventual consistency vs. Dr=Cr atomicity guarantees).</w:t>
      </w:r>
    </w:p>
    <w:p>
      <w:pPr>
        <w:pStyle w:val="ListParagraph"/>
        <w:numPr>
          <w:ilvl w:val="0"/>
          <w:numId w:val="2"/>
        </w:numPr>
        <w:spacing w:after="60"/>
      </w:pPr>
      <w:r>
        <w:t xml:space="preserve">API gateway: introduce a lightweight gateway/BFF layer (even just a well-configured reverse proxy with auth termination, rate limiting, and request logging) ahead of the monolith now — this gives you a single chokepoint to add versioning, throttling, and (later) routing to extracted services without client-facing disruption.</w:t>
      </w:r>
    </w:p>
    <w:p>
      <w:pPr>
        <w:pStyle w:val="Heading2"/>
      </w:pPr>
      <w:r>
        <w:t xml:space="preserve">15.3 Database</w:t>
      </w:r>
    </w:p>
    <w:p>
      <w:pPr>
        <w:pStyle w:val="ListParagraph"/>
        <w:numPr>
          <w:ilvl w:val="0"/>
          <w:numId w:val="2"/>
        </w:numPr>
        <w:spacing w:after="60"/>
      </w:pPr>
      <w:r>
        <w:t xml:space="preserve">Engine: standardize on PostgreSQL in all environments (the codebase already supports it via DB_DIALECT — using sqlite for local dev creates a 'works on my machine' risk for a system this data-integrity-sensitive; use a containerized Postgres for local dev instead).</w:t>
      </w:r>
    </w:p>
    <w:p>
      <w:pPr>
        <w:pStyle w:val="ListParagraph"/>
        <w:numPr>
          <w:ilvl w:val="0"/>
          <w:numId w:val="2"/>
        </w:numPr>
        <w:spacing w:after="60"/>
      </w:pPr>
      <w:r>
        <w:t xml:space="preserve">Multi-tenancy: keep the shared-schema + CompanyId model (it is the right choice for SaaS economics at this stage), but add Postgres Row-Level Security policies as defense-in-depth against an application-layer bug bypassing tenantAccess — this is a relatively small change with an outsized risk reduction for a financial system.</w:t>
      </w:r>
    </w:p>
    <w:p>
      <w:pPr>
        <w:pStyle w:val="ListParagraph"/>
        <w:numPr>
          <w:ilvl w:val="0"/>
          <w:numId w:val="2"/>
        </w:numPr>
        <w:spacing w:after="60"/>
      </w:pPr>
      <w:r>
        <w:t xml:space="preserve">Migrations &amp; backup: adopt Sequelize CLI or Umzug-based versioned migrations immediately and stop using sync({ alter: true }) in any environment beyond a fresh local database; define and test a backup/restore runbook (point-in-time recovery via WAL archiving) and a documented RPO/RTO target before onboarding paying customers.</w:t>
      </w:r>
    </w:p>
    <w:p>
      <w:pPr>
        <w:pStyle w:val="ListParagraph"/>
        <w:numPr>
          <w:ilvl w:val="0"/>
          <w:numId w:val="2"/>
        </w:numPr>
        <w:spacing w:after="60"/>
      </w:pPr>
      <w:r>
        <w:t xml:space="preserve">Indexing &amp; performance: add the composite indexes identified in §10 (CompanyId+date on Transaction/Voucher/AuditLog, CompanyId+status on receivables/payables) as the very first production-readiness task — it is the highest-impact, lowest-risk change available.</w:t>
      </w:r>
    </w:p>
    <w:p>
      <w:pPr>
        <w:pStyle w:val="Heading2"/>
      </w:pPr>
      <w:r>
        <w:t xml:space="preserve">15.4 Infrastructure</w:t>
      </w:r>
    </w:p>
    <w:p>
      <w:pPr>
        <w:pStyle w:val="ListParagraph"/>
        <w:numPr>
          <w:ilvl w:val="0"/>
          <w:numId w:val="2"/>
        </w:numPr>
        <w:spacing w:after="60"/>
      </w:pPr>
      <w:r>
        <w:t xml:space="preserve">Containerization: package the backend and frontend as Docker images with multi-stage builds; define docker-compose for local development (app + Postgres + Redis) to eliminate environment drift — none of this exists today.</w:t>
      </w:r>
    </w:p>
    <w:p>
      <w:pPr>
        <w:pStyle w:val="ListParagraph"/>
        <w:numPr>
          <w:ilvl w:val="0"/>
          <w:numId w:val="2"/>
        </w:numPr>
        <w:spacing w:after="60"/>
      </w:pPr>
      <w:r>
        <w:t xml:space="preserve">Orchestration: Kubernetes (or a managed equivalent like ECS/Cloud Run) once you need horizontal scaling and zero-downtime deploys; for the 1K-tenant tier, a managed PaaS (Render/Railway/Elastic Beanstalk) is a perfectly reasonable, lower-overhead starting point — don't over-invest in K8s before it's needed.</w:t>
      </w:r>
    </w:p>
    <w:p>
      <w:pPr>
        <w:pStyle w:val="ListParagraph"/>
        <w:numPr>
          <w:ilvl w:val="0"/>
          <w:numId w:val="2"/>
        </w:numPr>
        <w:spacing w:after="60"/>
      </w:pPr>
      <w:r>
        <w:t xml:space="preserve">CI/CD: stand up a pipeline (GitHub Actions/GitLab CI) that runs lint + the new test suite + a build on every PR, and deploys to staging automatically on merge to main — this is currently entirely absent (the repo is not even under git version control, which should be the very first remediation, before anything else in this report).</w:t>
      </w:r>
    </w:p>
    <w:p>
      <w:pPr>
        <w:pStyle w:val="ListParagraph"/>
        <w:numPr>
          <w:ilvl w:val="0"/>
          <w:numId w:val="2"/>
        </w:numPr>
        <w:spacing w:after="60"/>
      </w:pPr>
      <w:r>
        <w:t xml:space="preserve">Monitoring, logging, observability: structured JSON logging (pino/winston) shipped to a log aggregator; APM/tracing (OpenTelemetry → Datadog/Honeycomb/Grafana stack); error tracking (Sentry); uptime/synthetic monitoring on the public API and key user journeys (login, invoice posting, report generation); dashboards and alerting tied to the SLOs the team commits to once paying customers are onboarded.</w:t>
      </w:r>
    </w:p>
    <w:p>
      <w:pPr>
        <w:pStyle w:val="Heading1"/>
        <w:pageBreakBefore/>
      </w:pPr>
      <w:r>
        <w:t xml:space="preserve">16. Deliverables</w:t>
      </w:r>
    </w:p>
    <w:p>
      <w:pPr>
        <w:spacing w:after="120"/>
      </w:pPr>
      <w:r>
        <w:t xml:space="preserve">This closing section packages the analysis above into the artifacts a founder, CTO, investor, or delivery team would actually use to plan and execute: a one-look risk register, a textual architecture diagram, a sprint-by-sprint plan for the first six months, an effort estimate, and a recommended team structure. The Executive Summary (front matter) and the Missing-Features Matrix (§2) are the other two deliverables called for in the brief and are intentionally not duplicated here — refer back to those sections.</w:t>
      </w:r>
    </w:p>
    <w:p>
      <w:pPr>
        <w:pStyle w:val="Heading2"/>
      </w:pPr>
      <w:r>
        <w:t xml:space="preserve">16.1 Risk Analysis /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300"/>
        <w:gridCol w:w="3760"/>
      </w:tblGrid>
      <w:tr>
        <w:trPr>
          <w:tblHeader/>
        </w:trPr>
        <w:tc>
          <w:tcPr>
            <w:tcW w:type="dxa" w:w="3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sz w:val="20"/>
                <w:szCs w:val="20"/>
              </w:rPr>
              <w:t xml:space="preserve">Risk</w:t>
            </w:r>
          </w:p>
        </w:tc>
        <w:tc>
          <w:tcPr>
            <w:tcW w:type="dxa" w:w="13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sz w:val="20"/>
                <w:szCs w:val="20"/>
              </w:rPr>
              <w:t xml:space="preserve">Likelihood</w:t>
            </w:r>
          </w:p>
        </w:tc>
        <w:tc>
          <w:tcPr>
            <w:tcW w:type="dxa" w:w="13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sz w:val="20"/>
                <w:szCs w:val="20"/>
              </w:rPr>
              <w:t xml:space="preserve">Impact</w:t>
            </w:r>
          </w:p>
        </w:tc>
        <w:tc>
          <w:tcPr>
            <w:tcW w:type="dxa" w:w="37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sz w:val="20"/>
                <w:szCs w:val="20"/>
              </w:rPr>
              <w:t xml:space="preserve">Mitigation (cross-ref)</w:t>
            </w:r>
          </w:p>
        </w:tc>
      </w:tr>
      <w:tr>
        <w:trPr>
          <w:tblHeader w:val="false"/>
        </w:trP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Undetected bug in journal-posting logic corrupts customer books</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Medium</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Severe — loss of trust, potential legal exposure, costly manual remediation</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Build the automated test suite for AccountingService first, before any new feature work (§14 Phase 1; §2 Critical #5)</w:t>
            </w:r>
          </w:p>
        </w:tc>
      </w:tr>
      <w:tr>
        <w:trPr>
          <w:tblHeader w:val="false"/>
        </w:trP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Security incident (token theft via XSS, brute-force, data breach)</w:t>
            </w:r>
          </w:p>
        </w:tc>
        <w:tc>
          <w:tcPr>
            <w:tcW w:type="dxa" w:w="1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Medium-High given current posture</w:t>
            </w:r>
          </w:p>
        </w:tc>
        <w:tc>
          <w:tcPr>
            <w:tcW w:type="dxa" w:w="1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Severe — regulatory exposure (DPDP Act/GDPR), reputational damage, customer churn</w:t>
            </w:r>
          </w:p>
        </w:tc>
        <w:tc>
          <w:tcPr>
            <w:tcW w:type="dxa" w:w="3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Execute the phased security roadmap in §9; move to httpOnly cookies, add rate limiting/MFA/Helmet/CORS allow-list before any public launch</w:t>
            </w:r>
          </w:p>
        </w:tc>
      </w:tr>
      <w:tr>
        <w:trPr>
          <w:tblHeader w:val="false"/>
        </w:trP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Non-compliance with India e-invoicing/e-way bill/TDS mandates blocks sales to mid-size businesses</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High — these are increasingly mandatory, not optional</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High — directly caps the addressable market and invites penalties for customers</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Prioritize §7 compliance build-out in Phase 2 (§14) — treat as a go/no-go gate for any India enterprise sales motion</w:t>
            </w:r>
          </w:p>
        </w:tc>
      </w:tr>
      <w:tr>
        <w:trPr>
          <w:tblHeader w:val="false"/>
        </w:trP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Database performance collapses as transaction volume grows (no indexes, live aggregation)</w:t>
            </w:r>
          </w:p>
        </w:tc>
        <w:tc>
          <w:tcPr>
            <w:tcW w:type="dxa" w:w="1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High, on current trajectory</w:t>
            </w:r>
          </w:p>
        </w:tc>
        <w:tc>
          <w:tcPr>
            <w:tcW w:type="dxa" w:w="1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High — churns customers via slow reports/dashboards right when they're growing (worst possible timing)</w:t>
            </w:r>
          </w:p>
        </w:tc>
        <w:tc>
          <w:tcPr>
            <w:tcW w:type="dxa" w:w="3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Apply indexing + snapshot/caching strategy from §10/§13 well before crossing ~1,000 active companies</w:t>
            </w:r>
          </w:p>
        </w:tc>
      </w:tr>
      <w:tr>
        <w:trPr>
          <w:tblHeader w:val="false"/>
        </w:trP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Inability to monetize because billing/subscription layer is a stub</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Certain, if untouched</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High — no path to revenue as a SaaS business regardless of product quality</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Build out the Billing &amp; Subscriptions module per §12 in Phase 2</w:t>
            </w:r>
          </w:p>
        </w:tc>
      </w:tr>
      <w:tr>
        <w:trPr>
          <w:tblHeader w:val="false"/>
        </w:trP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Key-person/knowledge risk — no tests, no migrations, no docs, not in version control</w:t>
            </w:r>
          </w:p>
        </w:tc>
        <w:tc>
          <w:tcPr>
            <w:tcW w:type="dxa" w:w="1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High</w:t>
            </w:r>
          </w:p>
        </w:tc>
        <w:tc>
          <w:tcPr>
            <w:tcW w:type="dxa" w:w="1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Medium-High — any departure or onboarding event becomes very costly</w:t>
            </w:r>
          </w:p>
        </w:tc>
        <w:tc>
          <w:tcPr>
            <w:tcW w:type="dxa" w:w="3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Put the codebase under git immediately; add tests, migrations, and architecture docs as part of Phase 1 (§14)</w:t>
            </w:r>
          </w:p>
        </w:tc>
      </w:tr>
      <w:tr>
        <w:trPr>
          <w:tblHeader w:val="false"/>
        </w:trP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Vendor/enterprise security questionnaire failure blocks larger deals</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High, once the company starts selling upmarket</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Medium — closes off the most profitable customer segment</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Use the Phase 3 enterprise-readiness checklist (SSO, MFA, encryption, SOC 2 prep) in §14/§15 as the answer key to prepare for these reviews proactively</w:t>
            </w:r>
          </w:p>
        </w:tc>
      </w:tr>
    </w:tbl>
    <w:p>
      <w:pPr>
        <w:spacing w:after="160"/>
      </w:pPr>
    </w:p>
    <w:p>
      <w:pPr>
        <w:pStyle w:val="Heading2"/>
      </w:pPr>
      <w:r>
        <w:t xml:space="preserve">16.2 Architecture Diagram (Text Form)</w:t>
      </w:r>
    </w:p>
    <w:p>
      <w:pPr>
        <w:spacing w:after="120"/>
      </w:pPr>
      <w:r>
        <w:t xml:space="preserve">The diagram below shows the recommended target architecture — an evolution of, not a replacement for, the current modular monolith. New components are marked '(new)'.</w:t>
      </w:r>
    </w:p>
    <w:p>
      <w:r>
        <w:rPr>
          <w:rFonts w:ascii="Consolas" w:cs="Consolas" w:eastAsia="Consolas" w:hAnsi="Consolas"/>
          <w:sz w:val="18"/>
          <w:szCs w:val="18"/>
        </w:rPr>
        <w:t xml:space="preserve">  [ React + Vite SPA ]  --(HTTPS, JWT in httpOnly cookie)--&gt;  [ API Gateway / BFF ]</w:t>
      </w:r>
    </w:p>
    <w:p>
      <w:r>
        <w:rPr>
          <w:rFonts w:ascii="Consolas" w:cs="Consolas" w:eastAsia="Consolas" w:hAnsi="Consolas"/>
          <w:sz w:val="18"/>
          <w:szCs w:val="18"/>
        </w:rPr>
        <w:t xml:space="preserve">                                                                |</w:t>
      </w:r>
    </w:p>
    <w:p>
      <w:r>
        <w:rPr>
          <w:rFonts w:ascii="Consolas" w:cs="Consolas" w:eastAsia="Consolas" w:hAnsi="Consolas"/>
          <w:sz w:val="18"/>
          <w:szCs w:val="18"/>
        </w:rPr>
        <w:t xml:space="preserve">                                                                v</w:t>
      </w:r>
    </w:p>
    <w:p>
      <w:r>
        <w:rPr>
          <w:rFonts w:ascii="Consolas" w:cs="Consolas" w:eastAsia="Consolas" w:hAnsi="Consolas"/>
          <w:sz w:val="18"/>
          <w:szCs w:val="18"/>
        </w:rPr>
        <w:t xml:space="preserve">                                          [ Express Modular Monolith (Node.js) ]</w:t>
      </w:r>
    </w:p>
    <w:p>
      <w:r>
        <w:rPr>
          <w:rFonts w:ascii="Consolas" w:cs="Consolas" w:eastAsia="Consolas" w:hAnsi="Consolas"/>
          <w:sz w:val="18"/>
          <w:szCs w:val="18"/>
        </w:rPr>
        <w:t xml:space="preserve">                                          |  Auth | Accounting | Sales | Purchases |</w:t>
      </w:r>
    </w:p>
    <w:p>
      <w:r>
        <w:rPr>
          <w:rFonts w:ascii="Consolas" w:cs="Consolas" w:eastAsia="Consolas" w:hAnsi="Consolas"/>
          <w:sz w:val="18"/>
          <w:szCs w:val="18"/>
        </w:rPr>
        <w:t xml:space="preserve">                                          |  Inventory | Payroll | Reports | Tax   |</w:t>
      </w:r>
    </w:p>
    <w:p>
      <w:r>
        <w:rPr>
          <w:rFonts w:ascii="Consolas" w:cs="Consolas" w:eastAsia="Consolas" w:hAnsi="Consolas"/>
          <w:sz w:val="18"/>
          <w:szCs w:val="18"/>
        </w:rPr>
        <w:t xml:space="preserve">                                          |  Billing(new) | Notifications(new)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v                         v                          v                v</w:t>
      </w:r>
    </w:p>
    <w:p>
      <w:r>
        <w:rPr>
          <w:rFonts w:ascii="Consolas" w:cs="Consolas" w:eastAsia="Consolas" w:hAnsi="Consolas"/>
          <w:sz w:val="18"/>
          <w:szCs w:val="18"/>
        </w:rPr>
        <w:t xml:space="preserve">        [ PostgreSQL (primary) ]   [ Redis: cache + queue ]   [ Object storage  ]  [ Search/index ]</w:t>
      </w:r>
    </w:p>
    <w:p>
      <w:r>
        <w:rPr>
          <w:rFonts w:ascii="Consolas" w:cs="Consolas" w:eastAsia="Consolas" w:hAnsi="Consolas"/>
          <w:sz w:val="18"/>
          <w:szCs w:val="18"/>
        </w:rPr>
        <w:t xml:space="preserve">        + read replica(s) for      (BullMQ jobs, sessions,    (uploads, PDFs,      (Postgres GIN or</w:t>
      </w:r>
    </w:p>
    <w:p>
      <w:r>
        <w:rPr>
          <w:rFonts w:ascii="Consolas" w:cs="Consolas" w:eastAsia="Consolas" w:hAnsi="Consolas"/>
          <w:sz w:val="18"/>
          <w:szCs w:val="18"/>
        </w:rPr>
        <w:t xml:space="preserve">          reporting workloads        rate-limit counters)      e-invoice/eway      a dedicated engine</w:t>
      </w:r>
    </w:p>
    <w:p>
      <w:r>
        <w:rPr>
          <w:rFonts w:ascii="Consolas" w:cs="Consolas" w:eastAsia="Consolas" w:hAnsi="Consolas"/>
          <w:sz w:val="18"/>
          <w:szCs w:val="18"/>
        </w:rPr>
        <w:t xml:space="preserve">                  |                                              docs)              once at scale)</w:t>
      </w:r>
    </w:p>
    <w:p>
      <w:r>
        <w:rPr>
          <w:rFonts w:ascii="Consolas" w:cs="Consolas" w:eastAsia="Consolas" w:hAnsi="Consolas"/>
          <w:sz w:val="18"/>
          <w:szCs w:val="18"/>
        </w:rPr>
        <w:t xml:space="preserve">                  v</w:t>
      </w:r>
    </w:p>
    <w:p>
      <w:r>
        <w:rPr>
          <w:rFonts w:ascii="Consolas" w:cs="Consolas" w:eastAsia="Consolas" w:hAnsi="Consolas"/>
          <w:sz w:val="18"/>
          <w:szCs w:val="18"/>
        </w:rPr>
        <w:t xml:space="preserve">        [ CDC / ETL pipeline ] --&gt; [ Analytical warehouse (ClickHouse/BigQuery) ] --&gt; [ BI / dashboards ]</w:t>
      </w:r>
    </w:p>
    <w:p>
      <w:r>
        <w:rPr>
          <w:rFonts w:ascii="Consolas" w:cs="Consolas" w:eastAsia="Consolas" w:hAnsi="Consolas"/>
          <w:sz w:val="18"/>
          <w:szCs w:val="18"/>
        </w:rPr>
        <w:t xml:space="preserve"/>
      </w:r>
    </w:p>
    <w:p>
      <w:r>
        <w:rPr>
          <w:rFonts w:ascii="Consolas" w:cs="Consolas" w:eastAsia="Consolas" w:hAnsi="Consolas"/>
          <w:sz w:val="18"/>
          <w:szCs w:val="18"/>
        </w:rPr>
        <w:t xml:space="preserve">  External integrations (all via backend proxies, never called directly from the browser):</w:t>
      </w:r>
    </w:p>
    <w:p>
      <w:r>
        <w:rPr>
          <w:rFonts w:ascii="Consolas" w:cs="Consolas" w:eastAsia="Consolas" w:hAnsi="Consolas"/>
          <w:sz w:val="18"/>
          <w:szCs w:val="18"/>
        </w:rPr>
        <w:t xml:space="preserve">  GSP/IRP (e-Invoice &amp; e-Way Bill) | Payment gateway (Stripe/Razorpay) | Bank-feed aggregator |</w:t>
      </w:r>
    </w:p>
    <w:p>
      <w:r>
        <w:rPr>
          <w:rFonts w:ascii="Consolas" w:cs="Consolas" w:eastAsia="Consolas" w:hAnsi="Consolas"/>
          <w:sz w:val="18"/>
          <w:szCs w:val="18"/>
        </w:rPr>
        <w:t xml:space="preserve">  Email/SMS/WhatsApp providers | AI/OCR vision API | SSO/IdP (SAML/OIDC)</w:t>
      </w:r>
    </w:p>
    <w:p>
      <w:pPr>
        <w:spacing w:after="160"/>
      </w:pPr>
    </w:p>
    <w:p>
      <w:pPr>
        <w:pStyle w:val="Heading2"/>
      </w:pPr>
      <w:r>
        <w:t xml:space="preserve">16.3 Database, API &amp; Security Recommendations</w:t>
      </w:r>
    </w:p>
    <w:p>
      <w:pPr>
        <w:spacing w:after="120"/>
      </w:pPr>
      <w:r>
        <w:rPr>
          <w:b/>
          <w:bCs/>
        </w:rPr>
        <w:t xml:space="preserve">Database: </w:t>
      </w:r>
      <w:r>
        <w:t xml:space="preserve">adopt versioned migrations, add the composite indexes identified in §10, introduce Row-Level Security as defense-in-depth, and separate OLTP from OLAP workloads via read replicas and (eventually) a CDC pipeline into a warehouse.</w:t>
      </w:r>
    </w:p>
    <w:p>
      <w:pPr>
        <w:spacing w:after="120"/>
      </w:pPr>
      <w:r>
        <w:rPr>
          <w:b/>
          <w:bCs/>
        </w:rPr>
        <w:t xml:space="preserve">API: </w:t>
      </w:r>
      <w:r>
        <w:t xml:space="preserve">introduce /api/v1 versioning and an OpenAPI specification, add request-schema validation and a centralized error envelope, add rate limiting and an API-gateway chokepoint, and build toward scoped API keys/OAuth2 client-credentials for partner integrations (§11).</w:t>
      </w:r>
    </w:p>
    <w:p>
      <w:pPr>
        <w:spacing w:after="120"/>
      </w:pPr>
      <w:r>
        <w:rPr>
          <w:b/>
          <w:bCs/>
        </w:rPr>
        <w:t xml:space="preserve">Security: </w:t>
      </w:r>
      <w:r>
        <w:t xml:space="preserve">execute the phased roadmap in §9 — move JWTs out of sessionStorage, add Helmet/CORS allow-list/rate limiting immediately; layer in MFA, encryption-at-rest, and secrets management before any paid launch; build toward SSO and SOC 2 readiness for enterprise deals.</w:t>
      </w:r>
    </w:p>
    <w:p>
      <w:pPr>
        <w:spacing w:after="160"/>
      </w:pPr>
    </w:p>
    <w:p>
      <w:pPr>
        <w:pStyle w:val="Heading2"/>
      </w:pPr>
      <w:r>
        <w:t xml:space="preserve">16.4 Product Roadmap</w:t>
      </w:r>
    </w:p>
    <w:p>
      <w:pPr>
        <w:spacing w:after="120"/>
      </w:pPr>
      <w:r>
        <w:t xml:space="preserve">See §14 for the full four-phase roadmap (MVP Stabilization → Production Ready → Enterprise Readiness → Market Leadership).</w:t>
      </w:r>
    </w:p>
    <w:p>
      <w:pPr>
        <w:spacing w:after="120"/>
      </w:pPr>
    </w:p>
    <w:p>
      <w:pPr>
        <w:pStyle w:val="Heading2"/>
      </w:pPr>
      <w:r>
        <w:t xml:space="preserve">16.5 Sprint-by-Sprint Implementation Plan (First 24 Weeks / 12 Sprints)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rPr>
          <w:tblHeader/>
        </w:trPr>
        <w:tc>
          <w:tcPr>
            <w:tcW w:type="dxa" w:w="1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sz w:val="20"/>
                <w:szCs w:val="20"/>
              </w:rPr>
              <w:t xml:space="preserve">Sprint (2 wks)</w:t>
            </w:r>
          </w:p>
        </w:tc>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sz w:val="20"/>
                <w:szCs w:val="20"/>
              </w:rPr>
              <w:t xml:space="preserve">Focus</w:t>
            </w:r>
          </w:p>
        </w:tc>
        <w:tc>
          <w:tcPr>
            <w:tcW w:type="dxa" w:w="61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sz w:val="20"/>
                <w:szCs w:val="20"/>
              </w:rPr>
              <w:t xml:space="preserve">Representative Stories</w:t>
            </w:r>
          </w:p>
        </w:tc>
      </w:tr>
      <w:tr>
        <w:trPr>
          <w:tblHeader w:val="false"/>
        </w:trPr>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1–2</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Foundations</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Initialize git history &amp; branching strategy; stand up CI (lint/test/build); containerize app + Postgres + Redis for local dev; introduce migrations framework and freeze sync({ alter: true }).</w:t>
            </w:r>
          </w:p>
        </w:tc>
      </w:tr>
      <w:tr>
        <w:trPr>
          <w:tblHeader w:val="false"/>
        </w:trP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3–5</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Ledger-engine safety net</w:t>
            </w:r>
          </w:p>
        </w:tc>
        <w:tc>
          <w:tcPr>
            <w:tcW w:type="dxa" w:w="6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Write unit/integration tests for recordJournalEntry/updateJournalEntry covering balance validation, transaction rollback, balance-delta correctness, and concurrent-posting scenarios; add contract tests for every report aggregation function.</w:t>
            </w:r>
          </w:p>
        </w:tc>
      </w:tr>
      <w:tr>
        <w:trPr>
          <w:tblHeader w:val="false"/>
        </w:trPr>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6–7</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Database hardening</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Add composite indexes (CompanyId+date, status fields); introduce FiscalYear and PeriodLock models with enforcement in AccountingService; add reportSnapshot table and wire TB/BS/P&amp;L to read from period-end snapshots when available.</w:t>
            </w:r>
          </w:p>
        </w:tc>
      </w:tr>
      <w:tr>
        <w:trPr>
          <w:tblHeader w:val="false"/>
        </w:trP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8–10</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Security baseline</w:t>
            </w:r>
          </w:p>
        </w:tc>
        <w:tc>
          <w:tcPr>
            <w:tcW w:type="dxa" w:w="6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Move JWT to httpOnly cookies + CSRF protection; add Helmet, express-rate-limit, CORS allow-list; introduce a secrets manager; add MFA (TOTP) for ADMIN/MANAGER roles; resolve the EMPLOYEE-role inconsistency and document the full RBAC matrix.</w:t>
            </w:r>
          </w:p>
        </w:tc>
      </w:tr>
      <w:tr>
        <w:trPr>
          <w:tblHeader w:val="false"/>
        </w:trPr>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11–14</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India compliance — wave 1</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e-Invoice (IRN/QR) generation via a GSP integration behind a backend proxy; e-Way Bill generation linked to delivery challans/invoices; immutable/hash-chained audit log ('Edit Log') with a dedicated filterable UI.</w:t>
            </w:r>
          </w:p>
        </w:tc>
      </w:tr>
      <w:tr>
        <w:trPr>
          <w:tblHeader w:val="false"/>
        </w:trP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15–17</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India compliance — wave 2 + Billing MVP</w:t>
            </w:r>
          </w:p>
        </w:tc>
        <w:tc>
          <w:tcPr>
            <w:tcW w:type="dxa" w:w="6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TDS/TCS computation, ledgers and basic return data; stand up the Billing &amp; Subscriptions module wired to Stripe/Razorpay with webhook handling and plan-based feature gating middleware.</w:t>
            </w:r>
          </w:p>
        </w:tc>
      </w:tr>
      <w:tr>
        <w:trPr>
          <w:tblHeader w:val="false"/>
        </w:trPr>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18–20</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Inventory depth</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Stock-ledger/movement table (replacing the single mutable counter); batch/serial tracking on Item; warehouse-to-warehouse transfer voucher type; FIFO/Weighted-Average costing method selection.</w:t>
            </w:r>
          </w:p>
        </w:tc>
      </w:tr>
      <w:tr>
        <w:trPr>
          <w:tblHeader w:val="false"/>
        </w:trP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21–24</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Hardening &amp; beta launch prep</w:t>
            </w:r>
          </w:p>
        </w:tc>
        <w:tc>
          <w:tcPr>
            <w:tcW w:type="dxa" w:w="6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Load-test reporting endpoints and tune caching (Redis); finalize observability stack (logging/APM/error tracking/alerting); write runbooks (incident response, backup/restore, tenant onboarding/offboarding); closed beta with design-partner customers and a feedback loop into the backlog.</w:t>
            </w:r>
          </w:p>
        </w:tc>
      </w:tr>
    </w:tbl>
    <w:p>
      <w:pPr>
        <w:spacing w:after="160"/>
      </w:pPr>
    </w:p>
    <w:p>
      <w:pPr>
        <w:pStyle w:val="Heading2"/>
      </w:pPr>
      <w:r>
        <w:t xml:space="preserve">16.6 Estimated Development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rPr>
          <w:tblHeader/>
        </w:trPr>
        <w:tc>
          <w:tcPr>
            <w:tcW w:type="dxa" w:w="3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sz w:val="20"/>
                <w:szCs w:val="20"/>
              </w:rPr>
              <w:t xml:space="preserve">Workstream</w:t>
            </w:r>
          </w:p>
        </w:tc>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sz w:val="20"/>
                <w:szCs w:val="20"/>
              </w:rPr>
              <w:t xml:space="preserve">Estimated Effort (engineer-months)</w:t>
            </w:r>
          </w:p>
        </w:tc>
        <w:tc>
          <w:tcPr>
            <w:tcW w:type="dxa" w:w="35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sz w:val="20"/>
                <w:szCs w:val="20"/>
              </w:rPr>
              <w:t xml:space="preserve">Notes</w:t>
            </w:r>
          </w:p>
        </w:tc>
      </w:tr>
      <w:tr>
        <w:trPr>
          <w:tblHeader w:val="false"/>
        </w:trPr>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Testing &amp; ledger-engine safety net</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4–6</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Highest priority; blocks safe iteration on everything else.</w:t>
            </w:r>
          </w:p>
        </w:tc>
      </w:tr>
      <w:tr>
        <w:trPr>
          <w:tblHeader w:val="false"/>
        </w:trPr>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Security baseline &amp; compliance prep (pre-SOC2)</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4–5</w:t>
            </w:r>
          </w:p>
        </w:tc>
        <w:tc>
          <w:tcPr>
            <w:tcW w:type="dxa" w:w="3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Includes MFA, secrets mgmt, encryption, audit-log immutability.</w:t>
            </w:r>
          </w:p>
        </w:tc>
      </w:tr>
      <w:tr>
        <w:trPr>
          <w:tblHeader w:val="false"/>
        </w:trPr>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India GST/e-Invoice/e-Way Bill/TDS/TCS compliance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6–9</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Includes GSP/IRP integration work and statutory-return generation; often underestimated due to government API quirks and certification processes.</w:t>
            </w:r>
          </w:p>
        </w:tc>
      </w:tr>
      <w:tr>
        <w:trPr>
          <w:tblHeader w:val="false"/>
        </w:trPr>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Billing &amp; Subscription platform (Stripe/Razorpay)</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3–4</w:t>
            </w:r>
          </w:p>
        </w:tc>
        <w:tc>
          <w:tcPr>
            <w:tcW w:type="dxa" w:w="3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Includes plan-gating middleware, webhook handling, self-service portal.</w:t>
            </w:r>
          </w:p>
        </w:tc>
      </w:tr>
      <w:tr>
        <w:trPr>
          <w:tblHeader w:val="false"/>
        </w:trPr>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Inventory depth (stock ledger, batch/serial, transfers, costing)</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5–7</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Touches Item, Voucher, Reporting and requires careful migration of existing currentStock data.</w:t>
            </w:r>
          </w:p>
        </w:tc>
      </w:tr>
      <w:tr>
        <w:trPr>
          <w:tblHeader w:val="false"/>
        </w:trPr>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Database hardening &amp; migrations framework</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2–3</w:t>
            </w:r>
          </w:p>
        </w:tc>
        <w:tc>
          <w:tcPr>
            <w:tcW w:type="dxa" w:w="3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Indexing, RLS, migration tooling, backup/restore runbooks.</w:t>
            </w:r>
          </w:p>
        </w:tc>
      </w:tr>
      <w:tr>
        <w:trPr>
          <w:tblHeader w:val="false"/>
        </w:trPr>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Reporting performance (snapshots/caching/warehouse)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4–6</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Scales with how aggressively the team wants to support large tenants early.</w:t>
            </w:r>
          </w:p>
        </w:tc>
      </w:tr>
      <w:tr>
        <w:trPr>
          <w:tblHeader w:val="false"/>
        </w:trPr>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Infrastructure &amp; observability (CI/CD, containers, monitoring)</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3–4</w:t>
            </w:r>
          </w:p>
        </w:tc>
        <w:tc>
          <w:tcPr>
            <w:tcW w:type="dxa" w:w="3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One-time setup cost with ongoing maintenance thereafter.</w:t>
            </w:r>
          </w:p>
        </w:tc>
      </w:tr>
      <w:tr>
        <w:trPr>
          <w:tblHeader w:val="false"/>
        </w:trPr>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TOTAL — Phase 1 + Phase 2 (to 'production ready')</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 31–44 engineer-months</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Roughly a 6–8 person engineering team for 6–7 months, run with disciplined parallelization across the workstreams above; Phase 3/4 effort is intentionally excluded as it depends on market feedback from the Phase 1/2 launch.</w:t>
            </w:r>
          </w:p>
        </w:tc>
      </w:tr>
    </w:tbl>
    <w:p>
      <w:pPr>
        <w:spacing w:after="160"/>
      </w:pPr>
    </w:p>
    <w:p>
      <w:pPr>
        <w:pStyle w:val="Heading2"/>
      </w:pPr>
      <w:r>
        <w:t xml:space="preserve">16.7 Recommended Team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660"/>
      </w:tblGrid>
      <w:tr>
        <w:trPr>
          <w:tblHeader/>
        </w:trPr>
        <w:tc>
          <w:tcPr>
            <w:tcW w:type="dxa" w:w="2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sz w:val="20"/>
                <w:szCs w:val="20"/>
              </w:rPr>
              <w:t xml:space="preserve">Role</w:t>
            </w:r>
          </w:p>
        </w:tc>
        <w:tc>
          <w:tcPr>
            <w:tcW w:type="dxa" w:w="9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sz w:val="20"/>
                <w:szCs w:val="20"/>
              </w:rPr>
              <w:t xml:space="preserve">Count</w:t>
            </w:r>
          </w:p>
        </w:tc>
        <w:tc>
          <w:tcPr>
            <w:tcW w:type="dxa" w:w="56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sz w:val="20"/>
                <w:szCs w:val="20"/>
              </w:rPr>
              <w:t xml:space="preserve">Primary Responsibility</w:t>
            </w:r>
          </w:p>
        </w:tc>
      </w:tr>
      <w:tr>
        <w:trPr>
          <w:tblHeader w:val="false"/>
        </w:trP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Engineering Lead / Architect</w:t>
            </w:r>
          </w:p>
        </w:tc>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1</w:t>
            </w:r>
          </w:p>
        </w:tc>
        <w:tc>
          <w:tcPr>
            <w:tcW w:type="dxa" w:w="5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Owns the modular-monolith boundaries, the ledger-engine test strategy, and the eventual service-extraction roadmap (§15).</w:t>
            </w:r>
          </w:p>
        </w:tc>
      </w:tr>
      <w:tr>
        <w:trPr>
          <w:tblHeader w:val="false"/>
        </w:trP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Backend Engineers (Node/Sequelize/Postgres)</w:t>
            </w:r>
          </w:p>
        </w:tc>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3</w:t>
            </w:r>
          </w:p>
        </w:tc>
        <w:tc>
          <w:tcPr>
            <w:tcW w:type="dxa" w:w="56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Split across: (a) ledger/accounting core + tests, (b) India compliance integrations, (c) billing/subscriptions + inventory depth.</w:t>
            </w:r>
          </w:p>
        </w:tc>
      </w:tr>
      <w:tr>
        <w:trPr>
          <w:tblHeader w:val="false"/>
        </w:trP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Frontend Engineers (React/Redux)</w:t>
            </w:r>
          </w:p>
        </w:tc>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2</w:t>
            </w:r>
          </w:p>
        </w:tc>
        <w:tc>
          <w:tcPr>
            <w:tcW w:type="dxa" w:w="5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Design-system consolidation, state-management unification, and feature UI for the new compliance/billing/inventory workstreams.</w:t>
            </w:r>
          </w:p>
        </w:tc>
      </w:tr>
      <w:tr>
        <w:trPr>
          <w:tblHeader w:val="false"/>
        </w:trP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QA / Test Automation Engineer</w:t>
            </w:r>
          </w:p>
        </w:tc>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1</w:t>
            </w:r>
          </w:p>
        </w:tc>
        <w:tc>
          <w:tcPr>
            <w:tcW w:type="dxa" w:w="56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Builds and maintains the automated test suite (unit/integration/E2E) and the CI quality gates — a dedicated owner is essential given zero tests exist today.</w:t>
            </w:r>
          </w:p>
        </w:tc>
      </w:tr>
      <w:tr>
        <w:trPr>
          <w:tblHeader w:val="false"/>
        </w:trP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DevOps / Platform Engineer</w:t>
            </w:r>
          </w:p>
        </w:tc>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1</w:t>
            </w:r>
          </w:p>
        </w:tc>
        <w:tc>
          <w:tcPr>
            <w:tcW w:type="dxa" w:w="5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CI/CD, containers, Kubernetes-or-PaaS, observability stack, backup/DR runbooks.</w:t>
            </w:r>
          </w:p>
        </w:tc>
      </w:tr>
      <w:tr>
        <w:trPr>
          <w:tblHeader w:val="false"/>
        </w:trP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Security Engineer (fractional/consulting acceptable)</w:t>
            </w:r>
          </w:p>
        </w:tc>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0.5</w:t>
            </w:r>
          </w:p>
        </w:tc>
        <w:tc>
          <w:tcPr>
            <w:tcW w:type="dxa" w:w="56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Drives the security-hardening roadmap (§9), threat-modeling, and SOC 2 readiness preparation; can be a consulting engagement rather than a full-time hire at this stage.</w:t>
            </w:r>
          </w:p>
        </w:tc>
      </w:tr>
      <w:tr>
        <w:trPr>
          <w:tblHeader w:val="false"/>
        </w:trP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Product Manager / Accounting Domain Expert</w:t>
            </w:r>
          </w:p>
        </w:tc>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1</w:t>
            </w:r>
          </w:p>
        </w:tc>
        <w:tc>
          <w:tcPr>
            <w:tcW w:type="dxa" w:w="5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20"/>
                <w:szCs w:val="20"/>
              </w:rPr>
              <w:t xml:space="preserve">Owns the compliance requirements (GST/TDS/TCS/Schedule III), prioritizes the gap matrix (§2), and is the bridge between accounting correctness and engineering delivery.</w:t>
            </w:r>
          </w:p>
        </w:tc>
      </w:tr>
      <w:tr>
        <w:trPr>
          <w:tblHeader w:val="false"/>
        </w:trP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Compliance/GST Subject-Matter Consultant (fractional)</w:t>
            </w:r>
          </w:p>
        </w:tc>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0.5</w:t>
            </w:r>
          </w:p>
        </w:tc>
        <w:tc>
          <w:tcPr>
            <w:tcW w:type="dxa" w:w="56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20"/>
                <w:szCs w:val="20"/>
              </w:rPr>
              <w:t xml:space="preserve">Validates e-Invoice/e-Way Bill/TDS/TCS implementations against current government rules — these change frequently and an external check materially de-risks this workstream.</w:t>
            </w:r>
          </w:p>
        </w:tc>
      </w:tr>
    </w:tbl>
    <w:p>
      <w:pPr>
        <w:spacing w:after="160"/>
      </w:pPr>
    </w:p>
    <w:p>
      <w:pPr>
        <w:pStyle w:val="Heading2"/>
      </w:pPr>
      <w:r>
        <w:t xml:space="preserve">Closing Note</w:t>
      </w:r>
    </w:p>
    <w:p>
      <w:pPr>
        <w:spacing w:after="120"/>
      </w:pPr>
      <w:r>
        <w:t xml:space="preserve">The strongest signal in this codebase is that the team already built the hard part correctly: a centralized, balanced, transactional journal-posting engine is the foundation every credible accounting platform is built on, and it is implemented soundly here. The work ahead is mostly about surrounding that core with the discipline (tests, migrations, security, compliance) and the commercial machinery (billing, plan-gating, performance-at-scale) that turn a strong functional prototype into a defensible, fundable, enterprise-credible SaaS business.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Feature-Gap &amp; Architecture Review — Tally Replica</dc:title>
  <dc:creator>Claude — Principal Architect Review</dc:creator>
  <dc:description>Comprehensive product, feature-gap, and architecture review</dc:description>
  <cp:lastModifiedBy>Un-named</cp:lastModifiedBy>
  <cp:revision>1</cp:revision>
  <dcterms:created xsi:type="dcterms:W3CDTF">2026-06-08T04:42:10.555Z</dcterms:created>
  <dcterms:modified xsi:type="dcterms:W3CDTF">2026-06-08T04:42:10.555Z</dcterms:modified>
</cp:coreProperties>
</file>

<file path=docProps/custom.xml><?xml version="1.0" encoding="utf-8"?>
<Properties xmlns="http://schemas.openxmlformats.org/officeDocument/2006/custom-properties" xmlns:vt="http://schemas.openxmlformats.org/officeDocument/2006/docPropsVTypes"/>
</file>